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F0BD6F4" w:rsidR="00046D1B" w:rsidRPr="00706C10" w:rsidRDefault="00046D1B" w:rsidP="00046D1B">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E60081">
        <w:rPr>
          <w:rFonts w:ascii="Arial" w:eastAsia="ＭＳ 明朝" w:hAnsi="Arial" w:cs="Arial"/>
          <w:b/>
          <w:noProof/>
          <w:sz w:val="22"/>
          <w:szCs w:val="22"/>
          <w:lang w:val="de-DE"/>
        </w:rPr>
        <w:t>10</w:t>
      </w:r>
      <w:r w:rsidR="005B501A">
        <w:rPr>
          <w:rFonts w:ascii="Arial" w:eastAsia="ＭＳ 明朝" w:hAnsi="Arial" w:cs="Arial" w:hint="eastAsia"/>
          <w:b/>
          <w:noProof/>
          <w:sz w:val="22"/>
          <w:szCs w:val="22"/>
          <w:lang w:val="de-DE" w:eastAsia="ja-JP"/>
        </w:rPr>
        <w:t>8</w:t>
      </w:r>
      <w:r w:rsidR="00AB3DBF">
        <w:rPr>
          <w:rFonts w:ascii="Arial" w:eastAsia="ＭＳ 明朝" w:hAnsi="Arial" w:cs="Arial"/>
          <w:b/>
          <w:noProof/>
          <w:sz w:val="22"/>
          <w:szCs w:val="22"/>
          <w:lang w:val="de-DE"/>
        </w:rPr>
        <w:t>-</w:t>
      </w:r>
      <w:r w:rsidR="00E60081">
        <w:rPr>
          <w:rFonts w:ascii="Arial" w:eastAsia="ＭＳ 明朝" w:hAnsi="Arial" w:cs="Arial"/>
          <w:b/>
          <w:noProof/>
          <w:sz w:val="22"/>
          <w:szCs w:val="22"/>
          <w:lang w:val="de-DE"/>
        </w:rPr>
        <w:t>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655A3E">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00CE095F" w:rsidRPr="00CE095F">
        <w:rPr>
          <w:rFonts w:ascii="Arial" w:hAnsi="Arial" w:cs="Arial"/>
          <w:b/>
          <w:color w:val="000000"/>
          <w:sz w:val="22"/>
          <w:szCs w:val="22"/>
        </w:rPr>
        <w:t>R1-</w:t>
      </w:r>
      <w:r w:rsidR="007B74CD" w:rsidRPr="00CE095F">
        <w:rPr>
          <w:rFonts w:ascii="Arial" w:hAnsi="Arial" w:cs="Arial"/>
          <w:b/>
          <w:color w:val="000000"/>
          <w:sz w:val="22"/>
          <w:szCs w:val="22"/>
        </w:rPr>
        <w:t>2</w:t>
      </w:r>
      <w:r w:rsidR="007B74CD">
        <w:rPr>
          <w:rFonts w:ascii="Arial" w:hAnsi="Arial" w:cs="Arial"/>
          <w:b/>
          <w:color w:val="000000"/>
          <w:sz w:val="22"/>
          <w:szCs w:val="22"/>
        </w:rPr>
        <w:t>2024</w:t>
      </w:r>
      <w:r w:rsidR="00123FF2">
        <w:rPr>
          <w:rFonts w:ascii="Arial" w:hAnsi="Arial" w:cs="Arial"/>
          <w:b/>
          <w:color w:val="000000"/>
          <w:sz w:val="22"/>
          <w:szCs w:val="22"/>
        </w:rPr>
        <w:t>08</w:t>
      </w:r>
    </w:p>
    <w:p w14:paraId="1A15B170" w14:textId="5AFF8AAC"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ＭＳ 明朝" w:hAnsi="Arial" w:cs="Arial"/>
          <w:b/>
          <w:noProof/>
          <w:sz w:val="22"/>
          <w:szCs w:val="22"/>
          <w:lang w:val="de-DE" w:eastAsia="ja-JP"/>
        </w:rPr>
        <w:t xml:space="preserve">e-Meeting, </w:t>
      </w:r>
      <w:r w:rsidR="005B501A" w:rsidRPr="005B501A">
        <w:rPr>
          <w:rFonts w:ascii="Arial" w:eastAsia="ＭＳ 明朝" w:hAnsi="Arial" w:cs="Arial"/>
          <w:b/>
          <w:noProof/>
          <w:sz w:val="22"/>
          <w:szCs w:val="22"/>
          <w:lang w:val="de-DE" w:eastAsia="ja-JP"/>
        </w:rPr>
        <w:t>February 21st – March 3rd, 2022</w:t>
      </w:r>
    </w:p>
    <w:p w14:paraId="696C944C" w14:textId="61D9369E" w:rsidR="00D712B6" w:rsidRPr="00B666B8" w:rsidRDefault="00D712B6" w:rsidP="00D712B6">
      <w:pPr>
        <w:tabs>
          <w:tab w:val="left" w:pos="1701"/>
        </w:tabs>
        <w:spacing w:beforeLines="20" w:before="62" w:afterLines="20" w:after="62"/>
        <w:ind w:left="1841" w:hangingChars="764" w:hanging="1841"/>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9D2612">
        <w:rPr>
          <w:rFonts w:ascii="Arial" w:eastAsia="ＭＳ 明朝" w:hAnsi="Arial" w:cs="Arial" w:hint="eastAsia"/>
          <w:b/>
          <w:lang w:eastAsia="ja-JP"/>
        </w:rPr>
        <w:t>8.</w:t>
      </w:r>
      <w:r w:rsidR="00EA371F">
        <w:rPr>
          <w:rFonts w:ascii="Arial" w:eastAsia="ＭＳ 明朝" w:hAnsi="Arial" w:cs="Arial"/>
          <w:b/>
          <w:lang w:eastAsia="ja-JP"/>
        </w:rPr>
        <w:t>1</w:t>
      </w:r>
      <w:r w:rsidR="009D2612">
        <w:rPr>
          <w:rFonts w:ascii="Arial" w:eastAsia="ＭＳ 明朝" w:hAnsi="Arial" w:cs="Arial" w:hint="eastAsia"/>
          <w:b/>
          <w:lang w:eastAsia="ja-JP"/>
        </w:rPr>
        <w:t>4.</w:t>
      </w:r>
      <w:r w:rsidR="00EA371F">
        <w:rPr>
          <w:rFonts w:ascii="Arial" w:eastAsia="ＭＳ 明朝"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6BDF8665" w14:textId="5D8A1524"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1" w:name="_Hlk47372129"/>
      <w:r w:rsidR="007B74CD">
        <w:rPr>
          <w:rFonts w:ascii="Arial" w:eastAsia="ＭＳ 明朝" w:hAnsi="Arial" w:cs="Arial"/>
          <w:b/>
          <w:lang w:eastAsia="ja-JP"/>
        </w:rPr>
        <w:t>Maintenance of IoT-NTN time and frequency synchronisation</w:t>
      </w:r>
      <w:r w:rsidR="00C608F3" w:rsidRPr="00C608F3" w:rsidDel="00C608F3">
        <w:rPr>
          <w:rFonts w:ascii="Arial" w:eastAsia="ＭＳ 明朝"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53B3B502" w14:textId="77777777" w:rsidR="00956E12" w:rsidRPr="00233DFF" w:rsidRDefault="00DD5190" w:rsidP="00956E12">
      <w:pPr>
        <w:pStyle w:val="1"/>
        <w:numPr>
          <w:ilvl w:val="0"/>
          <w:numId w:val="6"/>
        </w:numPr>
        <w:spacing w:before="160" w:after="0"/>
        <w:rPr>
          <w:sz w:val="32"/>
          <w:szCs w:val="32"/>
        </w:rPr>
      </w:pPr>
      <w:r w:rsidRPr="00233DFF">
        <w:rPr>
          <w:sz w:val="32"/>
          <w:szCs w:val="32"/>
        </w:rPr>
        <w:t>Introduction</w:t>
      </w:r>
    </w:p>
    <w:p w14:paraId="622038CE" w14:textId="38C5C71E" w:rsidR="000D07F2" w:rsidRDefault="000D07F2" w:rsidP="000D07F2">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w:t>
      </w:r>
      <w:r w:rsidR="005B501A">
        <w:rPr>
          <w:szCs w:val="22"/>
          <w:lang w:eastAsia="ja-JP"/>
        </w:rPr>
        <w:t>7</w:t>
      </w:r>
      <w:r>
        <w:rPr>
          <w:szCs w:val="22"/>
          <w:lang w:eastAsia="ja-JP"/>
        </w:rPr>
        <w:t>-e</w:t>
      </w:r>
      <w:r w:rsidRPr="00F55C5B">
        <w:rPr>
          <w:szCs w:val="22"/>
          <w:lang w:eastAsia="ja-JP"/>
        </w:rPr>
        <w:t xml:space="preserve">, </w:t>
      </w:r>
      <w:r w:rsidR="005B501A">
        <w:rPr>
          <w:szCs w:val="22"/>
          <w:lang w:eastAsia="ja-JP"/>
        </w:rPr>
        <w:t xml:space="preserve">the following agreements </w:t>
      </w:r>
      <w:r w:rsidR="00F858C0">
        <w:rPr>
          <w:szCs w:val="22"/>
          <w:lang w:eastAsia="ja-JP"/>
        </w:rPr>
        <w:t>were</w:t>
      </w:r>
      <w:r w:rsidR="005B501A">
        <w:rPr>
          <w:szCs w:val="22"/>
          <w:lang w:eastAsia="ja-JP"/>
        </w:rPr>
        <w:t xml:space="preserve"> made on </w:t>
      </w:r>
      <w:r w:rsidR="005B501A" w:rsidRPr="006620C7">
        <w:rPr>
          <w:szCs w:val="22"/>
          <w:lang w:eastAsia="ja-JP"/>
        </w:rPr>
        <w:t>UL time synchronization</w:t>
      </w:r>
      <w:r w:rsidR="005B501A">
        <w:rPr>
          <w:rFonts w:hint="eastAsia"/>
          <w:szCs w:val="22"/>
          <w:lang w:eastAsia="ja-JP"/>
        </w:rPr>
        <w:t xml:space="preserve"> </w:t>
      </w:r>
      <w:r w:rsidR="00FD60D6">
        <w:rPr>
          <w:szCs w:val="22"/>
          <w:lang w:eastAsia="ja-JP"/>
        </w:rPr>
        <w:t xml:space="preserve">in NR NTN </w:t>
      </w:r>
      <w:r w:rsidRPr="00F55C5B">
        <w:rPr>
          <w:szCs w:val="22"/>
          <w:lang w:eastAsia="ja-JP"/>
        </w:rPr>
        <w:t>[</w:t>
      </w:r>
      <w:r w:rsidR="005B501A">
        <w:rPr>
          <w:szCs w:val="22"/>
          <w:lang w:eastAsia="ja-JP"/>
        </w:rPr>
        <w:t>1</w:t>
      </w:r>
      <w:r>
        <w:rPr>
          <w:szCs w:val="22"/>
          <w:lang w:eastAsia="ja-JP"/>
        </w:rPr>
        <w:t>]</w:t>
      </w:r>
      <w:r w:rsidRPr="00F55C5B">
        <w:rPr>
          <w:szCs w:val="22"/>
          <w:lang w:eastAsia="ja-JP"/>
        </w:rPr>
        <w:t>:</w:t>
      </w:r>
    </w:p>
    <w:p w14:paraId="182C1023" w14:textId="4E21B470" w:rsidR="00AD58C0" w:rsidRPr="00343F66" w:rsidRDefault="00AD58C0" w:rsidP="00AD58C0">
      <w:pPr>
        <w:rPr>
          <w:b/>
          <w:bCs/>
          <w:lang w:eastAsia="x-none"/>
        </w:rPr>
      </w:pPr>
      <w:r w:rsidRPr="00343F66">
        <w:rPr>
          <w:b/>
          <w:bCs/>
          <w:highlight w:val="green"/>
          <w:lang w:eastAsia="x-none"/>
        </w:rPr>
        <w:t>Agreement:</w:t>
      </w:r>
    </w:p>
    <w:p w14:paraId="0DB6A5E0" w14:textId="67FDD8F7" w:rsidR="00B13103" w:rsidRPr="004C491D" w:rsidRDefault="00B13103" w:rsidP="00B13103">
      <w:r w:rsidRPr="004C491D">
        <w:t xml:space="preserve">Using indicated Higher-layer Common TA parameters, if configured, the UE can determine the one-way propagation time ( </w:t>
      </w:r>
      <m:oMath>
        <m:sSub>
          <m:sSubPr>
            <m:ctrlPr>
              <w:rPr>
                <w:rFonts w:ascii="Cambria Math" w:eastAsia="Calibri" w:hAnsi="Cambria Math" w:cs="Calibri"/>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33063ED8" w14:textId="4BE6AF5C" w:rsidR="00B13103" w:rsidRPr="00B13103" w:rsidRDefault="00B13103" w:rsidP="00B13103">
      <w:pPr>
        <w:jc w:val="center"/>
      </w:pPr>
      <w:r w:rsidRPr="004C491D">
        <w:rPr>
          <w:b/>
          <w:bCs/>
        </w:rPr>
        <w:br/>
      </w:r>
      <m:oMathPara>
        <m:oMath>
          <m:sSub>
            <m:sSubPr>
              <m:ctrlPr>
                <w:rPr>
                  <w:rFonts w:ascii="Cambria Math" w:eastAsia="Calibri" w:hAnsi="Cambria Math" w:cs="Calibri"/>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rPr>
              </m:ctrlPr>
            </m:dPr>
            <m:e>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rPr>
              </m:ctrlPr>
            </m:sSupPr>
            <m:e>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11A5AE5A" w14:textId="77777777" w:rsidR="00B13103" w:rsidRPr="004C491D" w:rsidRDefault="00B13103" w:rsidP="00B13103"/>
    <w:p w14:paraId="1C1E69EC" w14:textId="77777777" w:rsidR="00B13103" w:rsidRPr="004C491D" w:rsidRDefault="00B13103" w:rsidP="00B13103">
      <w:r w:rsidRPr="004C491D">
        <w:t>Where:</w:t>
      </w:r>
    </w:p>
    <w:p w14:paraId="55D23130" w14:textId="32BD23D8" w:rsidR="00B13103" w:rsidRPr="004C491D" w:rsidRDefault="0006740C" w:rsidP="001B2857">
      <w:pPr>
        <w:numPr>
          <w:ilvl w:val="0"/>
          <w:numId w:val="11"/>
        </w:numPr>
      </w:pPr>
      <m:oMath>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rPr>
            </m:ctrlPr>
          </m:fPr>
          <m:num>
            <m:sSub>
              <m:sSubPr>
                <m:ctrlPr>
                  <w:rPr>
                    <w:rFonts w:ascii="Cambria Math" w:eastAsia="Calibri" w:hAnsi="Cambria Math" w:cs="Calibri"/>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B13103">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m:t>
            </m:r>
          </m:num>
          <m:den>
            <m:r>
              <m:rPr>
                <m:sty m:val="p"/>
              </m:rPr>
              <w:rPr>
                <w:rFonts w:ascii="Cambria Math" w:hAnsi="Cambria Math"/>
              </w:rPr>
              <m:t>2</m:t>
            </m:r>
          </m:den>
        </m:f>
      </m:oMath>
      <w:r w:rsidR="00B13103">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TACommonDriftVariation</m:t>
            </m:r>
          </m:num>
          <m:den>
            <m:r>
              <m:rPr>
                <m:sty m:val="p"/>
              </m:rPr>
              <w:rPr>
                <w:rFonts w:ascii="Cambria Math" w:hAnsi="Cambria Math"/>
              </w:rPr>
              <m:t>2</m:t>
            </m:r>
          </m:den>
        </m:f>
      </m:oMath>
    </w:p>
    <w:p w14:paraId="7BB5EFF3" w14:textId="77777777" w:rsidR="00B13103" w:rsidRPr="00E1334F" w:rsidRDefault="00B13103" w:rsidP="001B2857">
      <w:pPr>
        <w:numPr>
          <w:ilvl w:val="0"/>
          <w:numId w:val="11"/>
        </w:numPr>
        <w:rPr>
          <w:lang w:eastAsia="ko-KR"/>
        </w:rPr>
      </w:pPr>
      <w:r w:rsidRPr="004C491D">
        <w:rPr>
          <w:lang w:eastAsia="ko-KR"/>
        </w:rPr>
        <w:t>TACommon, TACommonDrift and TACommonDriftVariation are Common TA parameter defined in RAN1 Meeting #106-bis-e</w:t>
      </w:r>
    </w:p>
    <w:p w14:paraId="0DC3449A" w14:textId="6DD549A6" w:rsidR="00B13103" w:rsidRPr="004C491D" w:rsidRDefault="0006740C" w:rsidP="001B2857">
      <w:pPr>
        <w:numPr>
          <w:ilvl w:val="0"/>
          <w:numId w:val="11"/>
        </w:numPr>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B13103"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B13103" w:rsidRPr="004C491D">
        <w:rPr>
          <w:b/>
          <w:bCs/>
          <w:lang w:eastAsia="ko-KR"/>
        </w:rPr>
        <w:t>.</w:t>
      </w:r>
    </w:p>
    <w:p w14:paraId="172B7D39" w14:textId="7C21B9C4" w:rsidR="00B13103" w:rsidRPr="00F3263C" w:rsidRDefault="0006740C" w:rsidP="001B2857">
      <w:pPr>
        <w:numPr>
          <w:ilvl w:val="0"/>
          <w:numId w:val="11"/>
        </w:num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B13103" w:rsidRPr="004C491D">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sidR="00B13103" w:rsidRPr="004C491D">
        <w:t xml:space="preserve"> to pre-compensate the two-way transmission delay between the uplink time r</w:t>
      </w:r>
      <w:r w:rsidR="00B13103">
        <w:t>eference point and the satellite.</w:t>
      </w:r>
    </w:p>
    <w:p w14:paraId="2F7CCF0F" w14:textId="3B13BB28" w:rsidR="000D07F2" w:rsidRDefault="000D07F2" w:rsidP="0009270B">
      <w:pPr>
        <w:spacing w:afterLines="50" w:after="156"/>
        <w:jc w:val="both"/>
        <w:rPr>
          <w:szCs w:val="22"/>
          <w:lang w:eastAsia="ja-JP"/>
        </w:rPr>
      </w:pPr>
    </w:p>
    <w:p w14:paraId="0C2A06E7" w14:textId="77777777" w:rsidR="00343F66" w:rsidRPr="00343F66" w:rsidRDefault="00343F66" w:rsidP="00343F66">
      <w:pPr>
        <w:rPr>
          <w:b/>
          <w:bCs/>
          <w:lang w:eastAsia="x-none"/>
        </w:rPr>
      </w:pPr>
      <w:r w:rsidRPr="00343F66">
        <w:rPr>
          <w:b/>
          <w:bCs/>
          <w:highlight w:val="green"/>
          <w:lang w:eastAsia="x-none"/>
        </w:rPr>
        <w:t>Agreement:</w:t>
      </w:r>
    </w:p>
    <w:p w14:paraId="2CB78F9F" w14:textId="77777777" w:rsidR="00343F66" w:rsidRDefault="00343F66" w:rsidP="00343F66">
      <w:pPr>
        <w:pStyle w:val="aff0"/>
        <w:ind w:firstLine="48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14:paraId="190D90A5" w14:textId="77777777" w:rsidR="00343F66" w:rsidRDefault="00343F66" w:rsidP="00343F66">
      <w:pPr>
        <w:pStyle w:val="aff0"/>
        <w:ind w:firstLine="480"/>
      </w:pPr>
    </w:p>
    <w:tbl>
      <w:tblPr>
        <w:tblW w:w="5000" w:type="pct"/>
        <w:tblCellMar>
          <w:left w:w="0" w:type="dxa"/>
          <w:right w:w="0" w:type="dxa"/>
        </w:tblCellMar>
        <w:tblLook w:val="04A0" w:firstRow="1" w:lastRow="0" w:firstColumn="1" w:lastColumn="0" w:noHBand="0" w:noVBand="1"/>
      </w:tblPr>
      <w:tblGrid>
        <w:gridCol w:w="3109"/>
        <w:gridCol w:w="3684"/>
        <w:gridCol w:w="1843"/>
        <w:gridCol w:w="1316"/>
      </w:tblGrid>
      <w:tr w:rsidR="00EF07A2" w14:paraId="02656499" w14:textId="77777777" w:rsidTr="00EF07A2">
        <w:trPr>
          <w:trHeight w:val="498"/>
          <w:tblHeader/>
        </w:trPr>
        <w:tc>
          <w:tcPr>
            <w:tcW w:w="1562"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3FD89DF1" w14:textId="77777777" w:rsidR="00EF07A2" w:rsidRDefault="00EF07A2">
            <w:pPr>
              <w:rPr>
                <w:b/>
                <w:bCs/>
                <w:color w:val="FFFFFF"/>
                <w:lang w:eastAsia="fr-FR"/>
              </w:rPr>
            </w:pPr>
            <w:r>
              <w:rPr>
                <w:b/>
                <w:bCs/>
                <w:color w:val="FFFFFF"/>
                <w:lang w:eastAsia="fr-FR"/>
              </w:rPr>
              <w:lastRenderedPageBreak/>
              <w:t xml:space="preserve">Parameter name </w:t>
            </w:r>
          </w:p>
        </w:tc>
        <w:tc>
          <w:tcPr>
            <w:tcW w:w="1851"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42FEB68" w14:textId="77777777" w:rsidR="00EF07A2" w:rsidRDefault="00EF07A2">
            <w:pPr>
              <w:rPr>
                <w:rFonts w:ascii="Calibri" w:hAnsi="Calibri" w:cs="Calibri"/>
                <w:b/>
                <w:bCs/>
                <w:color w:val="FFFFFF"/>
                <w:sz w:val="22"/>
                <w:szCs w:val="22"/>
                <w:lang w:val="fr-FR" w:eastAsia="fr-FR"/>
              </w:rPr>
            </w:pPr>
            <w:r>
              <w:rPr>
                <w:b/>
                <w:bCs/>
                <w:color w:val="FFFFFF"/>
                <w:lang w:val="fr-FR" w:eastAsia="fr-FR"/>
              </w:rPr>
              <w:t>Value range</w:t>
            </w:r>
          </w:p>
        </w:tc>
        <w:tc>
          <w:tcPr>
            <w:tcW w:w="926"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D66F235" w14:textId="77777777" w:rsidR="00EF07A2" w:rsidRDefault="00EF07A2">
            <w:pPr>
              <w:rPr>
                <w:b/>
                <w:bCs/>
                <w:color w:val="FFFFFF"/>
                <w:lang w:val="fr-FR" w:eastAsia="fr-FR"/>
              </w:rPr>
            </w:pPr>
            <w:r>
              <w:rPr>
                <w:b/>
                <w:bCs/>
                <w:color w:val="FFFFFF"/>
                <w:lang w:val="fr-FR" w:eastAsia="fr-FR"/>
              </w:rPr>
              <w:t>Granularity</w:t>
            </w:r>
          </w:p>
        </w:tc>
        <w:tc>
          <w:tcPr>
            <w:tcW w:w="661"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166DE28" w14:textId="77777777" w:rsidR="00EF07A2" w:rsidRDefault="00EF07A2">
            <w:pPr>
              <w:rPr>
                <w:b/>
                <w:bCs/>
                <w:color w:val="FFFFFF"/>
                <w:lang w:val="fr-FR" w:eastAsia="fr-FR"/>
              </w:rPr>
            </w:pPr>
            <w:r>
              <w:rPr>
                <w:b/>
                <w:bCs/>
                <w:color w:val="FFFFFF"/>
                <w:lang w:val="fr-FR" w:eastAsia="fr-FR"/>
              </w:rPr>
              <w:t>Bits allocation</w:t>
            </w:r>
          </w:p>
        </w:tc>
      </w:tr>
      <w:tr w:rsidR="00EF07A2" w14:paraId="07C73BCA" w14:textId="77777777" w:rsidTr="00EF07A2">
        <w:trPr>
          <w:trHeight w:val="595"/>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D100AD" w14:textId="5FBE982F" w:rsidR="00EF07A2" w:rsidRDefault="00EF07A2">
            <w:r>
              <w:rPr>
                <w:noProof/>
                <w:lang w:val="en-US" w:eastAsia="zh-CN"/>
              </w:rPr>
              <w:drawing>
                <wp:inline distT="0" distB="0" distL="0" distR="0" wp14:anchorId="6FAB9C58" wp14:editId="2847A62B">
                  <wp:extent cx="571500" cy="146050"/>
                  <wp:effectExtent l="0" t="0" r="0" b="635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1500" cy="146050"/>
                          </a:xfrm>
                          <a:prstGeom prst="rect">
                            <a:avLst/>
                          </a:prstGeom>
                          <a:noFill/>
                          <a:ln>
                            <a:noFill/>
                          </a:ln>
                        </pic:spPr>
                      </pic:pic>
                    </a:graphicData>
                  </a:graphic>
                </wp:inline>
              </w:drawing>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B139E15" w14:textId="77777777" w:rsidR="00EF07A2" w:rsidRDefault="00EF07A2">
            <w:pPr>
              <w:rPr>
                <w:rFonts w:ascii="Calibri" w:eastAsia="SimSun" w:hAnsi="Calibri" w:cs="Calibri"/>
                <w:sz w:val="20"/>
                <w:szCs w:val="20"/>
                <w:lang w:val="en-US" w:eastAsia="zh-CN"/>
              </w:rPr>
            </w:pPr>
            <w:r>
              <w:rPr>
                <w:rFonts w:ascii="Calibri" w:eastAsia="SimSun" w:hAnsi="Calibri" w:cs="Calibri"/>
                <w:bCs/>
                <w:sz w:val="20"/>
                <w:szCs w:val="21"/>
                <w:lang w:val="en-US" w:eastAsia="zh-CN"/>
              </w:rPr>
              <w:t xml:space="preserve">0 ...66485757 </w:t>
            </w:r>
          </w:p>
          <w:p w14:paraId="5AA43CB2" w14:textId="77777777" w:rsidR="00EF07A2" w:rsidRDefault="00EF07A2">
            <w:pPr>
              <w:rPr>
                <w:rFonts w:ascii="Calibri" w:eastAsia="SimSun" w:hAnsi="Calibri" w:cs="Calibri"/>
                <w:bCs/>
                <w:sz w:val="20"/>
                <w:szCs w:val="21"/>
                <w:lang w:val="en-US" w:eastAsia="zh-CN"/>
              </w:rPr>
            </w:pPr>
            <w:r>
              <w:rPr>
                <w:rFonts w:ascii="Calibri" w:eastAsia="SimSun" w:hAnsi="Calibri" w:cs="Calibri"/>
                <w:bCs/>
                <w:sz w:val="20"/>
                <w:szCs w:val="21"/>
                <w:lang w:val="en-US" w:eastAsia="zh-CN"/>
              </w:rPr>
              <w:t xml:space="preserve">(i.e: 0… 270.73 ms) </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B968A4" w14:textId="36FDCC9C" w:rsidR="00EF07A2" w:rsidRDefault="00EF07A2">
            <w:pPr>
              <w:rPr>
                <w:rFonts w:ascii="Calibri" w:hAnsi="Calibri" w:cs="Calibri"/>
              </w:rPr>
            </w:pPr>
            <w:r>
              <w:rPr>
                <w:noProof/>
                <w:lang w:val="en-US" w:eastAsia="zh-CN"/>
              </w:rPr>
              <w:drawing>
                <wp:inline distT="0" distB="0" distL="0" distR="0" wp14:anchorId="2599C64C" wp14:editId="50931E4A">
                  <wp:extent cx="869950" cy="146050"/>
                  <wp:effectExtent l="0" t="0" r="6350" b="635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69950" cy="146050"/>
                          </a:xfrm>
                          <a:prstGeom prst="rect">
                            <a:avLst/>
                          </a:prstGeom>
                          <a:noFill/>
                          <a:ln>
                            <a:noFill/>
                          </a:ln>
                        </pic:spPr>
                      </pic:pic>
                    </a:graphicData>
                  </a:graphic>
                </wp:inline>
              </w:drawing>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F05A5C" w14:textId="77777777" w:rsidR="00EF07A2" w:rsidRDefault="00EF07A2">
            <w:r>
              <w:t>26 bits</w:t>
            </w:r>
          </w:p>
        </w:tc>
      </w:tr>
      <w:tr w:rsidR="00EF07A2" w14:paraId="3B0A8593" w14:textId="77777777" w:rsidTr="00EF07A2">
        <w:trPr>
          <w:trHeight w:val="264"/>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14D68FD" w14:textId="77777777" w:rsidR="00EF07A2" w:rsidRDefault="00EF07A2">
            <w:r>
              <w:t>TACommonDrift</w:t>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C152A8" w14:textId="77777777" w:rsidR="00EF07A2" w:rsidRDefault="00EF07A2">
            <w:pPr>
              <w:rPr>
                <w:rFonts w:ascii="Calibri" w:eastAsia="SimSun" w:hAnsi="Calibri" w:cs="Calibri"/>
                <w:sz w:val="20"/>
                <w:szCs w:val="20"/>
                <w:lang w:val="en-US" w:eastAsia="zh-CN"/>
              </w:rPr>
            </w:pPr>
            <w:r>
              <w:rPr>
                <w:rFonts w:ascii="Calibri" w:eastAsia="SimSun" w:hAnsi="Calibri" w:cs="Calibri"/>
                <w:bCs/>
                <w:sz w:val="20"/>
                <w:szCs w:val="21"/>
                <w:lang w:val="en-US" w:eastAsia="zh-CN"/>
              </w:rPr>
              <w:t>- 261935… + 261935</w:t>
            </w:r>
          </w:p>
          <w:p w14:paraId="408CB8F8" w14:textId="5292D5D4" w:rsidR="00EF07A2" w:rsidRDefault="00EF07A2">
            <w:pPr>
              <w:rPr>
                <w:rFonts w:ascii="Calibri" w:hAnsi="Calibri" w:cs="Calibri"/>
              </w:rPr>
            </w:pPr>
            <w:r>
              <w:t>(i.e: --53.33   </w:t>
            </w:r>
            <w:r>
              <w:rPr>
                <w:noProof/>
                <w:lang w:val="en-US" w:eastAsia="zh-CN"/>
              </w:rPr>
              <w:drawing>
                <wp:inline distT="0" distB="0" distL="0" distR="0" wp14:anchorId="17590709" wp14:editId="05FCE967">
                  <wp:extent cx="260350" cy="146050"/>
                  <wp:effectExtent l="0" t="0" r="6350" b="635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60350" cy="146050"/>
                          </a:xfrm>
                          <a:prstGeom prst="rect">
                            <a:avLst/>
                          </a:prstGeom>
                          <a:noFill/>
                          <a:ln>
                            <a:noFill/>
                          </a:ln>
                        </pic:spPr>
                      </pic:pic>
                    </a:graphicData>
                  </a:graphic>
                </wp:inline>
              </w:drawing>
            </w:r>
            <w:r>
              <w:t xml:space="preserve">… +-53.33 </w:t>
            </w:r>
            <w:r>
              <w:rPr>
                <w:noProof/>
                <w:lang w:val="en-US" w:eastAsia="zh-CN"/>
              </w:rPr>
              <w:drawing>
                <wp:inline distT="0" distB="0" distL="0" distR="0" wp14:anchorId="4D6FAB4D" wp14:editId="70FAC0DE">
                  <wp:extent cx="260350" cy="146050"/>
                  <wp:effectExtent l="0" t="0" r="6350" b="635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60350" cy="146050"/>
                          </a:xfrm>
                          <a:prstGeom prst="rect">
                            <a:avLst/>
                          </a:prstGeom>
                          <a:noFill/>
                          <a:ln>
                            <a:noFill/>
                          </a:ln>
                        </pic:spPr>
                      </pic:pic>
                    </a:graphicData>
                  </a:graphic>
                </wp:inline>
              </w:drawing>
            </w:r>
            <w:r>
              <w:t xml:space="preserve">) </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A0E170" w14:textId="73E19F40" w:rsidR="00EF07A2" w:rsidRDefault="00EF07A2">
            <w:r>
              <w:rPr>
                <w:noProof/>
                <w:lang w:val="en-US" w:eastAsia="zh-CN"/>
              </w:rPr>
              <w:drawing>
                <wp:inline distT="0" distB="0" distL="0" distR="0" wp14:anchorId="500B8A4E" wp14:editId="33C0509E">
                  <wp:extent cx="914400" cy="146050"/>
                  <wp:effectExtent l="0" t="0" r="0" b="635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14400" cy="146050"/>
                          </a:xfrm>
                          <a:prstGeom prst="rect">
                            <a:avLst/>
                          </a:prstGeom>
                          <a:noFill/>
                          <a:ln>
                            <a:noFill/>
                          </a:ln>
                        </pic:spPr>
                      </pic:pic>
                    </a:graphicData>
                  </a:graphic>
                </wp:inline>
              </w:drawing>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F57807" w14:textId="77777777" w:rsidR="00EF07A2" w:rsidRDefault="00EF07A2">
            <w:r>
              <w:t>19 bits</w:t>
            </w:r>
          </w:p>
        </w:tc>
      </w:tr>
      <w:tr w:rsidR="00EF07A2" w14:paraId="5F3B0EA4" w14:textId="77777777" w:rsidTr="00EF07A2">
        <w:trPr>
          <w:trHeight w:val="888"/>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B33ADC" w14:textId="77777777" w:rsidR="00EF07A2" w:rsidRDefault="00EF07A2">
            <w:r>
              <w:t>TACommonDriftVariation</w:t>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E5D752" w14:textId="77777777" w:rsidR="00EF07A2" w:rsidRDefault="00EF07A2">
            <w:pPr>
              <w:rPr>
                <w:rFonts w:ascii="Calibri" w:eastAsia="SimSun" w:hAnsi="Calibri" w:cs="Calibri"/>
                <w:sz w:val="20"/>
                <w:szCs w:val="20"/>
                <w:lang w:val="en-US" w:eastAsia="zh-CN"/>
              </w:rPr>
            </w:pPr>
            <w:r>
              <w:rPr>
                <w:rFonts w:ascii="Calibri" w:eastAsia="SimSun" w:hAnsi="Calibri" w:cs="Calibri"/>
                <w:bCs/>
                <w:sz w:val="20"/>
                <w:szCs w:val="21"/>
                <w:lang w:val="en-US" w:eastAsia="zh-CN"/>
              </w:rPr>
              <w:t>0…29470</w:t>
            </w:r>
          </w:p>
          <w:p w14:paraId="2F8256FB" w14:textId="78966A94" w:rsidR="00EF07A2" w:rsidRDefault="00EF07A2">
            <w:pPr>
              <w:rPr>
                <w:rFonts w:ascii="Calibri" w:hAnsi="Calibri" w:cs="Calibri"/>
              </w:rPr>
            </w:pPr>
            <w:r>
              <w:t xml:space="preserve">(0…0.60 </w:t>
            </w:r>
            <w:r>
              <w:rPr>
                <w:noProof/>
                <w:lang w:val="en-US" w:eastAsia="zh-CN"/>
              </w:rPr>
              <w:drawing>
                <wp:inline distT="0" distB="0" distL="0" distR="0" wp14:anchorId="65C5AA4D" wp14:editId="44868B2F">
                  <wp:extent cx="336550" cy="146050"/>
                  <wp:effectExtent l="0" t="0" r="6350" b="635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36550" cy="146050"/>
                          </a:xfrm>
                          <a:prstGeom prst="rect">
                            <a:avLst/>
                          </a:prstGeom>
                          <a:noFill/>
                          <a:ln>
                            <a:noFill/>
                          </a:ln>
                        </pic:spPr>
                      </pic:pic>
                    </a:graphicData>
                  </a:graphic>
                </wp:inline>
              </w:drawing>
            </w:r>
            <w:r>
              <w:t>)</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4FAE21" w14:textId="25BF9630" w:rsidR="00EF07A2" w:rsidRDefault="00EF07A2">
            <w:r>
              <w:rPr>
                <w:noProof/>
                <w:lang w:val="en-US" w:eastAsia="zh-CN"/>
              </w:rPr>
              <w:drawing>
                <wp:inline distT="0" distB="0" distL="0" distR="0" wp14:anchorId="6B232F40" wp14:editId="43AB82A4">
                  <wp:extent cx="971550" cy="146050"/>
                  <wp:effectExtent l="0" t="0" r="0"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71550" cy="146050"/>
                          </a:xfrm>
                          <a:prstGeom prst="rect">
                            <a:avLst/>
                          </a:prstGeom>
                          <a:noFill/>
                          <a:ln>
                            <a:noFill/>
                          </a:ln>
                        </pic:spPr>
                      </pic:pic>
                    </a:graphicData>
                  </a:graphic>
                </wp:inline>
              </w:drawing>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D804C0" w14:textId="77777777" w:rsidR="00EF07A2" w:rsidRDefault="00EF07A2">
            <w:r>
              <w:t>15 bits</w:t>
            </w:r>
          </w:p>
        </w:tc>
      </w:tr>
      <w:tr w:rsidR="00EF07A2" w14:paraId="5B2F1CA6" w14:textId="77777777" w:rsidTr="00EF07A2">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7ADA20F" w14:textId="77777777" w:rsidR="00EF07A2" w:rsidRDefault="00EF07A2" w:rsidP="00EF07A2">
            <w:pPr>
              <w:numPr>
                <w:ilvl w:val="0"/>
                <w:numId w:val="20"/>
              </w:numPr>
              <w:rPr>
                <w:rFonts w:ascii="Calibri" w:hAnsi="Calibri" w:cs="Calibri"/>
                <w:lang w:val="x-none"/>
              </w:rPr>
            </w:pPr>
            <w:r>
              <w:rPr>
                <w:lang w:val="x-none"/>
              </w:rPr>
              <w:t>Value ranges are given in unit of corresponding granularity</w:t>
            </w:r>
          </w:p>
        </w:tc>
      </w:tr>
    </w:tbl>
    <w:p w14:paraId="1B332F9B" w14:textId="77777777" w:rsidR="00EF07A2" w:rsidRPr="00C3730C" w:rsidRDefault="00EF07A2" w:rsidP="0009270B">
      <w:pPr>
        <w:spacing w:afterLines="50" w:after="156"/>
        <w:jc w:val="both"/>
        <w:rPr>
          <w:szCs w:val="22"/>
          <w:lang w:val="en-US" w:eastAsia="ja-JP"/>
        </w:rPr>
      </w:pPr>
    </w:p>
    <w:p w14:paraId="4092F9F5" w14:textId="77777777" w:rsidR="0027574D" w:rsidRPr="000F3EF4" w:rsidRDefault="0027574D" w:rsidP="0027574D">
      <w:pPr>
        <w:rPr>
          <w:b/>
          <w:bCs/>
          <w:lang w:val="fr-FR"/>
        </w:rPr>
      </w:pPr>
      <w:r w:rsidRPr="00F1021C">
        <w:rPr>
          <w:b/>
          <w:bCs/>
          <w:highlight w:val="green"/>
        </w:rPr>
        <w:t>Agreement</w:t>
      </w:r>
    </w:p>
    <w:p w14:paraId="618C06BE" w14:textId="77777777" w:rsidR="0027574D" w:rsidRDefault="0027574D" w:rsidP="001B2857">
      <w:pPr>
        <w:pStyle w:val="aff0"/>
        <w:numPr>
          <w:ilvl w:val="0"/>
          <w:numId w:val="14"/>
        </w:numPr>
        <w:ind w:left="714" w:firstLineChars="0"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3EB7F96" w14:textId="77777777" w:rsidR="0027574D" w:rsidRPr="00BA773A" w:rsidRDefault="0027574D" w:rsidP="001B2857">
      <w:pPr>
        <w:pStyle w:val="aff0"/>
        <w:numPr>
          <w:ilvl w:val="0"/>
          <w:numId w:val="14"/>
        </w:numPr>
        <w:ind w:left="714" w:firstLineChars="0" w:hanging="357"/>
      </w:pPr>
      <w:r>
        <w:t>Otherwise, when indicated in SIB (other than SIB1), epoch time of assistance information (i.e. Serving satellite ephemeris and Common TA parameters) is implicitly known as the end of the SI window during which the SI message is transmitted.</w:t>
      </w:r>
    </w:p>
    <w:p w14:paraId="0C8A9229" w14:textId="77777777" w:rsidR="0027574D" w:rsidRDefault="0027574D" w:rsidP="001B2857">
      <w:pPr>
        <w:pStyle w:val="aff0"/>
        <w:numPr>
          <w:ilvl w:val="0"/>
          <w:numId w:val="14"/>
        </w:numPr>
        <w:ind w:left="714" w:firstLineChars="0" w:hanging="357"/>
      </w:pPr>
      <w:r>
        <w:t>When provided through dedicated signaling, epoch time of assistance information (i.e. Serving satellite ephemeris and Common TA parameters) is the starting time of a DL sub-frame, indicated by a SFN and a sub-frame number.</w:t>
      </w:r>
    </w:p>
    <w:p w14:paraId="3B15DB41" w14:textId="77777777" w:rsidR="0027574D" w:rsidRDefault="0027574D" w:rsidP="0027574D"/>
    <w:p w14:paraId="3B701557" w14:textId="7AC22882" w:rsidR="008D1FBC" w:rsidRDefault="00A52C9A" w:rsidP="00F858C0">
      <w:pPr>
        <w:spacing w:afterLines="50" w:after="156"/>
        <w:jc w:val="both"/>
        <w:rPr>
          <w:lang w:eastAsia="ja-JP"/>
        </w:rPr>
      </w:pPr>
      <w:r>
        <w:rPr>
          <w:szCs w:val="22"/>
          <w:lang w:eastAsia="ja-JP"/>
        </w:rPr>
        <w:t>Based on</w:t>
      </w:r>
      <w:r w:rsidR="000476ED">
        <w:rPr>
          <w:szCs w:val="22"/>
          <w:lang w:eastAsia="ja-JP"/>
        </w:rPr>
        <w:t xml:space="preserve"> the above agreements, the UE can calculate its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0476ED">
        <w:rPr>
          <w:szCs w:val="22"/>
          <w:lang w:eastAsia="ja-JP"/>
        </w:rPr>
        <w:t xml:space="preserve"> from </w:t>
      </w:r>
      <w:r w:rsidR="00343F66">
        <w:rPr>
          <w:szCs w:val="22"/>
          <w:lang w:eastAsia="ja-JP"/>
        </w:rPr>
        <w:t xml:space="preserve">the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00F858C0">
        <w:rPr>
          <w:rFonts w:hint="eastAsia"/>
          <w:iCs/>
          <w:sz w:val="22"/>
          <w:szCs w:val="22"/>
          <w:lang w:eastAsia="ja-JP"/>
        </w:rPr>
        <w:t xml:space="preserve">, </w:t>
      </w:r>
      <w:r w:rsidR="00F858C0">
        <w:rPr>
          <w:iCs/>
          <w:sz w:val="22"/>
          <w:szCs w:val="22"/>
          <w:lang w:eastAsia="ja-JP"/>
        </w:rPr>
        <w:t xml:space="preserve">and equation of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00F858C0">
        <w:rPr>
          <w:iCs/>
          <w:sz w:val="22"/>
          <w:szCs w:val="22"/>
          <w:lang w:eastAsia="ja-JP"/>
        </w:rPr>
        <w:t xml:space="preserve"> was agreed as above</w:t>
      </w:r>
      <w:r w:rsidR="00F858C0">
        <w:rPr>
          <w:rFonts w:hint="eastAsia"/>
          <w:iCs/>
          <w:sz w:val="22"/>
          <w:szCs w:val="22"/>
          <w:lang w:eastAsia="ja-JP"/>
        </w:rPr>
        <w:t xml:space="preserve">. </w:t>
      </w:r>
      <w:r w:rsidR="00F858C0">
        <w:rPr>
          <w:iCs/>
          <w:sz w:val="22"/>
          <w:szCs w:val="22"/>
          <w:lang w:eastAsia="ja-JP"/>
        </w:rPr>
        <w:t xml:space="preserve">However, </w:t>
      </w:r>
      <w:r w:rsidR="0033561A">
        <w:rPr>
          <w:iCs/>
          <w:sz w:val="22"/>
          <w:szCs w:val="22"/>
          <w:lang w:eastAsia="ja-JP"/>
        </w:rPr>
        <w:t xml:space="preserve">current specification doesn’t define the equation for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0033561A">
        <w:rPr>
          <w:rFonts w:hint="eastAsia"/>
          <w:iCs/>
          <w:sz w:val="22"/>
          <w:szCs w:val="22"/>
          <w:lang w:eastAsia="ja-JP"/>
        </w:rPr>
        <w:t>.</w:t>
      </w:r>
    </w:p>
    <w:p w14:paraId="444450D4" w14:textId="7B16F157" w:rsidR="000476ED" w:rsidRPr="00B3433E" w:rsidRDefault="00946642" w:rsidP="0009270B">
      <w:pPr>
        <w:spacing w:afterLines="50" w:after="156"/>
        <w:jc w:val="both"/>
        <w:rPr>
          <w:szCs w:val="22"/>
          <w:lang w:eastAsia="ja-JP"/>
        </w:rPr>
      </w:pPr>
      <w:r>
        <w:rPr>
          <w:lang w:eastAsia="x-none"/>
        </w:rPr>
        <w:t xml:space="preserve">In this contribution we </w:t>
      </w:r>
      <w:r w:rsidR="0033561A">
        <w:rPr>
          <w:lang w:eastAsia="x-none"/>
        </w:rPr>
        <w:t xml:space="preserve">will </w:t>
      </w:r>
      <w:r>
        <w:rPr>
          <w:lang w:eastAsia="x-none"/>
        </w:rPr>
        <w:t xml:space="preserve">discuss </w:t>
      </w:r>
      <w:r w:rsidR="0033561A">
        <w:rPr>
          <w:lang w:eastAsia="x-none"/>
        </w:rPr>
        <w:t xml:space="preserve">the issue and propose solutions to clarify </w:t>
      </w:r>
      <w:r w:rsidR="00F05BFD">
        <w:rPr>
          <w:lang w:eastAsia="x-none"/>
        </w:rPr>
        <w:t>this issue</w:t>
      </w:r>
      <w:r w:rsidR="0033561A">
        <w:rPr>
          <w:lang w:eastAsia="x-none"/>
        </w:rPr>
        <w:t xml:space="preserve">. </w:t>
      </w:r>
    </w:p>
    <w:p w14:paraId="68BA17AE" w14:textId="11190DCC" w:rsidR="00211309" w:rsidRPr="00233DFF" w:rsidRDefault="00DD5190" w:rsidP="00C76E53">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sidRPr="00233DFF">
        <w:rPr>
          <w:sz w:val="32"/>
          <w:szCs w:val="32"/>
        </w:rPr>
        <w:t>Discussion</w:t>
      </w:r>
    </w:p>
    <w:p w14:paraId="2D979304" w14:textId="213A4E20" w:rsidR="00D72100" w:rsidRDefault="00D72100" w:rsidP="00C751E4">
      <w:pPr>
        <w:spacing w:afterLines="50" w:after="156"/>
        <w:jc w:val="both"/>
        <w:rPr>
          <w:rFonts w:eastAsia="SimSun"/>
          <w:bCs/>
          <w:iCs/>
          <w:szCs w:val="16"/>
          <w:lang w:eastAsia="ko-KR"/>
        </w:rPr>
      </w:pPr>
      <w:r>
        <w:rPr>
          <w:rFonts w:eastAsia="SimSun"/>
          <w:bCs/>
          <w:iCs/>
          <w:szCs w:val="16"/>
          <w:lang w:eastAsia="ko-KR"/>
        </w:rPr>
        <w:t>In current TS3</w:t>
      </w:r>
      <w:r w:rsidR="00FD60D6">
        <w:rPr>
          <w:rFonts w:eastAsia="SimSun"/>
          <w:bCs/>
          <w:iCs/>
          <w:szCs w:val="16"/>
          <w:lang w:eastAsia="ko-KR"/>
        </w:rPr>
        <w:t>6</w:t>
      </w:r>
      <w:r>
        <w:rPr>
          <w:rFonts w:eastAsia="SimSun"/>
          <w:bCs/>
          <w:iCs/>
          <w:szCs w:val="16"/>
          <w:lang w:eastAsia="ko-KR"/>
        </w:rPr>
        <w:t xml:space="preserve">.211, section </w:t>
      </w:r>
      <w:r w:rsidR="00541EE2">
        <w:rPr>
          <w:rFonts w:eastAsia="SimSun"/>
          <w:bCs/>
          <w:iCs/>
          <w:szCs w:val="16"/>
          <w:lang w:eastAsia="ko-KR"/>
        </w:rPr>
        <w:t>8</w:t>
      </w:r>
      <w:r>
        <w:rPr>
          <w:rFonts w:eastAsia="SimSun"/>
          <w:bCs/>
          <w:iCs/>
          <w:szCs w:val="16"/>
          <w:lang w:eastAsia="ko-KR"/>
        </w:rPr>
        <w:t xml:space="preserve">.1 </w:t>
      </w:r>
      <w:r w:rsidR="00A4571B">
        <w:rPr>
          <w:rFonts w:eastAsia="SimSun"/>
          <w:bCs/>
          <w:iCs/>
          <w:szCs w:val="16"/>
          <w:lang w:eastAsia="ko-KR"/>
        </w:rPr>
        <w:t>includes the</w:t>
      </w:r>
      <w:r>
        <w:rPr>
          <w:rFonts w:eastAsia="SimSun"/>
          <w:bCs/>
          <w:iCs/>
          <w:szCs w:val="16"/>
          <w:lang w:eastAsia="ko-KR"/>
        </w:rPr>
        <w:t xml:space="preserve"> following: </w:t>
      </w:r>
    </w:p>
    <w:p w14:paraId="258FFFAB" w14:textId="77777777" w:rsidR="00541EE2" w:rsidRDefault="00541EE2" w:rsidP="00541EE2">
      <w:pPr>
        <w:widowControl w:val="0"/>
        <w:ind w:left="720"/>
      </w:pPr>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EB8BF5E" w14:textId="55613468" w:rsidR="00D72100" w:rsidRPr="00F02FFB" w:rsidRDefault="00F02FFB" w:rsidP="00C751E4">
      <w:pPr>
        <w:spacing w:afterLines="50" w:after="156"/>
        <w:jc w:val="both"/>
        <w:rPr>
          <w:rFonts w:eastAsiaTheme="minorEastAsia"/>
          <w:bCs/>
          <w:szCs w:val="16"/>
          <w:lang w:val="x-none" w:eastAsia="ja-JP"/>
        </w:rPr>
      </w:pPr>
      <w:r>
        <w:rPr>
          <w:rFonts w:eastAsiaTheme="minorEastAsia" w:hint="eastAsia"/>
          <w:bCs/>
          <w:iCs/>
          <w:szCs w:val="16"/>
          <w:lang w:val="x-none" w:eastAsia="ja-JP"/>
        </w:rPr>
        <w:t>C</w:t>
      </w:r>
      <w:r>
        <w:rPr>
          <w:rFonts w:eastAsiaTheme="minorEastAsia"/>
          <w:bCs/>
          <w:iCs/>
          <w:szCs w:val="16"/>
          <w:lang w:val="x-none" w:eastAsia="ja-JP"/>
        </w:rPr>
        <w:t>urrent spec</w:t>
      </w:r>
      <w:r w:rsidR="00F05BFD">
        <w:rPr>
          <w:rFonts w:eastAsiaTheme="minorEastAsia"/>
          <w:bCs/>
          <w:iCs/>
          <w:szCs w:val="16"/>
          <w:lang w:val="x-none" w:eastAsia="ja-JP"/>
        </w:rPr>
        <w:t>ification</w:t>
      </w:r>
      <w:r>
        <w:rPr>
          <w:rFonts w:eastAsiaTheme="minorEastAsia"/>
          <w:bCs/>
          <w:iCs/>
          <w:szCs w:val="16"/>
          <w:lang w:val="x-none" w:eastAsia="ja-JP"/>
        </w:rPr>
        <w:t xml:space="preserve"> only mentions that </w:t>
      </w:r>
      <w:r w:rsidR="00F05BFD">
        <w:rPr>
          <w:rFonts w:eastAsiaTheme="minorEastAsia"/>
          <w:bCs/>
          <w:iCs/>
          <w:szCs w:val="16"/>
          <w:lang w:val="x-none" w:eastAsia="ja-JP"/>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rsidR="00F05BFD" w:rsidRPr="00F05BFD">
        <w:t>”</w:t>
      </w:r>
      <w:r>
        <w:t xml:space="preserve">. This means that how to calculate </w:t>
      </w:r>
      <w:r w:rsidR="00CB5BC8">
        <w:t xml:space="preserve">the common </w:t>
      </w:r>
      <w:r w:rsidR="006C5A02" w:rsidRPr="004C491D">
        <w:t>transmission delay between the uplink time r</w:t>
      </w:r>
      <w:r w:rsidR="006C5A02">
        <w:t xml:space="preserve">eference point and the satellite </w:t>
      </w:r>
      <w:r>
        <w:t xml:space="preserve">is up to UE implementation. However, </w:t>
      </w:r>
      <w:r w:rsidR="00771CD5">
        <w:t xml:space="preserve">if </w:t>
      </w:r>
      <w:r w:rsidR="00F05BFD">
        <w:t xml:space="preserve">different </w:t>
      </w:r>
      <w:r w:rsidR="00771CD5">
        <w:t>UEs use different algorithm</w:t>
      </w:r>
      <w:r w:rsidR="005E798F">
        <w:t>s</w:t>
      </w:r>
      <w:r w:rsidR="00771CD5">
        <w:t xml:space="preserve"> to calculate</w:t>
      </w:r>
      <w:r w:rsidR="006C5A02">
        <w:t xml:space="preserve"> the transmission delay</w:t>
      </w:r>
      <w:r w:rsidR="00994DCD">
        <w:t xml:space="preserve">, misalignment of received timing at </w:t>
      </w:r>
      <w:r w:rsidR="00AA6118">
        <w:t xml:space="preserve">the eNB </w:t>
      </w:r>
      <w:r w:rsidR="00994DCD">
        <w:t xml:space="preserve">could occur. This misalignment </w:t>
      </w:r>
      <w:r w:rsidR="001653D2">
        <w:t xml:space="preserve">could </w:t>
      </w:r>
      <w:r w:rsidR="00CE1E30">
        <w:t xml:space="preserve">increase interference of received signals transmitted from different UEs. Therefore, we propose to capture </w:t>
      </w:r>
      <w:r w:rsidR="00F05BFD">
        <w:t xml:space="preserve">the </w:t>
      </w:r>
      <w:r w:rsidR="006C5A02">
        <w:t>equation</w:t>
      </w:r>
      <w:r w:rsidR="00F05BFD">
        <w:t xml:space="preserve"> </w:t>
      </w:r>
      <w:r w:rsidR="006C5A02">
        <w:t xml:space="preserve">to </w:t>
      </w:r>
      <w:r w:rsidR="006C5A02">
        <w:lastRenderedPageBreak/>
        <w:t xml:space="preserve">calculate the transmission delay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008E4E6F">
        <w:rPr>
          <w:rFonts w:hint="eastAsia"/>
          <w:iCs/>
          <w:sz w:val="22"/>
          <w:szCs w:val="22"/>
          <w:lang w:eastAsia="ja-JP"/>
        </w:rPr>
        <w:t xml:space="preserve"> </w:t>
      </w:r>
      <w:r w:rsidR="00534892" w:rsidRPr="00C3730C">
        <w:rPr>
          <w:iCs/>
          <w:lang w:eastAsia="ja-JP"/>
        </w:rPr>
        <w:t xml:space="preserve">and epoch time definition </w:t>
      </w:r>
      <w:r w:rsidR="008E4E6F" w:rsidRPr="00C3730C">
        <w:rPr>
          <w:iCs/>
          <w:lang w:eastAsia="ja-JP"/>
        </w:rPr>
        <w:t xml:space="preserve">which </w:t>
      </w:r>
      <w:r w:rsidR="00F05BFD" w:rsidRPr="00C3730C">
        <w:rPr>
          <w:iCs/>
          <w:lang w:eastAsia="ja-JP"/>
        </w:rPr>
        <w:t>are</w:t>
      </w:r>
      <w:r w:rsidR="008E4E6F" w:rsidRPr="00C3730C">
        <w:rPr>
          <w:iCs/>
          <w:lang w:eastAsia="ja-JP"/>
        </w:rPr>
        <w:t xml:space="preserve"> agreed</w:t>
      </w:r>
      <w:r w:rsidR="00F05BFD" w:rsidRPr="00C3730C">
        <w:rPr>
          <w:iCs/>
          <w:lang w:eastAsia="ja-JP"/>
        </w:rPr>
        <w:t xml:space="preserve"> in RAN1 107-e</w:t>
      </w:r>
      <w:r w:rsidR="006C5A02" w:rsidRPr="00DB4B04">
        <w:t>.</w:t>
      </w:r>
      <w:r w:rsidR="00D25D5F" w:rsidRPr="008375EE">
        <w:t xml:space="preserve"> </w:t>
      </w:r>
      <w:r w:rsidR="00D25D5F">
        <w:t xml:space="preserve">We think </w:t>
      </w:r>
      <w:r w:rsidR="00C81269">
        <w:t xml:space="preserve">that </w:t>
      </w:r>
      <w:r w:rsidR="00C81269" w:rsidRPr="00C81269">
        <w:t xml:space="preserve">this issue needs to be first </w:t>
      </w:r>
      <w:r w:rsidR="00C81269">
        <w:t>discussed</w:t>
      </w:r>
      <w:r w:rsidR="00C81269" w:rsidRPr="00C81269">
        <w:t xml:space="preserve"> in NR NTN</w:t>
      </w:r>
      <w:r w:rsidR="008E4A90">
        <w:t xml:space="preserve"> and we </w:t>
      </w:r>
      <w:r w:rsidR="00CC3494">
        <w:t xml:space="preserve">have </w:t>
      </w:r>
      <w:r w:rsidR="008E4A90">
        <w:t>provide</w:t>
      </w:r>
      <w:r w:rsidR="00CC3494">
        <w:t>d</w:t>
      </w:r>
      <w:r w:rsidR="008E4A90">
        <w:t xml:space="preserve"> </w:t>
      </w:r>
      <w:r w:rsidR="00CC3494">
        <w:t xml:space="preserve">a companion </w:t>
      </w:r>
      <w:r w:rsidR="00A42D63">
        <w:t>contribution</w:t>
      </w:r>
      <w:r w:rsidR="008E4A90">
        <w:t xml:space="preserve"> in </w:t>
      </w:r>
      <w:r w:rsidR="004B4813">
        <w:t xml:space="preserve">the </w:t>
      </w:r>
      <w:r w:rsidR="008E4A90">
        <w:t>NR NTN</w:t>
      </w:r>
      <w:r w:rsidR="00910581">
        <w:t xml:space="preserve"> </w:t>
      </w:r>
      <w:r w:rsidR="004B4813">
        <w:t xml:space="preserve">agenda </w:t>
      </w:r>
      <w:r w:rsidR="00910581">
        <w:t>[2]</w:t>
      </w:r>
      <w:r w:rsidR="00AE72B7">
        <w:t>.</w:t>
      </w:r>
      <w:r w:rsidR="00C81269">
        <w:t xml:space="preserve"> If</w:t>
      </w:r>
      <w:r w:rsidR="00C47FAD">
        <w:t xml:space="preserve"> the issue is agreed in NR NTN, IoT</w:t>
      </w:r>
      <w:r w:rsidR="004B4813">
        <w:t>-NTN</w:t>
      </w:r>
      <w:r w:rsidR="00C47FAD">
        <w:t xml:space="preserve"> should</w:t>
      </w:r>
      <w:r w:rsidR="00652532">
        <w:t xml:space="preserve"> also</w:t>
      </w:r>
      <w:r w:rsidR="00C47FAD">
        <w:t xml:space="preserve"> </w:t>
      </w:r>
      <w:r w:rsidR="00503C7C">
        <w:t xml:space="preserve">capture the </w:t>
      </w:r>
      <w:r w:rsidR="00172DF1">
        <w:t xml:space="preserve">agreement in </w:t>
      </w:r>
      <w:r w:rsidR="004B4813">
        <w:t>the TS36.</w:t>
      </w:r>
      <w:r w:rsidR="009A0727">
        <w:t xml:space="preserve">211 </w:t>
      </w:r>
      <w:r w:rsidR="00172DF1">
        <w:t>specification.</w:t>
      </w:r>
    </w:p>
    <w:p w14:paraId="6FFD7377" w14:textId="34DECBEB" w:rsidR="007D59C4" w:rsidRPr="00652532" w:rsidRDefault="007D59C4" w:rsidP="007D59C4">
      <w:pPr>
        <w:spacing w:afterLines="50" w:after="156"/>
        <w:jc w:val="both"/>
        <w:rPr>
          <w:b/>
          <w:bCs/>
          <w:color w:val="000000"/>
          <w:lang w:eastAsia="ja-JP"/>
        </w:rPr>
      </w:pPr>
      <w:r w:rsidRPr="00652532">
        <w:rPr>
          <w:b/>
          <w:bCs/>
          <w:color w:val="000000"/>
          <w:lang w:eastAsia="ja-JP"/>
        </w:rPr>
        <w:t xml:space="preserve">Proposal: </w:t>
      </w:r>
      <w:r w:rsidRPr="00652532">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00534892" w:rsidRPr="00652532">
        <w:rPr>
          <w:rFonts w:hint="eastAsia"/>
          <w:b/>
          <w:bCs/>
          <w:iCs/>
          <w:lang w:eastAsia="ja-JP"/>
        </w:rPr>
        <w:t>a</w:t>
      </w:r>
      <w:r w:rsidR="00534892" w:rsidRPr="00652532">
        <w:rPr>
          <w:b/>
          <w:bCs/>
          <w:iCs/>
          <w:lang w:eastAsia="ja-JP"/>
        </w:rPr>
        <w:t xml:space="preserve">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00534892" w:rsidRPr="00652532">
        <w:rPr>
          <w:b/>
          <w:bCs/>
          <w:iCs/>
          <w:lang w:eastAsia="ja-JP"/>
        </w:rPr>
        <w:t xml:space="preserve"> definition </w:t>
      </w:r>
      <w:r w:rsidRPr="00652532">
        <w:rPr>
          <w:rFonts w:hint="eastAsia"/>
          <w:b/>
          <w:bCs/>
          <w:iCs/>
          <w:lang w:eastAsia="ja-JP"/>
        </w:rPr>
        <w:t>i</w:t>
      </w:r>
      <w:r w:rsidRPr="00652532">
        <w:rPr>
          <w:b/>
          <w:bCs/>
          <w:iCs/>
          <w:lang w:eastAsia="ja-JP"/>
        </w:rPr>
        <w:t>n RAN1 107-e should be captured in specification.</w:t>
      </w:r>
      <w:r w:rsidR="00172DF1" w:rsidRPr="00652532">
        <w:rPr>
          <w:b/>
          <w:bCs/>
          <w:iCs/>
          <w:lang w:eastAsia="ja-JP"/>
        </w:rPr>
        <w:t xml:space="preserve"> If </w:t>
      </w:r>
      <w:r w:rsidR="00652532" w:rsidRPr="00652532">
        <w:rPr>
          <w:b/>
          <w:bCs/>
          <w:iCs/>
          <w:lang w:eastAsia="ja-JP"/>
        </w:rPr>
        <w:t xml:space="preserve">this issue is agreed in NR NTN, </w:t>
      </w:r>
      <w:r w:rsidR="00385C5A">
        <w:rPr>
          <w:b/>
          <w:bCs/>
        </w:rPr>
        <w:t>IoT NTN</w:t>
      </w:r>
      <w:r w:rsidR="00652532" w:rsidRPr="00652532">
        <w:rPr>
          <w:b/>
          <w:bCs/>
        </w:rPr>
        <w:t xml:space="preserve"> should also capture the agreement in </w:t>
      </w:r>
      <w:r w:rsidR="00124616">
        <w:rPr>
          <w:b/>
          <w:bCs/>
        </w:rPr>
        <w:t xml:space="preserve">the </w:t>
      </w:r>
      <w:r w:rsidR="00456A87">
        <w:rPr>
          <w:b/>
          <w:bCs/>
        </w:rPr>
        <w:t xml:space="preserve">TS36.211 </w:t>
      </w:r>
      <w:r w:rsidR="00652532" w:rsidRPr="00652532">
        <w:rPr>
          <w:b/>
          <w:bCs/>
        </w:rPr>
        <w:t>specification.</w:t>
      </w:r>
    </w:p>
    <w:p w14:paraId="7500CEBC" w14:textId="63C9E6D2" w:rsidR="00DF4F97" w:rsidRPr="00233DFF" w:rsidRDefault="00DD5190" w:rsidP="00620DE5">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ＭＳ 明朝"/>
          <w:bCs w:val="0"/>
          <w:kern w:val="0"/>
          <w:sz w:val="32"/>
          <w:szCs w:val="32"/>
        </w:rPr>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7093549E" w:rsidR="00E262A3" w:rsidRPr="00D363F7" w:rsidRDefault="00E262A3" w:rsidP="00620DE5">
      <w:pPr>
        <w:jc w:val="both"/>
        <w:rPr>
          <w:lang w:eastAsia="ja-JP"/>
        </w:rPr>
      </w:pPr>
      <w:r w:rsidRPr="007E55B9">
        <w:rPr>
          <w:lang w:eastAsia="ja-JP"/>
        </w:rPr>
        <w:t xml:space="preserve">In this contribution, we discussed </w:t>
      </w:r>
      <w:r w:rsidR="00AC168C" w:rsidRPr="0084010D">
        <w:rPr>
          <w:lang w:eastAsia="ja-JP"/>
        </w:rPr>
        <w:t xml:space="preserve">issue of </w:t>
      </w:r>
      <w:r w:rsidRPr="0084010D">
        <w:rPr>
          <w:lang w:eastAsia="ja-JP"/>
        </w:rPr>
        <w:t xml:space="preserve">the </w:t>
      </w:r>
      <w:r w:rsidR="00AC168C" w:rsidRPr="0084010D">
        <w:rPr>
          <w:lang w:eastAsia="ja-JP"/>
        </w:rPr>
        <w:t>common TA misalignment.</w:t>
      </w:r>
      <w:r w:rsidRPr="006D0912">
        <w:rPr>
          <w:lang w:eastAsia="ja-JP"/>
        </w:rPr>
        <w:t xml:space="preserve"> We </w:t>
      </w:r>
      <w:r w:rsidR="009A6370" w:rsidRPr="00D363F7">
        <w:rPr>
          <w:lang w:eastAsia="ja-JP"/>
        </w:rPr>
        <w:t>proposed as follows:</w:t>
      </w:r>
    </w:p>
    <w:p w14:paraId="71912993" w14:textId="6241B3A9" w:rsidR="00910581" w:rsidRPr="00652532" w:rsidRDefault="00910581" w:rsidP="00910581">
      <w:pPr>
        <w:spacing w:afterLines="50" w:after="156"/>
        <w:jc w:val="both"/>
        <w:rPr>
          <w:b/>
          <w:bCs/>
          <w:color w:val="000000"/>
          <w:lang w:eastAsia="ja-JP"/>
        </w:rPr>
      </w:pPr>
      <w:r w:rsidRPr="00652532">
        <w:rPr>
          <w:b/>
          <w:bCs/>
          <w:color w:val="000000"/>
          <w:lang w:eastAsia="ja-JP"/>
        </w:rPr>
        <w:t xml:space="preserve">Proposal: </w:t>
      </w:r>
      <w:r w:rsidRPr="00652532">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652532">
        <w:rPr>
          <w:rFonts w:hint="eastAsia"/>
          <w:b/>
          <w:bCs/>
          <w:iCs/>
          <w:lang w:eastAsia="ja-JP"/>
        </w:rPr>
        <w:t>a</w:t>
      </w:r>
      <w:r w:rsidRPr="00652532">
        <w:rPr>
          <w:b/>
          <w:bCs/>
          <w:iCs/>
          <w:lang w:eastAsia="ja-JP"/>
        </w:rPr>
        <w:t xml:space="preserve">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652532">
        <w:rPr>
          <w:b/>
          <w:bCs/>
          <w:iCs/>
          <w:lang w:eastAsia="ja-JP"/>
        </w:rPr>
        <w:t xml:space="preserve"> definition </w:t>
      </w:r>
      <w:r w:rsidRPr="00652532">
        <w:rPr>
          <w:rFonts w:hint="eastAsia"/>
          <w:b/>
          <w:bCs/>
          <w:iCs/>
          <w:lang w:eastAsia="ja-JP"/>
        </w:rPr>
        <w:t>i</w:t>
      </w:r>
      <w:r w:rsidRPr="00652532">
        <w:rPr>
          <w:b/>
          <w:bCs/>
          <w:iCs/>
          <w:lang w:eastAsia="ja-JP"/>
        </w:rPr>
        <w:t xml:space="preserve">n RAN1 107-e should be captured in specification. If this issue is agreed in NR NTN, </w:t>
      </w:r>
      <w:r w:rsidR="004D4968">
        <w:rPr>
          <w:b/>
          <w:bCs/>
          <w:iCs/>
          <w:lang w:eastAsia="ja-JP"/>
        </w:rPr>
        <w:t xml:space="preserve">IoT </w:t>
      </w:r>
      <w:r w:rsidRPr="00652532">
        <w:rPr>
          <w:b/>
          <w:bCs/>
        </w:rPr>
        <w:t xml:space="preserve">NTN should also capture the agreement in </w:t>
      </w:r>
      <w:r w:rsidR="004D4968">
        <w:rPr>
          <w:b/>
          <w:bCs/>
        </w:rPr>
        <w:t xml:space="preserve">the TS36.211 </w:t>
      </w:r>
      <w:r w:rsidRPr="00652532">
        <w:rPr>
          <w:b/>
          <w:bCs/>
        </w:rPr>
        <w:t>specification.</w:t>
      </w:r>
    </w:p>
    <w:p w14:paraId="2E431D48" w14:textId="77777777" w:rsidR="00DD5190" w:rsidRPr="006949B2" w:rsidRDefault="00DD5190" w:rsidP="006465A2">
      <w:pPr>
        <w:spacing w:afterLines="50" w:after="156"/>
        <w:jc w:val="both"/>
        <w:rPr>
          <w:rFonts w:eastAsia="ＭＳ 明朝"/>
          <w:bCs/>
          <w:sz w:val="32"/>
          <w:szCs w:val="20"/>
        </w:rPr>
      </w:pPr>
      <w:r w:rsidRPr="00D60DD4">
        <w:rPr>
          <w:rFonts w:eastAsia="Times New Roman"/>
          <w:bCs/>
          <w:sz w:val="32"/>
          <w:szCs w:val="20"/>
        </w:rPr>
        <w:t>References</w:t>
      </w:r>
    </w:p>
    <w:p w14:paraId="118C890F" w14:textId="29715061" w:rsidR="00CD7B0D" w:rsidRDefault="00CD7B0D" w:rsidP="00CD7B0D">
      <w:pPr>
        <w:ind w:left="709" w:hanging="709"/>
        <w:jc w:val="both"/>
        <w:rPr>
          <w:lang w:eastAsia="ja-JP"/>
        </w:rPr>
      </w:pPr>
      <w:r w:rsidRPr="00103234">
        <w:rPr>
          <w:lang w:eastAsia="ja-JP"/>
        </w:rPr>
        <w:t>[</w:t>
      </w:r>
      <w:r>
        <w:rPr>
          <w:lang w:eastAsia="ja-JP"/>
        </w:rPr>
        <w:t>1]</w:t>
      </w:r>
      <w:r>
        <w:rPr>
          <w:lang w:eastAsia="ja-JP"/>
        </w:rPr>
        <w:tab/>
      </w:r>
      <w:r w:rsidRPr="00103234">
        <w:rPr>
          <w:lang w:eastAsia="ja-JP"/>
        </w:rPr>
        <w:t>Chairman's Notes RAN1</w:t>
      </w:r>
      <w:r>
        <w:rPr>
          <w:rFonts w:hint="eastAsia"/>
          <w:lang w:eastAsia="ja-JP"/>
        </w:rPr>
        <w:t xml:space="preserve"> #</w:t>
      </w:r>
      <w:r>
        <w:rPr>
          <w:lang w:eastAsia="ja-JP"/>
        </w:rPr>
        <w:t>107-e</w:t>
      </w:r>
      <w:r w:rsidRPr="00103234">
        <w:rPr>
          <w:lang w:eastAsia="ja-JP"/>
        </w:rPr>
        <w:t xml:space="preserve">, </w:t>
      </w:r>
      <w:r>
        <w:rPr>
          <w:lang w:eastAsia="ja-JP"/>
        </w:rPr>
        <w:t>November</w:t>
      </w:r>
      <w:r w:rsidRPr="00103234">
        <w:rPr>
          <w:lang w:eastAsia="ja-JP"/>
        </w:rPr>
        <w:t xml:space="preserve"> 20</w:t>
      </w:r>
      <w:r>
        <w:rPr>
          <w:lang w:eastAsia="ja-JP"/>
        </w:rPr>
        <w:t>21</w:t>
      </w:r>
      <w:r w:rsidRPr="00103234">
        <w:rPr>
          <w:lang w:eastAsia="ja-JP"/>
        </w:rPr>
        <w:t>.</w:t>
      </w:r>
    </w:p>
    <w:p w14:paraId="4AC5599F" w14:textId="59B74CEE" w:rsidR="00185AB0" w:rsidRPr="00244BB6" w:rsidRDefault="00185AB0" w:rsidP="00185AB0">
      <w:pPr>
        <w:ind w:left="709" w:hanging="709"/>
        <w:jc w:val="both"/>
        <w:rPr>
          <w:lang w:eastAsia="ja-JP"/>
        </w:rPr>
      </w:pPr>
      <w:r w:rsidRPr="002F5005">
        <w:rPr>
          <w:lang w:eastAsia="ja-JP"/>
        </w:rPr>
        <w:t>[</w:t>
      </w:r>
      <w:r>
        <w:rPr>
          <w:lang w:eastAsia="ja-JP"/>
        </w:rPr>
        <w:t>2</w:t>
      </w:r>
      <w:r w:rsidRPr="002F5005">
        <w:rPr>
          <w:lang w:eastAsia="ja-JP"/>
        </w:rPr>
        <w:t>]</w:t>
      </w:r>
      <w:r>
        <w:rPr>
          <w:lang w:eastAsia="ja-JP"/>
        </w:rPr>
        <w:tab/>
      </w:r>
      <w:r w:rsidRPr="00120832">
        <w:rPr>
          <w:color w:val="000000"/>
          <w:lang w:eastAsia="ja-JP"/>
        </w:rPr>
        <w:t>R</w:t>
      </w:r>
      <w:r>
        <w:rPr>
          <w:color w:val="000000"/>
          <w:lang w:eastAsia="ja-JP"/>
        </w:rPr>
        <w:t>1</w:t>
      </w:r>
      <w:r w:rsidRPr="00120832">
        <w:rPr>
          <w:color w:val="000000"/>
          <w:lang w:eastAsia="ja-JP"/>
        </w:rPr>
        <w:t>-</w:t>
      </w:r>
      <w:r w:rsidR="000E5F94" w:rsidRPr="008369D6">
        <w:rPr>
          <w:rFonts w:cstheme="minorHAnsi"/>
        </w:rPr>
        <w:t>220158</w:t>
      </w:r>
      <w:r w:rsidR="00FF1152">
        <w:rPr>
          <w:rFonts w:cstheme="minorHAnsi" w:hint="eastAsia"/>
          <w:lang w:eastAsia="ja-JP"/>
        </w:rPr>
        <w:t>1</w:t>
      </w:r>
      <w:r w:rsidRPr="00120832">
        <w:rPr>
          <w:color w:val="000000"/>
          <w:lang w:eastAsia="ja-JP"/>
        </w:rPr>
        <w:t xml:space="preserve">, </w:t>
      </w:r>
      <w:r>
        <w:rPr>
          <w:color w:val="000000"/>
          <w:lang w:eastAsia="ja-JP"/>
        </w:rPr>
        <w:t>Sony</w:t>
      </w:r>
      <w:r w:rsidRPr="00120832">
        <w:rPr>
          <w:color w:val="000000"/>
          <w:lang w:eastAsia="ja-JP"/>
        </w:rPr>
        <w:t>, “</w:t>
      </w:r>
      <w:r w:rsidR="000E5F94" w:rsidRPr="000E5F94">
        <w:rPr>
          <w:rFonts w:cs="Arial"/>
          <w:color w:val="000000"/>
          <w:lang w:eastAsia="ja-JP"/>
        </w:rPr>
        <w:t>Discussion on ambiguity of common TA calculation</w:t>
      </w:r>
      <w:r w:rsidRPr="00120832">
        <w:rPr>
          <w:color w:val="000000"/>
          <w:lang w:eastAsia="ja-JP"/>
        </w:rPr>
        <w:t>,” RAN</w:t>
      </w:r>
      <w:r>
        <w:rPr>
          <w:color w:val="000000"/>
          <w:lang w:eastAsia="ja-JP"/>
        </w:rPr>
        <w:t>1</w:t>
      </w:r>
      <w:r w:rsidRPr="00120832">
        <w:rPr>
          <w:color w:val="000000"/>
          <w:lang w:eastAsia="ja-JP"/>
        </w:rPr>
        <w:t xml:space="preserve"> #</w:t>
      </w:r>
      <w:r w:rsidR="000E5F94">
        <w:rPr>
          <w:color w:val="000000"/>
          <w:lang w:eastAsia="ja-JP"/>
        </w:rPr>
        <w:t>108-e</w:t>
      </w:r>
      <w:r w:rsidRPr="00120832">
        <w:rPr>
          <w:color w:val="000000"/>
          <w:lang w:eastAsia="ja-JP"/>
        </w:rPr>
        <w:t xml:space="preserve">, </w:t>
      </w:r>
      <w:r w:rsidR="000E5F94">
        <w:rPr>
          <w:color w:val="000000"/>
          <w:lang w:eastAsia="ja-JP"/>
        </w:rPr>
        <w:t>Februa</w:t>
      </w:r>
      <w:r w:rsidR="00153DDC">
        <w:rPr>
          <w:color w:val="000000"/>
          <w:lang w:eastAsia="ja-JP"/>
        </w:rPr>
        <w:t>r</w:t>
      </w:r>
      <w:r w:rsidR="000E5F94">
        <w:rPr>
          <w:color w:val="000000"/>
          <w:lang w:eastAsia="ja-JP"/>
        </w:rPr>
        <w:t>y-March</w:t>
      </w:r>
      <w:r w:rsidRPr="00120832">
        <w:rPr>
          <w:color w:val="000000"/>
          <w:lang w:eastAsia="ja-JP"/>
        </w:rPr>
        <w:t xml:space="preserve"> 20</w:t>
      </w:r>
      <w:r w:rsidR="00153DDC">
        <w:rPr>
          <w:color w:val="000000"/>
          <w:lang w:eastAsia="ja-JP"/>
        </w:rPr>
        <w:t>22</w:t>
      </w:r>
      <w:r w:rsidRPr="00120832">
        <w:rPr>
          <w:color w:val="000000"/>
          <w:lang w:eastAsia="ja-JP"/>
        </w:rPr>
        <w:t>.</w:t>
      </w:r>
      <w:r w:rsidRPr="00103234" w:rsidDel="001C3B28">
        <w:rPr>
          <w:lang w:eastAsia="ja-JP"/>
        </w:rPr>
        <w:t xml:space="preserve"> </w:t>
      </w: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headerReference w:type="even" r:id="rId22"/>
      <w:headerReference w:type="default" r:id="rId23"/>
      <w:footerReference w:type="even" r:id="rId24"/>
      <w:footerReference w:type="default" r:id="rId25"/>
      <w:headerReference w:type="first" r:id="rId26"/>
      <w:footerReference w:type="first" r:id="rId2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5D1E" w14:textId="77777777" w:rsidR="0006740C" w:rsidRDefault="0006740C">
      <w:r>
        <w:separator/>
      </w:r>
    </w:p>
  </w:endnote>
  <w:endnote w:type="continuationSeparator" w:id="0">
    <w:p w14:paraId="203DF8D1" w14:textId="77777777" w:rsidR="0006740C" w:rsidRDefault="0006740C">
      <w:r>
        <w:continuationSeparator/>
      </w:r>
    </w:p>
  </w:endnote>
  <w:endnote w:type="continuationNotice" w:id="1">
    <w:p w14:paraId="1C02254F" w14:textId="77777777" w:rsidR="0006740C" w:rsidRDefault="00067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6B56" w14:textId="77777777" w:rsidR="00A42D63" w:rsidRDefault="00A42D6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af"/>
      <w:jc w:val="center"/>
      <w:rPr>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AF55" w14:textId="77777777" w:rsidR="00A42D63" w:rsidRDefault="00A42D6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0FE5" w14:textId="77777777" w:rsidR="0006740C" w:rsidRDefault="0006740C">
      <w:r>
        <w:separator/>
      </w:r>
    </w:p>
  </w:footnote>
  <w:footnote w:type="continuationSeparator" w:id="0">
    <w:p w14:paraId="4ABDCCFA" w14:textId="77777777" w:rsidR="0006740C" w:rsidRDefault="0006740C">
      <w:r>
        <w:continuationSeparator/>
      </w:r>
    </w:p>
  </w:footnote>
  <w:footnote w:type="continuationNotice" w:id="1">
    <w:p w14:paraId="7A2A3BD1" w14:textId="77777777" w:rsidR="0006740C" w:rsidRDefault="00067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9CF98" w14:textId="77777777" w:rsidR="00A42D63" w:rsidRDefault="00A42D6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F2EC" w14:textId="77777777" w:rsidR="00A42D63" w:rsidRDefault="00A42D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BC4D" w14:textId="77777777" w:rsidR="00A42D63" w:rsidRDefault="00A42D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35833"/>
    <w:multiLevelType w:val="multilevel"/>
    <w:tmpl w:val="D130B7E4"/>
    <w:lvl w:ilvl="0">
      <w:start w:val="2"/>
      <w:numFmt w:val="bullet"/>
      <w:lvlText w:val="-"/>
      <w:lvlJc w:val="left"/>
      <w:pPr>
        <w:ind w:left="1860" w:hanging="420"/>
      </w:pPr>
      <w:rPr>
        <w:rFonts w:ascii="游明朝" w:eastAsia="游明朝" w:hAnsi="游明朝" w:cstheme="minorBidi" w:hint="eastAsia"/>
      </w:rPr>
    </w:lvl>
    <w:lvl w:ilvl="1">
      <w:start w:val="2"/>
      <w:numFmt w:val="bullet"/>
      <w:lvlText w:val="-"/>
      <w:lvlJc w:val="left"/>
      <w:pPr>
        <w:ind w:left="2280" w:hanging="420"/>
      </w:pPr>
      <w:rPr>
        <w:rFonts w:ascii="游明朝" w:eastAsia="游明朝" w:hAnsi="游明朝"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7EA0DB3"/>
    <w:multiLevelType w:val="hybridMultilevel"/>
    <w:tmpl w:val="6CF69680"/>
    <w:lvl w:ilvl="0" w:tplc="1DDC00A8">
      <w:start w:val="2"/>
      <w:numFmt w:val="bullet"/>
      <w:lvlText w:val="-"/>
      <w:lvlJc w:val="left"/>
      <w:pPr>
        <w:ind w:left="1124" w:hanging="420"/>
      </w:pPr>
      <w:rPr>
        <w:rFonts w:ascii="游明朝" w:eastAsia="游明朝" w:hAnsi="游明朝"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8" w15:restartNumberingAfterBreak="0">
    <w:nsid w:val="50C42F96"/>
    <w:multiLevelType w:val="multilevel"/>
    <w:tmpl w:val="9F9CCD8A"/>
    <w:lvl w:ilvl="0">
      <w:start w:val="2"/>
      <w:numFmt w:val="bullet"/>
      <w:lvlText w:val="-"/>
      <w:lvlJc w:val="left"/>
      <w:pPr>
        <w:ind w:left="1860" w:hanging="420"/>
      </w:pPr>
      <w:rPr>
        <w:rFonts w:ascii="游明朝" w:eastAsia="游明朝" w:hAnsi="游明朝"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9" w15:restartNumberingAfterBreak="0">
    <w:nsid w:val="56611EE6"/>
    <w:multiLevelType w:val="hybridMultilevel"/>
    <w:tmpl w:val="3FB67682"/>
    <w:lvl w:ilvl="0" w:tplc="1DDC00A8">
      <w:start w:val="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E4075DE"/>
    <w:multiLevelType w:val="hybridMultilevel"/>
    <w:tmpl w:val="4CFA857A"/>
    <w:lvl w:ilvl="0" w:tplc="1DDC00A8">
      <w:start w:val="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6"/>
  </w:num>
  <w:num w:numId="4">
    <w:abstractNumId w:val="17"/>
  </w:num>
  <w:num w:numId="5">
    <w:abstractNumId w:val="15"/>
  </w:num>
  <w:num w:numId="6">
    <w:abstractNumId w:val="13"/>
  </w:num>
  <w:num w:numId="7">
    <w:abstractNumId w:val="1"/>
  </w:num>
  <w:num w:numId="8">
    <w:abstractNumId w:val="2"/>
  </w:num>
  <w:num w:numId="9">
    <w:abstractNumId w:val="12"/>
  </w:num>
  <w:num w:numId="10">
    <w:abstractNumId w:val="18"/>
  </w:num>
  <w:num w:numId="11">
    <w:abstractNumId w:val="10"/>
  </w:num>
  <w:num w:numId="12">
    <w:abstractNumId w:val="4"/>
  </w:num>
  <w:num w:numId="13">
    <w:abstractNumId w:val="5"/>
  </w:num>
  <w:num w:numId="14">
    <w:abstractNumId w:val="14"/>
  </w:num>
  <w:num w:numId="15">
    <w:abstractNumId w:val="9"/>
  </w:num>
  <w:num w:numId="16">
    <w:abstractNumId w:val="7"/>
  </w:num>
  <w:num w:numId="17">
    <w:abstractNumId w:val="11"/>
  </w:num>
  <w:num w:numId="18">
    <w:abstractNumId w:val="8"/>
  </w:num>
  <w:num w:numId="19">
    <w:abstractNumId w:val="3"/>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40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5F94"/>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9CA"/>
    <w:rsid w:val="00112A7F"/>
    <w:rsid w:val="0011378E"/>
    <w:rsid w:val="00113F48"/>
    <w:rsid w:val="001143F5"/>
    <w:rsid w:val="00114B84"/>
    <w:rsid w:val="00114E53"/>
    <w:rsid w:val="001152B6"/>
    <w:rsid w:val="00115577"/>
    <w:rsid w:val="00115623"/>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2A4"/>
    <w:rsid w:val="001237E9"/>
    <w:rsid w:val="00123876"/>
    <w:rsid w:val="00123968"/>
    <w:rsid w:val="00123A58"/>
    <w:rsid w:val="00123A67"/>
    <w:rsid w:val="00123C37"/>
    <w:rsid w:val="00123C6D"/>
    <w:rsid w:val="00123FCF"/>
    <w:rsid w:val="00123FF2"/>
    <w:rsid w:val="001242AA"/>
    <w:rsid w:val="00124616"/>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3D2"/>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3F1E"/>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77"/>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6C8"/>
    <w:rsid w:val="00557733"/>
    <w:rsid w:val="0055777D"/>
    <w:rsid w:val="00557DF6"/>
    <w:rsid w:val="00557E01"/>
    <w:rsid w:val="00557E2A"/>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4CD"/>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5EE"/>
    <w:rsid w:val="00837AFC"/>
    <w:rsid w:val="0084003E"/>
    <w:rsid w:val="0084010D"/>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D6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67"/>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4FFB"/>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63"/>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1D4"/>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30C"/>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70"/>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4B04"/>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A2"/>
    <w:rsid w:val="00EF07D8"/>
    <w:rsid w:val="00EF0923"/>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F76"/>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52"/>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a4"/>
    <w:rsid w:val="006216A1"/>
    <w:pPr>
      <w:numPr>
        <w:numId w:val="10"/>
      </w:numPr>
    </w:pPr>
  </w:style>
  <w:style w:type="numbering" w:customStyle="1" w:styleId="StyleBulletedSymbolsymbolLeft025Hanging025">
    <w:name w:val="Style Bulleted Symbol (symbol) Left:  0.25&quot; Hanging:  0.25&quot;"/>
    <w:basedOn w:val="a4"/>
    <w:rsid w:val="00343F66"/>
    <w:pPr>
      <w:numPr>
        <w:numId w:val="12"/>
      </w:numPr>
    </w:pPr>
  </w:style>
  <w:style w:type="paragraph" w:customStyle="1" w:styleId="Prop1">
    <w:name w:val="Prop1"/>
    <w:basedOn w:val="aff0"/>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0837901">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58395517">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2649819">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40.png@01D7DCBC.E4F60610" TargetMode="External"/><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cid:image044.png@01D7DCBC.E4F6061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42.png@01D7DCBC.E4F6061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39.png@01D7DCBC.E4F6061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cid:image041.png@01D7DCBC.E4F6061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cid:image043.png@01D7DCBC.E4F60610" TargetMode="External"/><Relationship Id="rId4" Type="http://schemas.openxmlformats.org/officeDocument/2006/relationships/settings" Target="settings.xml"/><Relationship Id="rId9" Type="http://schemas.openxmlformats.org/officeDocument/2006/relationships/image" Target="cid:image038.png@01D7DCBC.E4F60610" TargetMode="Externa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2022-02-14T12:50:00Z</dcterms:created>
  <dcterms:modified xsi:type="dcterms:W3CDTF">2022-02-14T13:06:00Z</dcterms:modified>
</cp:coreProperties>
</file>