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0A276CD4" w:rsidR="00695123" w:rsidRPr="00695123" w:rsidRDefault="0019128E" w:rsidP="00695123">
      <w:pPr>
        <w:tabs>
          <w:tab w:val="center" w:pos="4536"/>
          <w:tab w:val="right" w:pos="8280"/>
          <w:tab w:val="right" w:pos="9639"/>
        </w:tabs>
        <w:ind w:right="2"/>
        <w:rPr>
          <w:b/>
          <w:bCs/>
          <w:sz w:val="28"/>
        </w:rPr>
      </w:pPr>
      <w:r>
        <w:rPr>
          <w:b/>
          <w:bCs/>
          <w:sz w:val="28"/>
        </w:rPr>
        <w:t>3GPP TSG RAN WG1 #10</w:t>
      </w:r>
      <w:r w:rsidR="003A53EB">
        <w:rPr>
          <w:b/>
          <w:bCs/>
          <w:sz w:val="28"/>
        </w:rPr>
        <w:t>8</w:t>
      </w:r>
      <w:r w:rsidR="00695123" w:rsidRPr="00695123">
        <w:rPr>
          <w:b/>
          <w:bCs/>
          <w:sz w:val="28"/>
        </w:rPr>
        <w:t>-e</w:t>
      </w:r>
      <w:r w:rsidR="00695123" w:rsidRPr="00695123">
        <w:rPr>
          <w:b/>
          <w:bCs/>
          <w:sz w:val="28"/>
        </w:rPr>
        <w:tab/>
      </w:r>
      <w:r w:rsidR="00695123" w:rsidRPr="00695123">
        <w:rPr>
          <w:b/>
          <w:bCs/>
          <w:sz w:val="28"/>
        </w:rPr>
        <w:tab/>
      </w:r>
      <w:r w:rsidR="00E06A43">
        <w:rPr>
          <w:b/>
          <w:bCs/>
          <w:sz w:val="28"/>
        </w:rPr>
        <w:tab/>
      </w:r>
      <w:r w:rsidR="00996F8C" w:rsidRPr="00996F8C">
        <w:rPr>
          <w:b/>
          <w:bCs/>
          <w:sz w:val="28"/>
        </w:rPr>
        <w:t>R1-220</w:t>
      </w:r>
      <w:r w:rsidR="002E05B2">
        <w:rPr>
          <w:b/>
          <w:bCs/>
          <w:sz w:val="28"/>
        </w:rPr>
        <w:t>2065</w:t>
      </w:r>
    </w:p>
    <w:p w14:paraId="468022D7" w14:textId="3B2DC92D" w:rsidR="005C41F1" w:rsidRPr="00695123" w:rsidRDefault="003D3855" w:rsidP="00695123">
      <w:pPr>
        <w:spacing w:afterLines="50" w:after="120"/>
        <w:ind w:left="1985" w:hanging="1985"/>
        <w:rPr>
          <w:b/>
          <w:sz w:val="28"/>
          <w:szCs w:val="28"/>
        </w:rPr>
      </w:pPr>
      <w:r>
        <w:rPr>
          <w:rFonts w:eastAsia="MS Mincho"/>
          <w:b/>
          <w:bCs/>
          <w:sz w:val="28"/>
          <w:lang w:eastAsia="ja-JP"/>
        </w:rPr>
        <w:t xml:space="preserve">e-Meeting, </w:t>
      </w:r>
      <w:r w:rsidR="003A53EB">
        <w:rPr>
          <w:rFonts w:eastAsia="MS Mincho"/>
          <w:b/>
          <w:bCs/>
          <w:sz w:val="28"/>
          <w:lang w:eastAsia="ja-JP"/>
        </w:rPr>
        <w:t>February</w:t>
      </w:r>
      <w:r w:rsidR="007A5BCB">
        <w:rPr>
          <w:rFonts w:eastAsia="MS Mincho"/>
          <w:b/>
          <w:bCs/>
          <w:sz w:val="28"/>
          <w:lang w:eastAsia="ja-JP"/>
        </w:rPr>
        <w:t xml:space="preserve"> </w:t>
      </w:r>
      <w:r w:rsidR="003A53EB">
        <w:rPr>
          <w:rFonts w:eastAsia="MS Mincho"/>
          <w:b/>
          <w:bCs/>
          <w:sz w:val="28"/>
          <w:lang w:eastAsia="ja-JP"/>
        </w:rPr>
        <w:t>21</w:t>
      </w:r>
      <w:r w:rsidR="003A53EB">
        <w:rPr>
          <w:rFonts w:eastAsia="MS Mincho"/>
          <w:b/>
          <w:bCs/>
          <w:sz w:val="28"/>
          <w:vertAlign w:val="superscript"/>
          <w:lang w:eastAsia="ja-JP"/>
        </w:rPr>
        <w:t>st</w:t>
      </w:r>
      <w:r>
        <w:rPr>
          <w:rFonts w:eastAsia="MS Mincho"/>
          <w:b/>
          <w:bCs/>
          <w:sz w:val="28"/>
          <w:lang w:eastAsia="ja-JP"/>
        </w:rPr>
        <w:t xml:space="preserve"> – </w:t>
      </w:r>
      <w:r w:rsidR="003A53EB">
        <w:rPr>
          <w:rFonts w:eastAsia="MS Mincho"/>
          <w:b/>
          <w:bCs/>
          <w:sz w:val="28"/>
          <w:lang w:eastAsia="ja-JP"/>
        </w:rPr>
        <w:t>March</w:t>
      </w:r>
      <w:r w:rsidR="007A5BCB">
        <w:rPr>
          <w:rFonts w:eastAsia="MS Mincho"/>
          <w:b/>
          <w:bCs/>
          <w:sz w:val="28"/>
          <w:lang w:eastAsia="ja-JP"/>
        </w:rPr>
        <w:t xml:space="preserve"> </w:t>
      </w:r>
      <w:r w:rsidR="00F30F82">
        <w:rPr>
          <w:rFonts w:eastAsia="MS Mincho"/>
          <w:b/>
          <w:bCs/>
          <w:sz w:val="28"/>
          <w:lang w:eastAsia="ja-JP"/>
        </w:rPr>
        <w:t>03</w:t>
      </w:r>
      <w:r w:rsidR="00F30F82">
        <w:rPr>
          <w:rFonts w:eastAsia="MS Mincho"/>
          <w:b/>
          <w:bCs/>
          <w:sz w:val="28"/>
          <w:vertAlign w:val="superscript"/>
          <w:lang w:eastAsia="ja-JP"/>
        </w:rPr>
        <w:t>rd</w:t>
      </w:r>
      <w:r w:rsidR="0002003A">
        <w:rPr>
          <w:rFonts w:eastAsia="MS Mincho"/>
          <w:b/>
          <w:bCs/>
          <w:sz w:val="28"/>
          <w:lang w:eastAsia="ja-JP"/>
        </w:rPr>
        <w:t>, 202</w:t>
      </w:r>
      <w:r w:rsidR="00070AAC">
        <w:rPr>
          <w:rFonts w:eastAsia="MS Mincho"/>
          <w:b/>
          <w:bCs/>
          <w:sz w:val="28"/>
          <w:lang w:eastAsia="ja-JP"/>
        </w:rPr>
        <w:t>2</w:t>
      </w:r>
    </w:p>
    <w:p w14:paraId="301899BC" w14:textId="2A851BC0"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02003A">
        <w:rPr>
          <w:b/>
          <w:sz w:val="28"/>
          <w:szCs w:val="28"/>
        </w:rPr>
        <w:t>.6</w:t>
      </w:r>
    </w:p>
    <w:p w14:paraId="3ACE8376" w14:textId="625E9923"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F30F82" w:rsidRPr="00F30F82">
        <w:rPr>
          <w:b/>
          <w:sz w:val="28"/>
          <w:szCs w:val="28"/>
        </w:rPr>
        <w:t>Remaining issue for channel access mechanisms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127A8F" w:rsidP="004366E0">
      <w:pPr>
        <w:spacing w:afterLines="50" w:after="120"/>
        <w:rPr>
          <w:b/>
          <w:sz w:val="28"/>
        </w:rPr>
      </w:pPr>
      <w:r>
        <w:pict w14:anchorId="0D3FDAD9">
          <v:rect id="_x0000_i1025" style="width:415.3pt;height:1pt" o:hralign="center" o:hrstd="t" o:hrnoshade="t" o:hr="t" fillcolor="black [3213]" stroked="f"/>
        </w:pict>
      </w:r>
    </w:p>
    <w:p w14:paraId="5FEBF44E" w14:textId="77777777" w:rsidR="00E01072" w:rsidRPr="006E7A57" w:rsidRDefault="00E01072" w:rsidP="00E01072">
      <w:pPr>
        <w:pStyle w:val="af2"/>
        <w:numPr>
          <w:ilvl w:val="0"/>
          <w:numId w:val="5"/>
        </w:numPr>
        <w:spacing w:afterLines="50" w:after="120"/>
        <w:outlineLvl w:val="0"/>
        <w:rPr>
          <w:b/>
          <w:sz w:val="28"/>
        </w:rPr>
      </w:pPr>
      <w:bookmarkStart w:id="0" w:name="_Ref494794648"/>
      <w:r w:rsidRPr="007D4109">
        <w:rPr>
          <w:b/>
          <w:sz w:val="28"/>
        </w:rPr>
        <w:t>Introduction</w:t>
      </w:r>
    </w:p>
    <w:p w14:paraId="7A083A03" w14:textId="77777777" w:rsidR="00E01072" w:rsidRDefault="00E01072" w:rsidP="00E01072">
      <w:pPr>
        <w:ind w:firstLine="360"/>
      </w:pPr>
      <w:r>
        <w:t xml:space="preserve">The channel access mechanisms for 52.6-71 GHz NR operation were </w:t>
      </w:r>
      <w:proofErr w:type="gramStart"/>
      <w:r>
        <w:t>agree</w:t>
      </w:r>
      <w:proofErr w:type="gramEnd"/>
      <w:r>
        <w:t xml:space="preserve"> to be part of work items during </w:t>
      </w:r>
      <w:r w:rsidRPr="00C75289">
        <w:t>RAN #90e</w:t>
      </w:r>
      <w:r>
        <w:t xml:space="preserve"> and the WID was further revised in RAN #93-e meeting [1]. The agreements are listed as follows.</w:t>
      </w:r>
    </w:p>
    <w:p w14:paraId="28A67196" w14:textId="77777777" w:rsidR="00E01072" w:rsidRDefault="00E01072" w:rsidP="00E01072">
      <w:pPr>
        <w:rPr>
          <w:i/>
          <w:sz w:val="8"/>
          <w:szCs w:val="12"/>
        </w:rPr>
      </w:pPr>
    </w:p>
    <w:tbl>
      <w:tblPr>
        <w:tblW w:w="9986"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6"/>
      </w:tblGrid>
      <w:tr w:rsidR="00E01072" w14:paraId="020893F4" w14:textId="77777777" w:rsidTr="00BC54C2">
        <w:trPr>
          <w:trHeight w:val="3413"/>
        </w:trPr>
        <w:tc>
          <w:tcPr>
            <w:tcW w:w="9986" w:type="dxa"/>
          </w:tcPr>
          <w:p w14:paraId="146061EF" w14:textId="77777777" w:rsidR="00E01072" w:rsidRPr="00C75289" w:rsidRDefault="00E01072" w:rsidP="00BC54C2">
            <w:pPr>
              <w:numPr>
                <w:ilvl w:val="0"/>
                <w:numId w:val="6"/>
              </w:numPr>
              <w:overflowPunct w:val="0"/>
              <w:autoSpaceDE w:val="0"/>
              <w:autoSpaceDN w:val="0"/>
              <w:adjustRightInd w:val="0"/>
              <w:spacing w:before="180" w:after="180"/>
              <w:ind w:left="423"/>
              <w:textAlignment w:val="baseline"/>
              <w:rPr>
                <w:rFonts w:eastAsia="SimSun"/>
                <w:lang w:val="en-GB" w:eastAsia="en-GB"/>
              </w:rPr>
            </w:pPr>
            <w:r w:rsidRPr="00C75289">
              <w:rPr>
                <w:rFonts w:eastAsia="SimSun"/>
                <w:lang w:val="en-GB" w:eastAsia="ja-JP"/>
              </w:rPr>
              <w:t>Physical layer procedure(s) including [RAN1]</w:t>
            </w:r>
            <w:r w:rsidRPr="00C75289">
              <w:rPr>
                <w:rFonts w:eastAsia="SimSun" w:hint="eastAsia"/>
                <w:lang w:val="en-GB" w:eastAsia="ja-JP"/>
              </w:rPr>
              <w:t>:</w:t>
            </w:r>
          </w:p>
          <w:p w14:paraId="5099CA84" w14:textId="77777777" w:rsidR="00E01072" w:rsidRPr="00C75289" w:rsidRDefault="00E01072" w:rsidP="00BC54C2">
            <w:pPr>
              <w:numPr>
                <w:ilvl w:val="1"/>
                <w:numId w:val="6"/>
              </w:numPr>
              <w:overflowPunct w:val="0"/>
              <w:autoSpaceDE w:val="0"/>
              <w:autoSpaceDN w:val="0"/>
              <w:adjustRightInd w:val="0"/>
              <w:spacing w:before="180" w:after="180"/>
              <w:ind w:left="1143"/>
              <w:textAlignment w:val="baseline"/>
              <w:rPr>
                <w:rFonts w:eastAsia="SimSun"/>
                <w:lang w:val="en-GB" w:eastAsia="en-GB"/>
              </w:rPr>
            </w:pPr>
            <w:r w:rsidRPr="00C75289">
              <w:rPr>
                <w:rFonts w:eastAsia="SimSun"/>
                <w:lang w:val="en-GB" w:eastAsia="ja-JP"/>
              </w:rPr>
              <w:t xml:space="preserve">Channel access mechanism assuming </w:t>
            </w:r>
            <w:proofErr w:type="gramStart"/>
            <w:r w:rsidRPr="00C75289">
              <w:rPr>
                <w:rFonts w:eastAsia="SimSun"/>
                <w:lang w:val="en-GB" w:eastAsia="ja-JP"/>
              </w:rPr>
              <w:t>beam based</w:t>
            </w:r>
            <w:proofErr w:type="gramEnd"/>
            <w:r w:rsidRPr="00C75289">
              <w:rPr>
                <w:rFonts w:eastAsia="SimSun"/>
                <w:lang w:val="en-GB" w:eastAsia="ja-JP"/>
              </w:rPr>
              <w:t xml:space="preserve"> operation in order to comply with the regulatory requirements applicable to unlicensed spectrum for frequencies between 52.6GHz and 71GHz.</w:t>
            </w:r>
          </w:p>
          <w:p w14:paraId="36FB08BD" w14:textId="77777777" w:rsidR="00E01072" w:rsidRPr="00C75289" w:rsidRDefault="00E01072" w:rsidP="00BC54C2">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Specify both LBT and No-LBT related procedures, and for No-LBT case no additional sensing mechanism is specified.</w:t>
            </w:r>
          </w:p>
          <w:p w14:paraId="578B0BE2" w14:textId="77777777" w:rsidR="00E01072" w:rsidRPr="00C75289" w:rsidRDefault="00E01072" w:rsidP="00BC54C2">
            <w:pPr>
              <w:numPr>
                <w:ilvl w:val="2"/>
                <w:numId w:val="6"/>
              </w:numPr>
              <w:overflowPunct w:val="0"/>
              <w:autoSpaceDE w:val="0"/>
              <w:autoSpaceDN w:val="0"/>
              <w:adjustRightInd w:val="0"/>
              <w:spacing w:before="180" w:after="180"/>
              <w:ind w:left="1863"/>
              <w:textAlignment w:val="baseline"/>
              <w:rPr>
                <w:rFonts w:eastAsia="SimSun"/>
                <w:lang w:val="en-GB" w:eastAsia="en-GB"/>
              </w:rPr>
            </w:pPr>
            <w:r w:rsidRPr="00C75289">
              <w:rPr>
                <w:rFonts w:eastAsia="SimSun"/>
                <w:lang w:val="en-GB" w:eastAsia="en-GB"/>
              </w:rPr>
              <w:t xml:space="preserve">Study, and if needed specify, omni-directional LBT, directional LBT and receiver </w:t>
            </w:r>
            <w:r w:rsidRPr="00C75289">
              <w:rPr>
                <w:rFonts w:eastAsia="SimSun" w:hint="eastAsia"/>
                <w:lang w:val="en-GB" w:eastAsia="en-GB"/>
              </w:rPr>
              <w:t>assistance in channel access</w:t>
            </w:r>
          </w:p>
          <w:p w14:paraId="0C53B30C" w14:textId="77777777" w:rsidR="00E01072" w:rsidRDefault="00E01072" w:rsidP="00BC54C2">
            <w:pPr>
              <w:numPr>
                <w:ilvl w:val="2"/>
                <w:numId w:val="6"/>
              </w:numPr>
              <w:overflowPunct w:val="0"/>
              <w:autoSpaceDE w:val="0"/>
              <w:autoSpaceDN w:val="0"/>
              <w:adjustRightInd w:val="0"/>
              <w:spacing w:before="180" w:after="180"/>
              <w:ind w:left="1863"/>
              <w:textAlignment w:val="baseline"/>
              <w:rPr>
                <w:rFonts w:eastAsia="SimSun"/>
                <w:lang w:val="en-GB" w:eastAsia="ja-JP"/>
              </w:rPr>
            </w:pPr>
            <w:r w:rsidRPr="00C75289">
              <w:rPr>
                <w:rFonts w:eastAsia="SimSun"/>
                <w:lang w:val="en-GB" w:eastAsia="en-GB"/>
              </w:rPr>
              <w:t xml:space="preserve">Study, and if needed specify, energy detection threshold enhancement </w:t>
            </w:r>
          </w:p>
        </w:tc>
      </w:tr>
    </w:tbl>
    <w:p w14:paraId="1E209AC9" w14:textId="597F9D93" w:rsidR="00E01072" w:rsidRPr="00C75289" w:rsidRDefault="00E01072" w:rsidP="00E01072">
      <w:pPr>
        <w:ind w:firstLine="720"/>
        <w:rPr>
          <w:lang w:val="en-GB"/>
        </w:rPr>
      </w:pPr>
      <w:r>
        <w:rPr>
          <w:lang w:val="en-GB"/>
        </w:rPr>
        <w:t xml:space="preserve">In this contribution, </w:t>
      </w:r>
      <w:r w:rsidRPr="00220BB7">
        <w:rPr>
          <w:rFonts w:eastAsiaTheme="minorEastAsia"/>
          <w:lang w:val="en-GB" w:eastAsia="zh-TW"/>
        </w:rPr>
        <w:t>we</w:t>
      </w:r>
      <w:r>
        <w:rPr>
          <w:lang w:val="en-GB"/>
        </w:rPr>
        <w:t xml:space="preserve"> discuss </w:t>
      </w:r>
      <w:r w:rsidR="00D51BF2">
        <w:rPr>
          <w:lang w:val="en-GB"/>
        </w:rPr>
        <w:t>unresolved issue</w:t>
      </w:r>
      <w:r>
        <w:rPr>
          <w:lang w:val="en-GB"/>
        </w:rPr>
        <w:t xml:space="preserve"> for channel access mechanisms in 60 GHz, </w:t>
      </w:r>
      <w:r w:rsidR="00711CF7">
        <w:rPr>
          <w:lang w:val="en-GB"/>
        </w:rPr>
        <w:t>i.e.,</w:t>
      </w:r>
      <w:r>
        <w:rPr>
          <w:lang w:val="en-GB"/>
        </w:rPr>
        <w:t xml:space="preserve"> multi-</w:t>
      </w:r>
      <w:r w:rsidR="00F30F82">
        <w:rPr>
          <w:lang w:val="en-GB"/>
        </w:rPr>
        <w:t>beam COT aspects</w:t>
      </w:r>
      <w:r>
        <w:rPr>
          <w:lang w:val="en-GB"/>
        </w:rPr>
        <w:t>.</w:t>
      </w:r>
    </w:p>
    <w:p w14:paraId="63DECBC4" w14:textId="77777777" w:rsidR="00E01072" w:rsidRPr="00711CF7" w:rsidRDefault="00E01072" w:rsidP="00E01072">
      <w:pPr>
        <w:rPr>
          <w:i/>
          <w:sz w:val="8"/>
          <w:szCs w:val="12"/>
          <w:lang w:val="en-GB"/>
        </w:rPr>
      </w:pPr>
    </w:p>
    <w:p w14:paraId="753BF844" w14:textId="77777777" w:rsidR="00E01072" w:rsidRPr="007D4109" w:rsidRDefault="00127A8F" w:rsidP="00E01072">
      <w:pPr>
        <w:spacing w:afterLines="50" w:after="120"/>
        <w:jc w:val="both"/>
        <w:rPr>
          <w:color w:val="FF0000"/>
          <w:sz w:val="22"/>
        </w:rPr>
      </w:pPr>
      <w:r>
        <w:pict w14:anchorId="07B25823">
          <v:rect id="_x0000_i1026" style="width:415.3pt;height:1pt" o:hralign="center" o:hrstd="t" o:hrnoshade="t" o:hr="t" fillcolor="black [3213]" stroked="f"/>
        </w:pict>
      </w:r>
    </w:p>
    <w:p w14:paraId="7DCAFDC3" w14:textId="56997817" w:rsidR="00DB380A" w:rsidRPr="00082B16" w:rsidRDefault="004F7BA8" w:rsidP="00B04E93">
      <w:pPr>
        <w:pStyle w:val="af2"/>
        <w:numPr>
          <w:ilvl w:val="0"/>
          <w:numId w:val="5"/>
        </w:numPr>
        <w:spacing w:beforeLines="50" w:before="120" w:afterLines="50" w:after="120"/>
        <w:contextualSpacing w:val="0"/>
        <w:outlineLvl w:val="0"/>
        <w:rPr>
          <w:rFonts w:eastAsia="SimSun"/>
          <w:b/>
          <w:sz w:val="28"/>
        </w:rPr>
      </w:pPr>
      <w:r>
        <w:rPr>
          <w:b/>
          <w:sz w:val="28"/>
        </w:rPr>
        <w:t>LBT mechanisms enhancements</w:t>
      </w:r>
      <w:r w:rsidR="007F0875">
        <w:t xml:space="preserve">   </w:t>
      </w:r>
    </w:p>
    <w:p w14:paraId="7CB6A107" w14:textId="74B4FD2A" w:rsidR="004F7BA8" w:rsidRDefault="005D2F7C" w:rsidP="004F7BA8">
      <w:pPr>
        <w:pStyle w:val="3"/>
        <w:rPr>
          <w:rStyle w:val="af6"/>
          <w:sz w:val="28"/>
          <w:szCs w:val="28"/>
        </w:rPr>
      </w:pPr>
      <w:r>
        <w:rPr>
          <w:rStyle w:val="af6"/>
          <w:sz w:val="28"/>
          <w:szCs w:val="28"/>
        </w:rPr>
        <w:t>2.</w:t>
      </w:r>
      <w:r w:rsidR="00EA7461">
        <w:rPr>
          <w:rStyle w:val="af6"/>
          <w:sz w:val="28"/>
          <w:szCs w:val="28"/>
        </w:rPr>
        <w:t>1</w:t>
      </w:r>
      <w:r w:rsidR="00DA099A">
        <w:rPr>
          <w:rStyle w:val="af6"/>
          <w:sz w:val="28"/>
          <w:szCs w:val="28"/>
        </w:rPr>
        <w:t xml:space="preserve"> </w:t>
      </w:r>
      <w:r w:rsidR="00E20FE9">
        <w:rPr>
          <w:rStyle w:val="af6"/>
          <w:sz w:val="28"/>
          <w:szCs w:val="28"/>
        </w:rPr>
        <w:t>Multi-beam COT aspect</w:t>
      </w:r>
    </w:p>
    <w:p w14:paraId="2944C871" w14:textId="00F86CDD" w:rsidR="00EA07B0" w:rsidRDefault="00EA07B0" w:rsidP="00813279">
      <w:pPr>
        <w:rPr>
          <w:rFonts w:eastAsia="SimSun"/>
        </w:rPr>
      </w:pPr>
      <w:r>
        <w:tab/>
      </w:r>
      <w:r>
        <w:rPr>
          <w:rFonts w:eastAsiaTheme="minorEastAsia" w:hint="eastAsia"/>
          <w:lang w:eastAsia="zh-TW"/>
        </w:rPr>
        <w:t xml:space="preserve">In RAN 1 </w:t>
      </w:r>
      <w:r w:rsidR="00FF071A">
        <w:rPr>
          <w:rFonts w:eastAsiaTheme="minorEastAsia"/>
          <w:lang w:eastAsia="zh-TW"/>
        </w:rPr>
        <w:t>#10</w:t>
      </w:r>
      <w:r w:rsidR="00E20FE9">
        <w:rPr>
          <w:rFonts w:eastAsiaTheme="minorEastAsia"/>
          <w:lang w:eastAsia="zh-TW"/>
        </w:rPr>
        <w:t>7</w:t>
      </w:r>
      <w:r>
        <w:rPr>
          <w:rFonts w:eastAsiaTheme="minorEastAsia"/>
          <w:lang w:eastAsia="zh-TW"/>
        </w:rPr>
        <w:t>-e</w:t>
      </w:r>
      <w:r>
        <w:rPr>
          <w:rFonts w:eastAsia="SimSun"/>
        </w:rPr>
        <w:t xml:space="preserve"> meeting, the</w:t>
      </w:r>
      <w:r w:rsidR="00FF071A">
        <w:rPr>
          <w:rFonts w:eastAsia="SimSun"/>
        </w:rPr>
        <w:t xml:space="preserve"> agreement relevant to </w:t>
      </w:r>
      <w:r w:rsidR="00E20FE9">
        <w:rPr>
          <w:rFonts w:eastAsia="SimSun"/>
        </w:rPr>
        <w:t>multi-beam COT</w:t>
      </w:r>
      <w:r w:rsidR="00FF071A">
        <w:rPr>
          <w:rFonts w:eastAsia="SimSun"/>
        </w:rPr>
        <w:t xml:space="preserve"> is achieved and listed as follows</w:t>
      </w:r>
      <w:r>
        <w:rPr>
          <w:rFonts w:eastAsia="SimSun"/>
        </w:rPr>
        <w:t>.</w:t>
      </w:r>
    </w:p>
    <w:p w14:paraId="17BA8E48" w14:textId="77777777" w:rsidR="00E20FE9" w:rsidRDefault="00E20FE9" w:rsidP="00813279">
      <w:pPr>
        <w:rPr>
          <w:rFonts w:eastAsia="SimSun"/>
        </w:rPr>
      </w:pPr>
    </w:p>
    <w:tbl>
      <w:tblPr>
        <w:tblW w:w="10420"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420"/>
      </w:tblGrid>
      <w:tr w:rsidR="00E20FE9" w14:paraId="7F867C42" w14:textId="77777777" w:rsidTr="00E20FE9">
        <w:trPr>
          <w:trHeight w:val="2010"/>
        </w:trPr>
        <w:tc>
          <w:tcPr>
            <w:tcW w:w="10420" w:type="dxa"/>
          </w:tcPr>
          <w:p w14:paraId="5C726C98" w14:textId="77777777" w:rsidR="00E20FE9" w:rsidRPr="002869AD" w:rsidRDefault="00E20FE9" w:rsidP="00E20FE9">
            <w:pPr>
              <w:ind w:left="201"/>
              <w:rPr>
                <w:b/>
                <w:bCs/>
                <w:szCs w:val="20"/>
                <w:highlight w:val="green"/>
                <w:lang w:eastAsia="x-none"/>
              </w:rPr>
            </w:pPr>
            <w:r w:rsidRPr="002869AD">
              <w:rPr>
                <w:b/>
                <w:bCs/>
                <w:szCs w:val="20"/>
                <w:highlight w:val="green"/>
                <w:lang w:eastAsia="x-none"/>
              </w:rPr>
              <w:t>Agreement</w:t>
            </w:r>
          </w:p>
          <w:p w14:paraId="2CBCE274" w14:textId="77777777" w:rsidR="00E20FE9" w:rsidRPr="002869AD" w:rsidRDefault="00E20FE9" w:rsidP="00E20FE9">
            <w:pPr>
              <w:ind w:left="201"/>
              <w:rPr>
                <w:szCs w:val="20"/>
                <w:lang w:eastAsia="ja-JP"/>
              </w:rPr>
            </w:pPr>
            <w:r w:rsidRPr="002869AD">
              <w:rPr>
                <w:szCs w:val="20"/>
                <w:lang w:eastAsia="ja-JP"/>
              </w:rPr>
              <w:t>For a COT with MU-MIMO (SDM) transmission, support both Alt 1 and Alt 2 below:</w:t>
            </w:r>
          </w:p>
          <w:p w14:paraId="654850CF" w14:textId="77777777" w:rsidR="00E20FE9" w:rsidRPr="002869AD" w:rsidRDefault="00E20FE9" w:rsidP="00E20FE9">
            <w:pPr>
              <w:pStyle w:val="af2"/>
              <w:numPr>
                <w:ilvl w:val="0"/>
                <w:numId w:val="36"/>
              </w:numPr>
              <w:overflowPunct w:val="0"/>
              <w:snapToGrid w:val="0"/>
              <w:ind w:left="921"/>
              <w:contextualSpacing w:val="0"/>
              <w:rPr>
                <w:szCs w:val="20"/>
                <w:lang w:eastAsia="ko-KR"/>
              </w:rPr>
            </w:pPr>
            <w:r w:rsidRPr="002869AD">
              <w:rPr>
                <w:szCs w:val="20"/>
                <w:lang w:eastAsia="ko-KR"/>
              </w:rPr>
              <w:t>Alt 1: Single LBT sensing at the start of the COT with wide beam ‘cover’ all beams to be used in the COT with appropriate ED threshold</w:t>
            </w:r>
          </w:p>
          <w:p w14:paraId="2250F8C8" w14:textId="77777777" w:rsidR="00E20FE9" w:rsidRPr="002869AD" w:rsidRDefault="00E20FE9" w:rsidP="00E20FE9">
            <w:pPr>
              <w:pStyle w:val="af2"/>
              <w:numPr>
                <w:ilvl w:val="0"/>
                <w:numId w:val="36"/>
              </w:numPr>
              <w:overflowPunct w:val="0"/>
              <w:snapToGrid w:val="0"/>
              <w:ind w:left="921"/>
              <w:contextualSpacing w:val="0"/>
              <w:rPr>
                <w:szCs w:val="20"/>
                <w:lang w:eastAsia="ko-KR"/>
              </w:rPr>
            </w:pPr>
            <w:r w:rsidRPr="002869AD">
              <w:rPr>
                <w:szCs w:val="20"/>
                <w:lang w:eastAsia="ko-KR"/>
              </w:rPr>
              <w:t>Alt 2: Independent per-beam LBT sensing at the start of COT is performed for beams used in th</w:t>
            </w:r>
            <w:r w:rsidRPr="002869AD">
              <w:rPr>
                <w:color w:val="000000"/>
                <w:szCs w:val="20"/>
                <w:lang w:eastAsia="ko-KR"/>
              </w:rPr>
              <w:t>e COT,</w:t>
            </w:r>
            <w:r w:rsidRPr="002869AD">
              <w:rPr>
                <w:color w:val="000000"/>
                <w:szCs w:val="20"/>
              </w:rPr>
              <w:t xml:space="preserve"> if the </w:t>
            </w:r>
            <w:r w:rsidRPr="002869AD">
              <w:rPr>
                <w:szCs w:val="20"/>
              </w:rPr>
              <w:t>node can perform simultaneous sensing in different beams</w:t>
            </w:r>
            <w:r w:rsidRPr="002869AD">
              <w:rPr>
                <w:szCs w:val="20"/>
                <w:lang w:eastAsia="ko-KR"/>
              </w:rPr>
              <w:t xml:space="preserve"> </w:t>
            </w:r>
          </w:p>
          <w:p w14:paraId="03CA3601" w14:textId="12126384" w:rsidR="00E20FE9" w:rsidRDefault="00E20FE9" w:rsidP="00E20FE9">
            <w:pPr>
              <w:ind w:left="201"/>
              <w:rPr>
                <w:b/>
                <w:bCs/>
                <w:szCs w:val="20"/>
                <w:highlight w:val="green"/>
                <w:lang w:eastAsia="x-none"/>
              </w:rPr>
            </w:pPr>
            <w:r w:rsidRPr="002869AD">
              <w:rPr>
                <w:color w:val="000000"/>
                <w:szCs w:val="20"/>
              </w:rPr>
              <w:t xml:space="preserve">Note: On UE side, no UE capability will be introduced for this purpose. </w:t>
            </w:r>
          </w:p>
        </w:tc>
      </w:tr>
    </w:tbl>
    <w:p w14:paraId="45DFF303" w14:textId="77777777" w:rsidR="002746C4" w:rsidRPr="00E20FE9" w:rsidRDefault="002746C4" w:rsidP="00813279">
      <w:pPr>
        <w:rPr>
          <w:rFonts w:eastAsia="SimSun"/>
        </w:rPr>
      </w:pPr>
    </w:p>
    <w:p w14:paraId="3B7AA65D" w14:textId="1E39696B" w:rsidR="002746C4" w:rsidRDefault="002746C4" w:rsidP="00813279">
      <w:pPr>
        <w:rPr>
          <w:rFonts w:eastAsia="SimSun"/>
        </w:rPr>
      </w:pPr>
    </w:p>
    <w:p w14:paraId="1B8DF475" w14:textId="2FE7E407" w:rsidR="00E20FE9" w:rsidRDefault="00E20FE9" w:rsidP="00813279">
      <w:pPr>
        <w:rPr>
          <w:rFonts w:eastAsia="SimSun"/>
        </w:rPr>
      </w:pPr>
    </w:p>
    <w:p w14:paraId="6E23AADF" w14:textId="77777777" w:rsidR="00E20FE9" w:rsidRPr="0089736D" w:rsidRDefault="00E20FE9" w:rsidP="00813279">
      <w:pPr>
        <w:rPr>
          <w:rFonts w:eastAsia="SimSun"/>
        </w:rPr>
      </w:pPr>
    </w:p>
    <w:tbl>
      <w:tblPr>
        <w:tblW w:w="10390"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90"/>
      </w:tblGrid>
      <w:tr w:rsidR="00E20FE9" w14:paraId="2DB33A39" w14:textId="77777777" w:rsidTr="00E20FE9">
        <w:trPr>
          <w:trHeight w:val="4070"/>
        </w:trPr>
        <w:tc>
          <w:tcPr>
            <w:tcW w:w="10390" w:type="dxa"/>
          </w:tcPr>
          <w:p w14:paraId="26281353" w14:textId="77777777" w:rsidR="00E20FE9" w:rsidRPr="002869AD" w:rsidRDefault="00E20FE9" w:rsidP="00E20FE9">
            <w:pPr>
              <w:ind w:left="61"/>
              <w:rPr>
                <w:b/>
                <w:bCs/>
                <w:szCs w:val="20"/>
                <w:highlight w:val="green"/>
                <w:lang w:eastAsia="x-none"/>
              </w:rPr>
            </w:pPr>
            <w:r w:rsidRPr="002869AD">
              <w:rPr>
                <w:b/>
                <w:bCs/>
                <w:szCs w:val="20"/>
                <w:highlight w:val="green"/>
                <w:lang w:eastAsia="x-none"/>
              </w:rPr>
              <w:t>Agreement</w:t>
            </w:r>
          </w:p>
          <w:p w14:paraId="6A7A0C59" w14:textId="77777777" w:rsidR="00E20FE9" w:rsidRPr="002869AD" w:rsidRDefault="00E20FE9" w:rsidP="00E20FE9">
            <w:pPr>
              <w:ind w:left="61"/>
              <w:rPr>
                <w:szCs w:val="20"/>
                <w:lang w:eastAsia="ja-JP"/>
              </w:rPr>
            </w:pPr>
            <w:r w:rsidRPr="002869AD">
              <w:rPr>
                <w:szCs w:val="20"/>
                <w:lang w:eastAsia="ja-JP"/>
              </w:rPr>
              <w:t>Within a COT with TDM of beams with beam switching, at least support Alt 1</w:t>
            </w:r>
          </w:p>
          <w:p w14:paraId="6738B12F" w14:textId="77777777" w:rsidR="00E20FE9" w:rsidRPr="002869AD" w:rsidRDefault="00E20FE9" w:rsidP="00E20FE9">
            <w:pPr>
              <w:pStyle w:val="af2"/>
              <w:numPr>
                <w:ilvl w:val="0"/>
                <w:numId w:val="37"/>
              </w:numPr>
              <w:overflowPunct w:val="0"/>
              <w:snapToGrid w:val="0"/>
              <w:spacing w:line="252" w:lineRule="auto"/>
              <w:ind w:left="781"/>
              <w:contextualSpacing w:val="0"/>
              <w:rPr>
                <w:szCs w:val="20"/>
                <w:lang w:eastAsia="ko-KR"/>
              </w:rPr>
            </w:pPr>
            <w:r w:rsidRPr="002869AD">
              <w:rPr>
                <w:szCs w:val="20"/>
                <w:lang w:eastAsia="ko-KR"/>
              </w:rPr>
              <w:t xml:space="preserve">Alt 1 (from previous agreement): Single LBT sensing with wide beam ‘cover’ all beams to be used in the COT </w:t>
            </w:r>
          </w:p>
          <w:p w14:paraId="04F245C6" w14:textId="77777777" w:rsidR="00E20FE9" w:rsidRPr="002869AD" w:rsidRDefault="00E20FE9" w:rsidP="00E20FE9">
            <w:pPr>
              <w:ind w:left="61"/>
              <w:rPr>
                <w:rFonts w:eastAsia="DengXian"/>
                <w:szCs w:val="20"/>
                <w:lang w:eastAsia="ja-JP"/>
              </w:rPr>
            </w:pPr>
          </w:p>
          <w:p w14:paraId="5D6B6D68" w14:textId="77777777" w:rsidR="00E20FE9" w:rsidRPr="002869AD" w:rsidRDefault="00E20FE9" w:rsidP="00E20FE9">
            <w:pPr>
              <w:ind w:left="61"/>
              <w:rPr>
                <w:b/>
                <w:bCs/>
                <w:szCs w:val="20"/>
                <w:highlight w:val="green"/>
                <w:lang w:eastAsia="x-none"/>
              </w:rPr>
            </w:pPr>
            <w:r w:rsidRPr="002869AD">
              <w:rPr>
                <w:b/>
                <w:bCs/>
                <w:szCs w:val="20"/>
                <w:highlight w:val="green"/>
                <w:lang w:eastAsia="x-none"/>
              </w:rPr>
              <w:t>Agreement</w:t>
            </w:r>
          </w:p>
          <w:p w14:paraId="7D511C9F" w14:textId="77777777" w:rsidR="00E20FE9" w:rsidRPr="002869AD" w:rsidRDefault="00E20FE9" w:rsidP="00E20FE9">
            <w:pPr>
              <w:ind w:left="61"/>
              <w:rPr>
                <w:szCs w:val="20"/>
                <w:lang w:eastAsia="ja-JP"/>
              </w:rPr>
            </w:pPr>
            <w:r w:rsidRPr="002869AD">
              <w:rPr>
                <w:szCs w:val="20"/>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2BC40AE8" w14:textId="77777777" w:rsidR="00E20FE9" w:rsidRPr="002869AD" w:rsidRDefault="00E20FE9" w:rsidP="00E20FE9">
            <w:pPr>
              <w:pStyle w:val="af2"/>
              <w:numPr>
                <w:ilvl w:val="0"/>
                <w:numId w:val="37"/>
              </w:numPr>
              <w:overflowPunct w:val="0"/>
              <w:snapToGrid w:val="0"/>
              <w:spacing w:line="252" w:lineRule="auto"/>
              <w:ind w:left="781"/>
              <w:contextualSpacing w:val="0"/>
              <w:rPr>
                <w:szCs w:val="20"/>
                <w:lang w:eastAsia="ko-KR"/>
              </w:rPr>
            </w:pPr>
            <w:r w:rsidRPr="002869AD">
              <w:rPr>
                <w:szCs w:val="20"/>
                <w:lang w:eastAsia="ko-KR"/>
              </w:rPr>
              <w:t>Alt 2 from previous agreement: Independent per-beam LBT sensing at the start of COT is performed for beams used in the COT</w:t>
            </w:r>
          </w:p>
          <w:p w14:paraId="5A5C9B00" w14:textId="172624B8" w:rsidR="00E20FE9" w:rsidRDefault="00E20FE9" w:rsidP="00E20FE9">
            <w:pPr>
              <w:ind w:left="61"/>
              <w:rPr>
                <w:b/>
                <w:bCs/>
                <w:szCs w:val="20"/>
                <w:highlight w:val="green"/>
                <w:lang w:eastAsia="x-none"/>
              </w:rPr>
            </w:pPr>
            <w:r w:rsidRPr="002869AD">
              <w:rPr>
                <w:szCs w:val="20"/>
                <w:lang w:eastAsia="ko-KR"/>
              </w:rPr>
              <w:t>Alt 3 from previous agreement: Independent per-beam LBT sensing at the start of COT is performed for beams used in the COT with additional requirement on Cat 2 LBT before beam switch</w:t>
            </w:r>
          </w:p>
        </w:tc>
      </w:tr>
    </w:tbl>
    <w:p w14:paraId="77453384" w14:textId="77777777" w:rsidR="00E20FE9" w:rsidRPr="00D51BF2" w:rsidRDefault="00E20FE9" w:rsidP="00813279">
      <w:pPr>
        <w:rPr>
          <w:rFonts w:eastAsia="SimSun"/>
        </w:rPr>
      </w:pPr>
    </w:p>
    <w:p w14:paraId="60FF0178" w14:textId="6A6438B8" w:rsidR="0068048A" w:rsidRDefault="00AB6E16" w:rsidP="00AB6E16">
      <w:pPr>
        <w:rPr>
          <w:rFonts w:eastAsia="SimSun"/>
        </w:rPr>
      </w:pPr>
      <w:r>
        <w:rPr>
          <w:rFonts w:asciiTheme="minorEastAsia" w:eastAsiaTheme="minorEastAsia" w:hAnsiTheme="minorEastAsia" w:hint="eastAsia"/>
          <w:lang w:eastAsia="zh-TW"/>
        </w:rPr>
        <w:t xml:space="preserve">　　</w:t>
      </w:r>
      <w:r w:rsidR="00E06CE2">
        <w:rPr>
          <w:rFonts w:eastAsia="SimSun"/>
        </w:rPr>
        <w:t>The issue comes from the supported Alt 2 or 3 of SDM or TDM transmission</w:t>
      </w:r>
      <w:r w:rsidR="006C1877">
        <w:rPr>
          <w:rFonts w:eastAsiaTheme="minorEastAsia" w:hint="cs"/>
        </w:rPr>
        <w:t>s</w:t>
      </w:r>
      <w:r w:rsidR="00E06CE2">
        <w:rPr>
          <w:rFonts w:eastAsia="SimSun"/>
        </w:rPr>
        <w:t>. As shown in Fig. 1,</w:t>
      </w:r>
    </w:p>
    <w:p w14:paraId="7FB962A0" w14:textId="55D17EEC" w:rsidR="006C5F99" w:rsidRDefault="00E06CE2" w:rsidP="00813279">
      <w:pPr>
        <w:rPr>
          <w:rFonts w:eastAsia="SimSun"/>
        </w:rPr>
      </w:pPr>
      <w:r>
        <w:rPr>
          <w:rFonts w:eastAsia="SimSun"/>
        </w:rPr>
        <w:t xml:space="preserve"> </w:t>
      </w:r>
    </w:p>
    <w:p w14:paraId="204DFB7A" w14:textId="175D9027" w:rsidR="0066270B" w:rsidRDefault="00E06CE2" w:rsidP="00E06CE2">
      <w:pPr>
        <w:jc w:val="center"/>
        <w:rPr>
          <w:noProof/>
        </w:rPr>
      </w:pPr>
      <w:r>
        <w:rPr>
          <w:noProof/>
        </w:rPr>
        <w:drawing>
          <wp:inline distT="0" distB="0" distL="0" distR="0" wp14:anchorId="7B6FEFA5" wp14:editId="4184F9B8">
            <wp:extent cx="3321050" cy="1408750"/>
            <wp:effectExtent l="0" t="0" r="0" b="127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83400" cy="1435198"/>
                    </a:xfrm>
                    <a:prstGeom prst="rect">
                      <a:avLst/>
                    </a:prstGeom>
                  </pic:spPr>
                </pic:pic>
              </a:graphicData>
            </a:graphic>
          </wp:inline>
        </w:drawing>
      </w:r>
    </w:p>
    <w:p w14:paraId="3FEF8460" w14:textId="6319A2EB" w:rsidR="00E06CE2" w:rsidRDefault="00E06CE2" w:rsidP="00813279">
      <w:pPr>
        <w:rPr>
          <w:rFonts w:eastAsia="SimSun"/>
          <w:noProof/>
        </w:rPr>
      </w:pPr>
      <w:r>
        <w:rPr>
          <w:rFonts w:eastAsia="SimSun"/>
          <w:noProof/>
        </w:rPr>
        <w:tab/>
      </w:r>
      <w:r>
        <w:rPr>
          <w:rFonts w:eastAsia="SimSun"/>
          <w:noProof/>
        </w:rPr>
        <w:tab/>
      </w:r>
      <w:r>
        <w:rPr>
          <w:rFonts w:eastAsia="SimSun"/>
          <w:noProof/>
        </w:rPr>
        <w:tab/>
      </w:r>
      <w:r>
        <w:rPr>
          <w:rFonts w:eastAsia="SimSun"/>
          <w:noProof/>
        </w:rPr>
        <w:tab/>
        <w:t xml:space="preserve">Fig. 1 Different LBT durations </w:t>
      </w:r>
      <w:r w:rsidR="000578B9">
        <w:rPr>
          <w:rFonts w:eastAsia="SimSun"/>
          <w:noProof/>
        </w:rPr>
        <w:t>due to</w:t>
      </w:r>
      <w:r>
        <w:rPr>
          <w:rFonts w:eastAsia="SimSun"/>
          <w:noProof/>
        </w:rPr>
        <w:t xml:space="preserve"> independent per-beam LBT </w:t>
      </w:r>
    </w:p>
    <w:p w14:paraId="37E0875D" w14:textId="77777777" w:rsidR="00AE18F4" w:rsidRDefault="00AE18F4" w:rsidP="00813279">
      <w:pPr>
        <w:rPr>
          <w:rFonts w:eastAsiaTheme="minorEastAsia"/>
          <w:lang w:eastAsia="zh-TW"/>
        </w:rPr>
      </w:pPr>
    </w:p>
    <w:p w14:paraId="26488BAD" w14:textId="3AEC0684" w:rsidR="00E06CE2" w:rsidRDefault="000578B9" w:rsidP="00813279">
      <w:pPr>
        <w:rPr>
          <w:rFonts w:eastAsia="SimSun"/>
        </w:rPr>
      </w:pPr>
      <w:r>
        <w:rPr>
          <w:rFonts w:eastAsiaTheme="minorEastAsia"/>
          <w:lang w:eastAsia="zh-TW"/>
        </w:rPr>
        <w:t xml:space="preserve">independent </w:t>
      </w:r>
      <w:r w:rsidR="00AE18F4">
        <w:rPr>
          <w:rFonts w:eastAsiaTheme="minorEastAsia"/>
          <w:lang w:eastAsia="zh-TW"/>
        </w:rPr>
        <w:t>per-beam can result in different LBT duration for each beam. The behaviors</w:t>
      </w:r>
      <w:r w:rsidR="002E05B2">
        <w:rPr>
          <w:rFonts w:eastAsiaTheme="minorEastAsia"/>
          <w:lang w:eastAsia="zh-TW"/>
        </w:rPr>
        <w:t xml:space="preserve"> for</w:t>
      </w:r>
      <w:r w:rsidR="00AE18F4">
        <w:rPr>
          <w:rFonts w:eastAsiaTheme="minorEastAsia"/>
          <w:lang w:eastAsia="zh-TW"/>
        </w:rPr>
        <w:t xml:space="preserve"> beams finishing LBT earlier needs to be further clarified and several options were proposed in </w:t>
      </w:r>
      <w:r w:rsidR="00AE18F4">
        <w:rPr>
          <w:rFonts w:eastAsiaTheme="minorEastAsia" w:hint="eastAsia"/>
          <w:lang w:eastAsia="zh-TW"/>
        </w:rPr>
        <w:t xml:space="preserve">RAN 1 </w:t>
      </w:r>
      <w:r w:rsidR="00AE18F4">
        <w:rPr>
          <w:rFonts w:eastAsiaTheme="minorEastAsia"/>
          <w:lang w:eastAsia="zh-TW"/>
        </w:rPr>
        <w:t>#107b-e</w:t>
      </w:r>
      <w:r w:rsidR="00AE18F4">
        <w:rPr>
          <w:rFonts w:eastAsia="SimSun"/>
        </w:rPr>
        <w:t xml:space="preserve"> meeting</w:t>
      </w:r>
      <w:r w:rsidR="00BB3B1A">
        <w:rPr>
          <w:rFonts w:eastAsia="SimSun"/>
        </w:rPr>
        <w:t xml:space="preserve"> as follow. </w:t>
      </w:r>
    </w:p>
    <w:p w14:paraId="354AFD91" w14:textId="18EE67F0" w:rsidR="00AE18F4" w:rsidRPr="00C17D8C" w:rsidRDefault="00AE18F4" w:rsidP="00813279">
      <w:pPr>
        <w:rPr>
          <w:rFonts w:eastAsia="SimSun"/>
        </w:rPr>
      </w:pPr>
    </w:p>
    <w:tbl>
      <w:tblPr>
        <w:tblW w:w="1018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0"/>
        <w:gridCol w:w="9980"/>
        <w:gridCol w:w="70"/>
      </w:tblGrid>
      <w:tr w:rsidR="00AB6E16" w14:paraId="1F21B68D" w14:textId="77777777" w:rsidTr="00AB6E16">
        <w:trPr>
          <w:trHeight w:val="4570"/>
        </w:trPr>
        <w:tc>
          <w:tcPr>
            <w:tcW w:w="10180" w:type="dxa"/>
            <w:gridSpan w:val="3"/>
          </w:tcPr>
          <w:p w14:paraId="171FB06E" w14:textId="77777777" w:rsidR="00AB6E16" w:rsidRDefault="00AB6E16" w:rsidP="00AB6E16">
            <w:pPr>
              <w:pStyle w:val="af2"/>
              <w:numPr>
                <w:ilvl w:val="0"/>
                <w:numId w:val="30"/>
              </w:numPr>
              <w:tabs>
                <w:tab w:val="left" w:pos="720"/>
              </w:tabs>
              <w:kinsoku w:val="0"/>
              <w:overflowPunct w:val="0"/>
              <w:adjustRightInd w:val="0"/>
              <w:spacing w:after="60" w:line="259" w:lineRule="auto"/>
              <w:ind w:left="611"/>
              <w:contextualSpacing w:val="0"/>
              <w:textAlignment w:val="baseline"/>
            </w:pPr>
            <w:r>
              <w:t>Alt 1. During the count-down of Type 1 channel access, the gNB/UE may not deduct counter for each sensing slot sensed as idle. The sensing continues till the gNB/UE is ready to transmit.</w:t>
            </w:r>
          </w:p>
          <w:p w14:paraId="35C018D8" w14:textId="77777777" w:rsidR="00AB6E16" w:rsidRDefault="00AB6E16" w:rsidP="00AB6E16">
            <w:pPr>
              <w:pStyle w:val="af2"/>
              <w:numPr>
                <w:ilvl w:val="1"/>
                <w:numId w:val="30"/>
              </w:numPr>
              <w:tabs>
                <w:tab w:val="left" w:pos="1440"/>
              </w:tabs>
              <w:kinsoku w:val="0"/>
              <w:overflowPunct w:val="0"/>
              <w:adjustRightInd w:val="0"/>
              <w:spacing w:after="60" w:line="259" w:lineRule="auto"/>
              <w:ind w:left="1331"/>
              <w:contextualSpacing w:val="0"/>
              <w:textAlignment w:val="baseline"/>
            </w:pPr>
            <w:r>
              <w:t>Eg, if the gNB/UE counted down to 0 before it is ready to transmit, the gNB/UE will continue sensing till the time it is ready to transmit, while keeps the counter to 0</w:t>
            </w:r>
          </w:p>
          <w:p w14:paraId="1D3E856F" w14:textId="0D0E6707" w:rsidR="00AB6E16" w:rsidRPr="00E83308" w:rsidRDefault="00AB6E16" w:rsidP="00E83308">
            <w:pPr>
              <w:pStyle w:val="af2"/>
              <w:numPr>
                <w:ilvl w:val="1"/>
                <w:numId w:val="30"/>
              </w:numPr>
              <w:tabs>
                <w:tab w:val="left" w:pos="1440"/>
              </w:tabs>
              <w:kinsoku w:val="0"/>
              <w:overflowPunct w:val="0"/>
              <w:adjustRightInd w:val="0"/>
              <w:spacing w:after="60" w:line="259" w:lineRule="auto"/>
              <w:ind w:left="1331"/>
              <w:contextualSpacing w:val="0"/>
              <w:textAlignment w:val="baseline"/>
            </w:pPr>
            <w:proofErr w:type="gramStart"/>
            <w:r>
              <w:t>Moderator</w:t>
            </w:r>
            <w:proofErr w:type="gramEnd"/>
            <w:r>
              <w:t xml:space="preserve"> note: This is closer to the current 37.213 as it says “the gNB/UE chooses to decrement the counter” in step 2, which implies the gNB/UE may choose not to decrement the counter. However, the procedure may still need to be revised to accurately reflect this alternative</w:t>
            </w:r>
          </w:p>
          <w:p w14:paraId="0291C6F3" w14:textId="77777777" w:rsidR="00AB6E16" w:rsidRDefault="00AB6E16" w:rsidP="00AB6E16">
            <w:pPr>
              <w:pStyle w:val="af2"/>
              <w:numPr>
                <w:ilvl w:val="0"/>
                <w:numId w:val="30"/>
              </w:numPr>
              <w:tabs>
                <w:tab w:val="clear" w:pos="720"/>
              </w:tabs>
              <w:kinsoku w:val="0"/>
              <w:overflowPunct w:val="0"/>
              <w:adjustRightInd w:val="0"/>
              <w:spacing w:after="60" w:line="259" w:lineRule="auto"/>
              <w:ind w:left="611"/>
              <w:contextualSpacing w:val="0"/>
              <w:textAlignment w:val="baseline"/>
            </w:pPr>
            <w:r>
              <w:t>Alt 2. During the count-down of Type 1 channel access, if the gNB/UE counter reaches 0 but it is not ready for transmission, the gNB/UE stops sensing, and resume sensing for one sensing slot, right before the targeted transmission start time. Only if the sensing slot is sensed as idle, the Type 1 channel access on that channel is declared as successful and the transmission can start</w:t>
            </w:r>
          </w:p>
          <w:p w14:paraId="4152C378" w14:textId="22484FEE" w:rsidR="00AB6E16" w:rsidRDefault="00AB6E16" w:rsidP="00AB6E16">
            <w:pPr>
              <w:pStyle w:val="af2"/>
              <w:numPr>
                <w:ilvl w:val="1"/>
                <w:numId w:val="30"/>
              </w:numPr>
              <w:tabs>
                <w:tab w:val="left" w:pos="720"/>
              </w:tabs>
              <w:kinsoku w:val="0"/>
              <w:overflowPunct w:val="0"/>
              <w:adjustRightInd w:val="0"/>
              <w:spacing w:after="60" w:line="259" w:lineRule="auto"/>
              <w:textAlignment w:val="baseline"/>
            </w:pPr>
            <w:proofErr w:type="gramStart"/>
            <w:r>
              <w:t>Moderator</w:t>
            </w:r>
            <w:proofErr w:type="gramEnd"/>
            <w:r>
              <w:t xml:space="preserve"> note: There will be spec impact to add this in 4.4.1 of 37.213</w:t>
            </w:r>
          </w:p>
        </w:tc>
      </w:tr>
      <w:tr w:rsidR="00AB6E16" w14:paraId="7A032D83" w14:textId="77777777" w:rsidTr="00AB6E16">
        <w:trPr>
          <w:gridBefore w:val="1"/>
          <w:gridAfter w:val="1"/>
          <w:wBefore w:w="130" w:type="dxa"/>
          <w:wAfter w:w="70" w:type="dxa"/>
          <w:trHeight w:val="5440"/>
        </w:trPr>
        <w:tc>
          <w:tcPr>
            <w:tcW w:w="9980" w:type="dxa"/>
          </w:tcPr>
          <w:p w14:paraId="4C8BC968" w14:textId="77777777" w:rsidR="00AB6E16" w:rsidRDefault="00AB6E16" w:rsidP="00AB6E16">
            <w:pPr>
              <w:pStyle w:val="af2"/>
              <w:numPr>
                <w:ilvl w:val="0"/>
                <w:numId w:val="30"/>
              </w:numPr>
              <w:tabs>
                <w:tab w:val="left" w:pos="720"/>
              </w:tabs>
              <w:kinsoku w:val="0"/>
              <w:overflowPunct w:val="0"/>
              <w:adjustRightInd w:val="0"/>
              <w:spacing w:after="60" w:line="259" w:lineRule="auto"/>
              <w:ind w:left="481"/>
              <w:contextualSpacing w:val="0"/>
              <w:textAlignment w:val="baseline"/>
            </w:pPr>
            <w:r>
              <w:rPr>
                <w:lang w:eastAsia="en-US"/>
              </w:rPr>
              <w:lastRenderedPageBreak/>
              <w:t xml:space="preserve">Alt 3 (from Apple). Once counter count down to zero, COT starts. The time between counter = 0 to transmission starts is treated as gap, which is counted into the 5ms total COT duration. No further sensing before transmission, as we agreed no further sensing after gap within COT. </w:t>
            </w:r>
          </w:p>
          <w:p w14:paraId="29BA7646" w14:textId="77777777" w:rsidR="00AB6E16" w:rsidRDefault="00AB6E16" w:rsidP="00AB6E16">
            <w:pPr>
              <w:pStyle w:val="af2"/>
              <w:numPr>
                <w:ilvl w:val="1"/>
                <w:numId w:val="30"/>
              </w:numPr>
              <w:tabs>
                <w:tab w:val="left" w:pos="720"/>
                <w:tab w:val="left" w:pos="1440"/>
              </w:tabs>
              <w:kinsoku w:val="0"/>
              <w:overflowPunct w:val="0"/>
              <w:adjustRightInd w:val="0"/>
              <w:spacing w:after="60" w:line="259" w:lineRule="auto"/>
              <w:ind w:left="1201"/>
              <w:contextualSpacing w:val="0"/>
              <w:textAlignment w:val="baseline"/>
            </w:pPr>
            <w:proofErr w:type="gramStart"/>
            <w:r>
              <w:rPr>
                <w:lang w:eastAsia="en-US"/>
              </w:rPr>
              <w:t>Moderator</w:t>
            </w:r>
            <w:proofErr w:type="gramEnd"/>
            <w:r>
              <w:rPr>
                <w:lang w:eastAsia="en-US"/>
              </w:rPr>
              <w:t xml:space="preserve"> note: This alternative implies the COT can start without a transmission, and the transmission can start any time within MCOT after the COT starts.</w:t>
            </w:r>
          </w:p>
          <w:p w14:paraId="71581D97" w14:textId="77777777" w:rsidR="00AB6E16" w:rsidRDefault="00AB6E16" w:rsidP="00AB6E16">
            <w:pPr>
              <w:pStyle w:val="af2"/>
              <w:numPr>
                <w:ilvl w:val="0"/>
                <w:numId w:val="30"/>
              </w:numPr>
              <w:tabs>
                <w:tab w:val="left" w:pos="720"/>
              </w:tabs>
              <w:kinsoku w:val="0"/>
              <w:overflowPunct w:val="0"/>
              <w:adjustRightInd w:val="0"/>
              <w:spacing w:after="60" w:line="259" w:lineRule="auto"/>
              <w:ind w:left="481"/>
              <w:contextualSpacing w:val="0"/>
              <w:textAlignment w:val="baseline"/>
              <w:rPr>
                <w:lang w:eastAsia="en-US"/>
              </w:rPr>
            </w:pPr>
            <w:r>
              <w:rPr>
                <w:lang w:eastAsia="en-US"/>
              </w:rPr>
              <w:t xml:space="preserve">Alt 3b (from FW). Once counter count down to zero, COT starts. The time between counter = 0 to transmission start is treated as gap, which is counted into the 5ms total MCOT duration. </w:t>
            </w:r>
          </w:p>
          <w:p w14:paraId="5C74129B" w14:textId="77777777" w:rsidR="00AB6E16" w:rsidRDefault="00AB6E16" w:rsidP="00AB6E16">
            <w:pPr>
              <w:pStyle w:val="af2"/>
              <w:numPr>
                <w:ilvl w:val="1"/>
                <w:numId w:val="30"/>
              </w:numPr>
              <w:tabs>
                <w:tab w:val="left" w:pos="1440"/>
              </w:tabs>
              <w:kinsoku w:val="0"/>
              <w:overflowPunct w:val="0"/>
              <w:adjustRightInd w:val="0"/>
              <w:spacing w:after="60" w:line="259" w:lineRule="auto"/>
              <w:ind w:left="1201"/>
              <w:contextualSpacing w:val="0"/>
              <w:textAlignment w:val="baseline"/>
              <w:rPr>
                <w:lang w:eastAsia="en-US"/>
              </w:rPr>
            </w:pPr>
            <w:r>
              <w:rPr>
                <w:lang w:eastAsia="en-US"/>
              </w:rPr>
              <w:t>Node resumes sensing on channel for one sensing slot, right before the targeted transmission start time. Only if the sensing slot is sensed as idle, the transmission can start</w:t>
            </w:r>
          </w:p>
          <w:p w14:paraId="305AE065" w14:textId="77777777" w:rsidR="00AB6E16" w:rsidRDefault="00AB6E16" w:rsidP="00AB6E16">
            <w:pPr>
              <w:pStyle w:val="af2"/>
              <w:numPr>
                <w:ilvl w:val="0"/>
                <w:numId w:val="30"/>
              </w:numPr>
              <w:tabs>
                <w:tab w:val="left" w:pos="720"/>
              </w:tabs>
              <w:kinsoku w:val="0"/>
              <w:overflowPunct w:val="0"/>
              <w:adjustRightInd w:val="0"/>
              <w:spacing w:after="60" w:line="259" w:lineRule="auto"/>
              <w:ind w:left="481"/>
              <w:contextualSpacing w:val="0"/>
              <w:textAlignment w:val="baseline"/>
              <w:rPr>
                <w:lang w:eastAsia="en-US"/>
              </w:rPr>
            </w:pPr>
            <w:r>
              <w:rPr>
                <w:lang w:eastAsia="en-US"/>
              </w:rPr>
              <w:t xml:space="preserve">Alt.4 (from Intel): once the counter goes down to zero, but the device is not able to transmit, the device may draw a new counter, and it will start sensing again. </w:t>
            </w:r>
          </w:p>
          <w:p w14:paraId="7E5E12C6" w14:textId="369FED2E" w:rsidR="00AB6E16" w:rsidRDefault="00AB6E16" w:rsidP="00AB6E16">
            <w:pPr>
              <w:pStyle w:val="af2"/>
              <w:numPr>
                <w:ilvl w:val="0"/>
                <w:numId w:val="30"/>
              </w:numPr>
              <w:tabs>
                <w:tab w:val="left" w:pos="720"/>
              </w:tabs>
              <w:kinsoku w:val="0"/>
              <w:overflowPunct w:val="0"/>
              <w:adjustRightInd w:val="0"/>
              <w:spacing w:after="60" w:line="259" w:lineRule="auto"/>
              <w:ind w:left="481"/>
              <w:contextualSpacing w:val="0"/>
              <w:textAlignment w:val="baseline"/>
              <w:rPr>
                <w:lang w:eastAsia="en-US"/>
              </w:rPr>
            </w:pPr>
            <w:r>
              <w:t xml:space="preserve">Alt 5 (from HW): During the count-down of Type 1 channel access, if the gNB/UE counter reaches 0 but it is not ready for transmission, </w:t>
            </w:r>
            <w:r>
              <w:rPr>
                <w:lang w:eastAsia="en-US"/>
              </w:rPr>
              <w:t>the gNB/UE may continue sensing the channel in additional sensing slots before the target transmission start time. The transmission can start only if either the channel continues to be sensed idle in all additional sensing slot durations or the channel is sensed idle within at least T_d duration ending immediately before the target transmission start time</w:t>
            </w:r>
          </w:p>
        </w:tc>
      </w:tr>
    </w:tbl>
    <w:p w14:paraId="0D1627E0" w14:textId="77A6CAA8" w:rsidR="00AE18F4" w:rsidRPr="00E83308" w:rsidRDefault="00AE18F4" w:rsidP="00813279">
      <w:pPr>
        <w:rPr>
          <w:rFonts w:eastAsia="SimSun"/>
        </w:rPr>
      </w:pPr>
    </w:p>
    <w:p w14:paraId="12D694C9" w14:textId="5606F1D9" w:rsidR="00AE18F4" w:rsidRDefault="0037660C" w:rsidP="00813279">
      <w:pPr>
        <w:rPr>
          <w:lang w:eastAsia="en-US"/>
        </w:rPr>
      </w:pPr>
      <w:r>
        <w:rPr>
          <w:rFonts w:asciiTheme="minorEastAsia" w:eastAsiaTheme="minorEastAsia" w:hAnsiTheme="minorEastAsia" w:hint="eastAsia"/>
          <w:lang w:eastAsia="zh-TW"/>
        </w:rPr>
        <w:t xml:space="preserve">　　</w:t>
      </w:r>
      <w:r>
        <w:rPr>
          <w:rFonts w:eastAsiaTheme="minorEastAsia"/>
          <w:lang w:eastAsia="zh-TW"/>
        </w:rPr>
        <w:t xml:space="preserve">In our view, as many companies already pointed out in the email discussion, </w:t>
      </w:r>
      <w:r>
        <w:rPr>
          <w:lang w:eastAsia="en-US"/>
        </w:rPr>
        <w:t>Alt 1 is not complete since it does not define the behavior if a sensing slot is detected to be busy during the additional sensing. Besides, this issue can be solved by the existing mechanism in sub-6 NR-U, i.e., by reusing self-deferred transmission mechanism. In T</w:t>
      </w:r>
      <w:r w:rsidR="006402B0">
        <w:rPr>
          <w:lang w:eastAsia="en-US"/>
        </w:rPr>
        <w:t>S</w:t>
      </w:r>
      <w:r>
        <w:rPr>
          <w:lang w:eastAsia="en-US"/>
        </w:rPr>
        <w:t xml:space="preserve"> 37.213, the self-deferred transmission is described as follows.</w:t>
      </w:r>
      <w:r w:rsidR="00185C8F">
        <w:rPr>
          <w:lang w:eastAsia="en-US"/>
        </w:rPr>
        <w:t xml:space="preserve"> The</w:t>
      </w:r>
    </w:p>
    <w:p w14:paraId="30CDB398" w14:textId="2F7F79A5" w:rsidR="0037660C" w:rsidRDefault="00185C8F" w:rsidP="00813279">
      <w:pPr>
        <w:rPr>
          <w:lang w:eastAsia="en-US"/>
        </w:rPr>
      </w:pPr>
      <w:r>
        <w:rPr>
          <w:lang w:eastAsia="en-US"/>
        </w:rPr>
        <w:tab/>
      </w:r>
      <w:r>
        <w:rPr>
          <w:noProof/>
        </w:rPr>
        <w:drawing>
          <wp:inline distT="0" distB="0" distL="0" distR="0" wp14:anchorId="486A8389" wp14:editId="159858F8">
            <wp:extent cx="6475730" cy="110807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75730" cy="1108075"/>
                    </a:xfrm>
                    <a:prstGeom prst="rect">
                      <a:avLst/>
                    </a:prstGeom>
                  </pic:spPr>
                </pic:pic>
              </a:graphicData>
            </a:graphic>
          </wp:inline>
        </w:drawing>
      </w:r>
    </w:p>
    <w:p w14:paraId="2265F4C2" w14:textId="4A3D7300" w:rsidR="00185C8F" w:rsidRDefault="00185C8F" w:rsidP="00813279">
      <w:pPr>
        <w:rPr>
          <w:lang w:eastAsia="en-US"/>
        </w:rPr>
      </w:pPr>
    </w:p>
    <w:p w14:paraId="3271AFA8" w14:textId="3A9F0EFA" w:rsidR="00185C8F" w:rsidRPr="00185C8F" w:rsidRDefault="00185C8F" w:rsidP="00813279">
      <w:pPr>
        <w:rPr>
          <w:rFonts w:eastAsiaTheme="minorEastAsia" w:hint="eastAsia"/>
          <w:lang w:eastAsia="zh-TW"/>
        </w:rPr>
      </w:pPr>
      <w:r>
        <w:rPr>
          <w:rFonts w:eastAsiaTheme="minorEastAsia"/>
          <w:lang w:eastAsia="zh-TW"/>
        </w:rPr>
        <w:t xml:space="preserve">highlighted part states that at least a deferral duration needs to be performed right before the transmission as the </w:t>
      </w:r>
      <w:proofErr w:type="spellStart"/>
      <w:r>
        <w:rPr>
          <w:rFonts w:eastAsiaTheme="minorEastAsia"/>
          <w:lang w:eastAsia="zh-TW"/>
        </w:rPr>
        <w:t>gNB</w:t>
      </w:r>
      <w:proofErr w:type="spellEnd"/>
      <w:r>
        <w:rPr>
          <w:rFonts w:eastAsiaTheme="minorEastAsia"/>
          <w:lang w:eastAsia="zh-TW"/>
        </w:rPr>
        <w:t xml:space="preserve"> is ready to transmit the data. Hence, Alt 2 and Alt 5 are both acceptable for us. </w:t>
      </w:r>
      <w:proofErr w:type="gramStart"/>
      <w:r>
        <w:rPr>
          <w:rFonts w:eastAsiaTheme="minorEastAsia"/>
          <w:lang w:eastAsia="zh-TW"/>
        </w:rPr>
        <w:t>In particular, Alt</w:t>
      </w:r>
      <w:proofErr w:type="gramEnd"/>
      <w:r>
        <w:rPr>
          <w:rFonts w:eastAsiaTheme="minorEastAsia"/>
          <w:lang w:eastAsia="zh-TW"/>
        </w:rPr>
        <w:t xml:space="preserve"> 5 is our first preference since the</w:t>
      </w:r>
      <w:r w:rsidR="00FD6586">
        <w:rPr>
          <w:rFonts w:eastAsiaTheme="minorEastAsia"/>
          <w:lang w:eastAsia="zh-TW"/>
        </w:rPr>
        <w:t xml:space="preserve"> definition of the additional</w:t>
      </w:r>
      <w:r>
        <w:rPr>
          <w:rFonts w:eastAsiaTheme="minorEastAsia"/>
          <w:lang w:eastAsia="zh-TW"/>
        </w:rPr>
        <w:t xml:space="preserve"> sensing duration is the same as that in sub-6 NR-U.</w:t>
      </w:r>
      <w:r w:rsidR="006E412C">
        <w:rPr>
          <w:rFonts w:eastAsiaTheme="minorEastAsia"/>
          <w:lang w:eastAsia="zh-TW"/>
        </w:rPr>
        <w:t xml:space="preserve"> As for Alt 3 and Alt 3b, it’s complicated designs in our view because in involves per-beam COT. We understand that the motivation to set a timer for each beam is to avoid infinite delay after one complete cat 3 LBT has been implemented. However, the self-deferred transmission in sub-6 NR-U already allows the behavior similar as Alt 2 or Alt 5</w:t>
      </w:r>
      <w:r w:rsidR="0059183A">
        <w:rPr>
          <w:rFonts w:eastAsiaTheme="minorEastAsia"/>
          <w:lang w:eastAsia="zh-TW"/>
        </w:rPr>
        <w:t xml:space="preserve"> and did not regard this issue as a concern</w:t>
      </w:r>
      <w:r w:rsidR="006E412C">
        <w:rPr>
          <w:rFonts w:eastAsiaTheme="minorEastAsia"/>
          <w:lang w:eastAsia="zh-TW"/>
        </w:rPr>
        <w:t xml:space="preserve">. Moreover, the use case of </w:t>
      </w:r>
      <w:r w:rsidR="006E412C">
        <w:rPr>
          <w:rFonts w:eastAsiaTheme="minorEastAsia"/>
          <w:lang w:eastAsia="zh-TW"/>
        </w:rPr>
        <w:t>self-deferred transmission</w:t>
      </w:r>
      <w:r w:rsidR="006E412C">
        <w:rPr>
          <w:rFonts w:eastAsiaTheme="minorEastAsia"/>
          <w:lang w:eastAsia="zh-TW"/>
        </w:rPr>
        <w:t xml:space="preserve"> is twofold</w:t>
      </w:r>
      <w:r w:rsidR="00FA308C">
        <w:rPr>
          <w:rFonts w:eastAsiaTheme="minorEastAsia"/>
          <w:lang w:eastAsia="zh-TW"/>
        </w:rPr>
        <w:t xml:space="preserve"> in our understanding</w:t>
      </w:r>
      <w:r w:rsidR="006E412C">
        <w:rPr>
          <w:rFonts w:eastAsiaTheme="minorEastAsia" w:hint="eastAsia"/>
          <w:lang w:eastAsia="zh-TW"/>
        </w:rPr>
        <w:t>: (1</w:t>
      </w:r>
      <w:r w:rsidR="006E412C">
        <w:rPr>
          <w:rFonts w:eastAsiaTheme="minorEastAsia"/>
          <w:lang w:eastAsia="zh-TW"/>
        </w:rPr>
        <w:t xml:space="preserve">) when multiple </w:t>
      </w:r>
      <w:proofErr w:type="spellStart"/>
      <w:r w:rsidR="006E412C">
        <w:rPr>
          <w:rFonts w:eastAsiaTheme="minorEastAsia"/>
          <w:lang w:eastAsia="zh-TW"/>
        </w:rPr>
        <w:t>gNBs</w:t>
      </w:r>
      <w:proofErr w:type="spellEnd"/>
      <w:r w:rsidR="006E412C">
        <w:rPr>
          <w:rFonts w:eastAsiaTheme="minorEastAsia"/>
          <w:lang w:eastAsia="zh-TW"/>
        </w:rPr>
        <w:t xml:space="preserve"> or TRPs want to perform coordinated transmission for DL data for a given UE, while involved </w:t>
      </w:r>
      <w:proofErr w:type="spellStart"/>
      <w:r w:rsidR="006E412C">
        <w:rPr>
          <w:rFonts w:eastAsiaTheme="minorEastAsia"/>
          <w:lang w:eastAsia="zh-TW"/>
        </w:rPr>
        <w:t>gNBs</w:t>
      </w:r>
      <w:proofErr w:type="spellEnd"/>
      <w:r w:rsidR="006E412C">
        <w:rPr>
          <w:rFonts w:eastAsiaTheme="minorEastAsia"/>
          <w:lang w:eastAsia="zh-TW"/>
        </w:rPr>
        <w:t>/TRPs finish its LBT at different timing; (2) a UE finish</w:t>
      </w:r>
      <w:r w:rsidR="008115A3">
        <w:rPr>
          <w:rFonts w:eastAsiaTheme="minorEastAsia"/>
          <w:lang w:eastAsia="zh-TW"/>
        </w:rPr>
        <w:t>es</w:t>
      </w:r>
      <w:r w:rsidR="006E412C">
        <w:rPr>
          <w:rFonts w:eastAsiaTheme="minorEastAsia"/>
          <w:lang w:eastAsia="zh-TW"/>
        </w:rPr>
        <w:t xml:space="preserve"> the LBT procedure for its UL transmission </w:t>
      </w:r>
      <w:r w:rsidR="00976AA2">
        <w:rPr>
          <w:rFonts w:eastAsiaTheme="minorEastAsia"/>
          <w:lang w:eastAsia="zh-TW"/>
        </w:rPr>
        <w:t>earlier than</w:t>
      </w:r>
      <w:r w:rsidR="006E412C">
        <w:rPr>
          <w:rFonts w:eastAsiaTheme="minorEastAsia"/>
          <w:lang w:eastAsia="zh-TW"/>
        </w:rPr>
        <w:t xml:space="preserve"> the allowed transmission time indicated by UL grant. In the above two use cases, </w:t>
      </w:r>
      <w:proofErr w:type="gramStart"/>
      <w:r w:rsidR="006E412C">
        <w:rPr>
          <w:rFonts w:eastAsiaTheme="minorEastAsia"/>
          <w:lang w:eastAsia="zh-TW"/>
        </w:rPr>
        <w:t>it can be seen that the</w:t>
      </w:r>
      <w:proofErr w:type="gramEnd"/>
      <w:r w:rsidR="006E412C">
        <w:rPr>
          <w:rFonts w:eastAsiaTheme="minorEastAsia"/>
          <w:lang w:eastAsia="zh-TW"/>
        </w:rPr>
        <w:t xml:space="preserve"> device performing LBT tend to begin</w:t>
      </w:r>
      <w:r w:rsidR="00BB308E">
        <w:rPr>
          <w:rFonts w:eastAsiaTheme="minorEastAsia"/>
          <w:lang w:eastAsia="zh-TW"/>
        </w:rPr>
        <w:t xml:space="preserve"> the</w:t>
      </w:r>
      <w:r w:rsidR="006E412C">
        <w:rPr>
          <w:rFonts w:eastAsiaTheme="minorEastAsia"/>
          <w:lang w:eastAsia="zh-TW"/>
        </w:rPr>
        <w:t xml:space="preserve"> data transmission as soon as possible after the root cause for activating self-deferred transmission is solved. Therefore, the concern from Alt 3 and Alt 3b </w:t>
      </w:r>
      <w:r w:rsidR="00213FF5">
        <w:rPr>
          <w:rFonts w:eastAsiaTheme="minorEastAsia"/>
          <w:lang w:eastAsia="zh-TW"/>
        </w:rPr>
        <w:t>will not happen if</w:t>
      </w:r>
      <w:r w:rsidR="006E412C">
        <w:rPr>
          <w:rFonts w:eastAsiaTheme="minorEastAsia"/>
          <w:lang w:eastAsia="zh-TW"/>
        </w:rPr>
        <w:t xml:space="preserve"> Alt 2 or Alt </w:t>
      </w:r>
      <w:r w:rsidR="001452C8">
        <w:rPr>
          <w:rFonts w:eastAsiaTheme="minorEastAsia"/>
          <w:lang w:eastAsia="zh-TW"/>
        </w:rPr>
        <w:t>5</w:t>
      </w:r>
      <w:r w:rsidR="00213FF5">
        <w:rPr>
          <w:rFonts w:eastAsiaTheme="minorEastAsia"/>
          <w:lang w:eastAsia="zh-TW"/>
        </w:rPr>
        <w:t xml:space="preserve"> is supported</w:t>
      </w:r>
      <w:r w:rsidR="006E412C">
        <w:rPr>
          <w:rFonts w:eastAsiaTheme="minorEastAsia"/>
          <w:lang w:eastAsia="zh-TW"/>
        </w:rPr>
        <w:t xml:space="preserve">. </w:t>
      </w:r>
      <w:r w:rsidR="001452C8">
        <w:rPr>
          <w:rFonts w:eastAsiaTheme="minorEastAsia"/>
          <w:lang w:eastAsia="zh-TW"/>
        </w:rPr>
        <w:t xml:space="preserve">In addition, RAN 2 already agree that </w:t>
      </w:r>
      <w:r w:rsidR="001452C8" w:rsidRPr="001452C8">
        <w:rPr>
          <w:rFonts w:eastAsia="新細明體"/>
          <w:lang w:eastAsia="zh-TW"/>
        </w:rPr>
        <w:t>no per-beam indication for LBT failure</w:t>
      </w:r>
      <w:r w:rsidR="001452C8">
        <w:rPr>
          <w:rFonts w:eastAsia="新細明體"/>
          <w:lang w:eastAsia="zh-TW"/>
        </w:rPr>
        <w:t xml:space="preserve"> is needed, adopting per-beam COT procedure as in Alt 3 and Alt 3b</w:t>
      </w:r>
      <w:r w:rsidR="00EF4BE4">
        <w:rPr>
          <w:rFonts w:eastAsia="新細明體"/>
          <w:lang w:eastAsia="zh-TW"/>
        </w:rPr>
        <w:t xml:space="preserve"> seem to</w:t>
      </w:r>
      <w:r w:rsidR="001452C8">
        <w:rPr>
          <w:rFonts w:eastAsia="新細明體"/>
          <w:lang w:eastAsia="zh-TW"/>
        </w:rPr>
        <w:t xml:space="preserve"> contradict the agreement in RAN 2. </w:t>
      </w:r>
    </w:p>
    <w:p w14:paraId="266BE5DC" w14:textId="77777777" w:rsidR="00111096" w:rsidRDefault="00111096" w:rsidP="00813279">
      <w:pPr>
        <w:rPr>
          <w:rFonts w:eastAsia="SimSun"/>
        </w:rPr>
      </w:pPr>
    </w:p>
    <w:p w14:paraId="580C2A26" w14:textId="1AE2EC81" w:rsidR="00DA099A" w:rsidRPr="00773943" w:rsidRDefault="002153B3" w:rsidP="005C1573">
      <w:pPr>
        <w:rPr>
          <w:rFonts w:eastAsia="SimSun"/>
          <w:b/>
        </w:rPr>
      </w:pPr>
      <w:r>
        <w:rPr>
          <w:rFonts w:eastAsiaTheme="minorEastAsia"/>
          <w:b/>
          <w:lang w:eastAsia="zh-TW"/>
        </w:rPr>
        <w:t xml:space="preserve">Proposal </w:t>
      </w:r>
      <w:r w:rsidR="0066270B">
        <w:rPr>
          <w:rFonts w:eastAsiaTheme="minorEastAsia"/>
          <w:b/>
          <w:lang w:eastAsia="zh-TW"/>
        </w:rPr>
        <w:t>1</w:t>
      </w:r>
      <w:r w:rsidR="00111096">
        <w:rPr>
          <w:rFonts w:eastAsiaTheme="minorEastAsia"/>
          <w:b/>
          <w:lang w:eastAsia="zh-TW"/>
        </w:rPr>
        <w:t xml:space="preserve">: </w:t>
      </w:r>
      <w:r w:rsidR="001872FC">
        <w:rPr>
          <w:rFonts w:eastAsiaTheme="minorEastAsia"/>
          <w:b/>
          <w:lang w:eastAsia="zh-TW"/>
        </w:rPr>
        <w:t>For multi-beam COT, support Alt 5, if any issues for Alt 5, support Alt 2.</w:t>
      </w:r>
    </w:p>
    <w:p w14:paraId="24DFC281" w14:textId="77777777" w:rsidR="002F7DD2" w:rsidRPr="00F63A90" w:rsidRDefault="002F7DD2" w:rsidP="005C1573">
      <w:pPr>
        <w:rPr>
          <w:rFonts w:eastAsia="SimSun"/>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74AD9DC3" w14:textId="4EB22020" w:rsidR="008E09B9" w:rsidRPr="00F63A90" w:rsidRDefault="005C1573" w:rsidP="008E09B9">
      <w:pPr>
        <w:rPr>
          <w:rFonts w:eastAsia="SimSun"/>
        </w:rPr>
      </w:pPr>
      <w:r w:rsidRPr="00A11CA4">
        <w:t xml:space="preserve">In this contribution we have discussed </w:t>
      </w:r>
      <w:r w:rsidR="00F63A90">
        <w:rPr>
          <w:lang w:val="en-GB"/>
        </w:rPr>
        <w:t>unresolved issue</w:t>
      </w:r>
      <w:r w:rsidR="00A77438">
        <w:t xml:space="preserve"> for channel</w:t>
      </w:r>
      <w:r>
        <w:t xml:space="preserve"> access above 52.6 GHz and provided following proposal</w:t>
      </w:r>
      <w:r w:rsidRPr="00A11CA4">
        <w:t>:</w:t>
      </w:r>
    </w:p>
    <w:p w14:paraId="7B52D8FB" w14:textId="77777777" w:rsidR="00AF0EDB" w:rsidRDefault="00AF0EDB" w:rsidP="003B0343">
      <w:pPr>
        <w:rPr>
          <w:b/>
        </w:rPr>
      </w:pPr>
    </w:p>
    <w:p w14:paraId="3660DA72" w14:textId="42CE6F62" w:rsidR="001872FC" w:rsidRPr="00773943" w:rsidRDefault="0095251A" w:rsidP="001872FC">
      <w:pPr>
        <w:rPr>
          <w:rFonts w:eastAsia="SimSun"/>
          <w:b/>
        </w:rPr>
      </w:pPr>
      <w:r>
        <w:rPr>
          <w:rFonts w:eastAsiaTheme="minorEastAsia"/>
          <w:b/>
          <w:lang w:eastAsia="zh-TW"/>
        </w:rPr>
        <w:t xml:space="preserve">Proposal </w:t>
      </w:r>
      <w:r w:rsidR="00F63A90">
        <w:rPr>
          <w:rFonts w:eastAsiaTheme="minorEastAsia"/>
          <w:b/>
          <w:lang w:eastAsia="zh-TW"/>
        </w:rPr>
        <w:t>1</w:t>
      </w:r>
      <w:r w:rsidR="00F0248D">
        <w:rPr>
          <w:rFonts w:eastAsiaTheme="minorEastAsia"/>
          <w:b/>
          <w:lang w:eastAsia="zh-TW"/>
        </w:rPr>
        <w:t xml:space="preserve">: </w:t>
      </w:r>
      <w:r w:rsidR="001872FC">
        <w:rPr>
          <w:rFonts w:eastAsiaTheme="minorEastAsia"/>
          <w:b/>
          <w:lang w:eastAsia="zh-TW"/>
        </w:rPr>
        <w:t>For multi-beam COT, support Alt 5, if any issues for Alt 5, support Alt 2.</w:t>
      </w:r>
    </w:p>
    <w:p w14:paraId="53A64715" w14:textId="3CA911E5" w:rsidR="0095251A" w:rsidRPr="001872FC" w:rsidRDefault="0095251A" w:rsidP="003B0343">
      <w:pPr>
        <w:rPr>
          <w:b/>
        </w:rPr>
      </w:pP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3793824A" w14:textId="4C616943" w:rsidR="000D6052" w:rsidRPr="00B86C27" w:rsidRDefault="00645A13" w:rsidP="00B86C27">
      <w:pPr>
        <w:pStyle w:val="af2"/>
        <w:numPr>
          <w:ilvl w:val="0"/>
          <w:numId w:val="7"/>
        </w:numPr>
        <w:spacing w:line="259" w:lineRule="auto"/>
      </w:pPr>
      <w:bookmarkStart w:id="1" w:name="_Ref31097917"/>
      <w:bookmarkStart w:id="2" w:name="_Ref31097847"/>
      <w:bookmarkStart w:id="3" w:name="_Ref53738358"/>
      <w:bookmarkStart w:id="4" w:name="_Ref31097951"/>
      <w:bookmarkStart w:id="5" w:name="_Ref528680018"/>
      <w:bookmarkStart w:id="6" w:name="_Ref481596356"/>
      <w:bookmarkStart w:id="7" w:name="_Ref481781528"/>
      <w:bookmarkStart w:id="8" w:name="_Ref481782557"/>
      <w:r w:rsidRPr="002A4CBF">
        <w:t>RP-</w:t>
      </w:r>
      <w:r w:rsidRPr="003D3EAE">
        <w:rPr>
          <w:b/>
          <w:noProof/>
        </w:rPr>
        <w:t xml:space="preserve"> </w:t>
      </w:r>
      <w:r w:rsidRPr="00E70DA2">
        <w:rPr>
          <w:noProof/>
        </w:rPr>
        <w:t>212637</w:t>
      </w:r>
      <w:r w:rsidRPr="002A4CBF">
        <w:t xml:space="preserve">, “Revised WID: Extending current NR operation to 71GHz”, </w:t>
      </w:r>
      <w:bookmarkEnd w:id="1"/>
      <w:r>
        <w:t>Qualcomm, Intel, RAN#93-e</w:t>
      </w:r>
      <w:bookmarkEnd w:id="0"/>
      <w:bookmarkEnd w:id="2"/>
      <w:bookmarkEnd w:id="3"/>
      <w:bookmarkEnd w:id="4"/>
      <w:bookmarkEnd w:id="5"/>
      <w:bookmarkEnd w:id="6"/>
      <w:bookmarkEnd w:id="7"/>
      <w:bookmarkEnd w:id="8"/>
    </w:p>
    <w:sectPr w:rsidR="000D6052" w:rsidRPr="00B86C2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AD6E1" w14:textId="77777777" w:rsidR="00D912D2" w:rsidRDefault="00D912D2">
      <w:r>
        <w:separator/>
      </w:r>
    </w:p>
  </w:endnote>
  <w:endnote w:type="continuationSeparator" w:id="0">
    <w:p w14:paraId="44F76BDC" w14:textId="77777777" w:rsidR="00D912D2" w:rsidRDefault="00D9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D713C" w14:textId="77777777" w:rsidR="00D912D2" w:rsidRDefault="00D912D2">
      <w:r>
        <w:separator/>
      </w:r>
    </w:p>
  </w:footnote>
  <w:footnote w:type="continuationSeparator" w:id="0">
    <w:p w14:paraId="5F7933FE" w14:textId="77777777" w:rsidR="00D912D2" w:rsidRDefault="00D91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2"/>
  </w:num>
  <w:num w:numId="3">
    <w:abstractNumId w:val="18"/>
  </w:num>
  <w:num w:numId="4">
    <w:abstractNumId w:val="7"/>
  </w:num>
  <w:num w:numId="5">
    <w:abstractNumId w:val="13"/>
  </w:num>
  <w:num w:numId="6">
    <w:abstractNumId w:val="23"/>
  </w:num>
  <w:num w:numId="7">
    <w:abstractNumId w:val="5"/>
  </w:num>
  <w:num w:numId="8">
    <w:abstractNumId w:val="33"/>
  </w:num>
  <w:num w:numId="9">
    <w:abstractNumId w:val="30"/>
  </w:num>
  <w:num w:numId="10">
    <w:abstractNumId w:val="21"/>
  </w:num>
  <w:num w:numId="11">
    <w:abstractNumId w:val="6"/>
  </w:num>
  <w:num w:numId="12">
    <w:abstractNumId w:val="19"/>
  </w:num>
  <w:num w:numId="13">
    <w:abstractNumId w:val="16"/>
  </w:num>
  <w:num w:numId="14">
    <w:abstractNumId w:val="29"/>
  </w:num>
  <w:num w:numId="15">
    <w:abstractNumId w:val="15"/>
  </w:num>
  <w:num w:numId="16">
    <w:abstractNumId w:val="0"/>
  </w:num>
  <w:num w:numId="17">
    <w:abstractNumId w:val="14"/>
  </w:num>
  <w:num w:numId="18">
    <w:abstractNumId w:val="32"/>
  </w:num>
  <w:num w:numId="19">
    <w:abstractNumId w:val="34"/>
  </w:num>
  <w:num w:numId="20">
    <w:abstractNumId w:val="3"/>
  </w:num>
  <w:num w:numId="21">
    <w:abstractNumId w:val="17"/>
  </w:num>
  <w:num w:numId="22">
    <w:abstractNumId w:val="27"/>
  </w:num>
  <w:num w:numId="23">
    <w:abstractNumId w:val="1"/>
  </w:num>
  <w:num w:numId="24">
    <w:abstractNumId w:val="20"/>
  </w:num>
  <w:num w:numId="25">
    <w:abstractNumId w:val="24"/>
  </w:num>
  <w:num w:numId="26">
    <w:abstractNumId w:val="31"/>
  </w:num>
  <w:num w:numId="27">
    <w:abstractNumId w:val="2"/>
  </w:num>
  <w:num w:numId="28">
    <w:abstractNumId w:val="26"/>
  </w:num>
  <w:num w:numId="29">
    <w:abstractNumId w:val="4"/>
  </w:num>
  <w:num w:numId="30">
    <w:abstractNumId w:val="9"/>
  </w:num>
  <w:num w:numId="31">
    <w:abstractNumId w:val="10"/>
  </w:num>
  <w:num w:numId="32">
    <w:abstractNumId w:val="30"/>
  </w:num>
  <w:num w:numId="33">
    <w:abstractNumId w:val="8"/>
  </w:num>
  <w:num w:numId="34">
    <w:abstractNumId w:val="9"/>
  </w:num>
  <w:num w:numId="35">
    <w:abstractNumId w:val="12"/>
  </w:num>
  <w:num w:numId="36">
    <w:abstractNumId w:val="21"/>
  </w:num>
  <w:num w:numId="37">
    <w:abstractNumId w:val="28"/>
  </w:num>
  <w:num w:numId="3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214C"/>
    <w:rsid w:val="00006925"/>
    <w:rsid w:val="00006B8B"/>
    <w:rsid w:val="0000759B"/>
    <w:rsid w:val="000110AC"/>
    <w:rsid w:val="000158B4"/>
    <w:rsid w:val="00016194"/>
    <w:rsid w:val="00017715"/>
    <w:rsid w:val="0002003A"/>
    <w:rsid w:val="00020508"/>
    <w:rsid w:val="000205CC"/>
    <w:rsid w:val="00020FD3"/>
    <w:rsid w:val="00021CC2"/>
    <w:rsid w:val="00021EE8"/>
    <w:rsid w:val="00021FE9"/>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8B9"/>
    <w:rsid w:val="00057A5C"/>
    <w:rsid w:val="00057A8F"/>
    <w:rsid w:val="00061957"/>
    <w:rsid w:val="00061CB1"/>
    <w:rsid w:val="00061F48"/>
    <w:rsid w:val="00062231"/>
    <w:rsid w:val="00062A93"/>
    <w:rsid w:val="00063398"/>
    <w:rsid w:val="00063F24"/>
    <w:rsid w:val="000647C0"/>
    <w:rsid w:val="00064DBE"/>
    <w:rsid w:val="00065D70"/>
    <w:rsid w:val="00066C1A"/>
    <w:rsid w:val="00067374"/>
    <w:rsid w:val="00067A78"/>
    <w:rsid w:val="00070AAC"/>
    <w:rsid w:val="000710D3"/>
    <w:rsid w:val="00073375"/>
    <w:rsid w:val="000734C8"/>
    <w:rsid w:val="00073BC3"/>
    <w:rsid w:val="0007517C"/>
    <w:rsid w:val="00075251"/>
    <w:rsid w:val="00075540"/>
    <w:rsid w:val="00075806"/>
    <w:rsid w:val="000761F5"/>
    <w:rsid w:val="00076B98"/>
    <w:rsid w:val="00076E75"/>
    <w:rsid w:val="000773DA"/>
    <w:rsid w:val="00077440"/>
    <w:rsid w:val="000804BA"/>
    <w:rsid w:val="0008058A"/>
    <w:rsid w:val="0008083C"/>
    <w:rsid w:val="00080D27"/>
    <w:rsid w:val="000816D0"/>
    <w:rsid w:val="00081B12"/>
    <w:rsid w:val="0008248F"/>
    <w:rsid w:val="00082B16"/>
    <w:rsid w:val="00082F17"/>
    <w:rsid w:val="00083027"/>
    <w:rsid w:val="0008343C"/>
    <w:rsid w:val="000834AF"/>
    <w:rsid w:val="00083D5E"/>
    <w:rsid w:val="00084041"/>
    <w:rsid w:val="000848FF"/>
    <w:rsid w:val="00084A7D"/>
    <w:rsid w:val="00086E32"/>
    <w:rsid w:val="000870F6"/>
    <w:rsid w:val="00087E96"/>
    <w:rsid w:val="00087FA3"/>
    <w:rsid w:val="0009117E"/>
    <w:rsid w:val="00091C8A"/>
    <w:rsid w:val="0009268D"/>
    <w:rsid w:val="00093F56"/>
    <w:rsid w:val="000955C4"/>
    <w:rsid w:val="00095AD3"/>
    <w:rsid w:val="00097214"/>
    <w:rsid w:val="000A0327"/>
    <w:rsid w:val="000A21D8"/>
    <w:rsid w:val="000A3C08"/>
    <w:rsid w:val="000A471A"/>
    <w:rsid w:val="000A5320"/>
    <w:rsid w:val="000A76E4"/>
    <w:rsid w:val="000A7B1E"/>
    <w:rsid w:val="000B14D1"/>
    <w:rsid w:val="000B3299"/>
    <w:rsid w:val="000B4436"/>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3102"/>
    <w:rsid w:val="000E4BBD"/>
    <w:rsid w:val="000E4BCD"/>
    <w:rsid w:val="000E639C"/>
    <w:rsid w:val="000E6E33"/>
    <w:rsid w:val="000F137D"/>
    <w:rsid w:val="000F1E63"/>
    <w:rsid w:val="000F4B50"/>
    <w:rsid w:val="000F4C3D"/>
    <w:rsid w:val="000F5FE4"/>
    <w:rsid w:val="000F757F"/>
    <w:rsid w:val="00100ACC"/>
    <w:rsid w:val="00101E9A"/>
    <w:rsid w:val="001020DB"/>
    <w:rsid w:val="001031E2"/>
    <w:rsid w:val="001036C1"/>
    <w:rsid w:val="00104306"/>
    <w:rsid w:val="001054D7"/>
    <w:rsid w:val="00105D24"/>
    <w:rsid w:val="00105E44"/>
    <w:rsid w:val="00110248"/>
    <w:rsid w:val="0011044A"/>
    <w:rsid w:val="00110756"/>
    <w:rsid w:val="00111096"/>
    <w:rsid w:val="00111E05"/>
    <w:rsid w:val="00112895"/>
    <w:rsid w:val="001136F0"/>
    <w:rsid w:val="001143BC"/>
    <w:rsid w:val="00114BF2"/>
    <w:rsid w:val="00117C64"/>
    <w:rsid w:val="00120A67"/>
    <w:rsid w:val="00121200"/>
    <w:rsid w:val="001225B7"/>
    <w:rsid w:val="00122847"/>
    <w:rsid w:val="001236A4"/>
    <w:rsid w:val="0012372F"/>
    <w:rsid w:val="00123908"/>
    <w:rsid w:val="001240DF"/>
    <w:rsid w:val="001243FA"/>
    <w:rsid w:val="00125716"/>
    <w:rsid w:val="00125CE8"/>
    <w:rsid w:val="00127A8F"/>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52C8"/>
    <w:rsid w:val="001452E6"/>
    <w:rsid w:val="00146391"/>
    <w:rsid w:val="00146558"/>
    <w:rsid w:val="00146AA4"/>
    <w:rsid w:val="00147033"/>
    <w:rsid w:val="001473AD"/>
    <w:rsid w:val="00147760"/>
    <w:rsid w:val="001479BA"/>
    <w:rsid w:val="00147BB6"/>
    <w:rsid w:val="00150097"/>
    <w:rsid w:val="00152DB4"/>
    <w:rsid w:val="00153063"/>
    <w:rsid w:val="001544F9"/>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7270"/>
    <w:rsid w:val="00177FC5"/>
    <w:rsid w:val="00180126"/>
    <w:rsid w:val="00180E36"/>
    <w:rsid w:val="001818C8"/>
    <w:rsid w:val="00182BC2"/>
    <w:rsid w:val="0018358E"/>
    <w:rsid w:val="00185C8F"/>
    <w:rsid w:val="001872FC"/>
    <w:rsid w:val="00190D08"/>
    <w:rsid w:val="00190DFE"/>
    <w:rsid w:val="0019128E"/>
    <w:rsid w:val="00192F8D"/>
    <w:rsid w:val="0019328A"/>
    <w:rsid w:val="001934B6"/>
    <w:rsid w:val="00194486"/>
    <w:rsid w:val="00194682"/>
    <w:rsid w:val="001948C2"/>
    <w:rsid w:val="00195717"/>
    <w:rsid w:val="00197675"/>
    <w:rsid w:val="00197CF7"/>
    <w:rsid w:val="001A0B1E"/>
    <w:rsid w:val="001A28FE"/>
    <w:rsid w:val="001A2F1C"/>
    <w:rsid w:val="001A2FF5"/>
    <w:rsid w:val="001A78E7"/>
    <w:rsid w:val="001A7B82"/>
    <w:rsid w:val="001B062D"/>
    <w:rsid w:val="001B0EF4"/>
    <w:rsid w:val="001B11C8"/>
    <w:rsid w:val="001B1553"/>
    <w:rsid w:val="001B1CB4"/>
    <w:rsid w:val="001B4281"/>
    <w:rsid w:val="001B49D2"/>
    <w:rsid w:val="001B5424"/>
    <w:rsid w:val="001B5E24"/>
    <w:rsid w:val="001B76A7"/>
    <w:rsid w:val="001C101A"/>
    <w:rsid w:val="001C15F6"/>
    <w:rsid w:val="001C17C4"/>
    <w:rsid w:val="001C2B3F"/>
    <w:rsid w:val="001C3CC4"/>
    <w:rsid w:val="001C401F"/>
    <w:rsid w:val="001C5151"/>
    <w:rsid w:val="001C5FF7"/>
    <w:rsid w:val="001C7FAE"/>
    <w:rsid w:val="001D2C74"/>
    <w:rsid w:val="001D2E49"/>
    <w:rsid w:val="001D3D7B"/>
    <w:rsid w:val="001E0B66"/>
    <w:rsid w:val="001E3EE1"/>
    <w:rsid w:val="001E6370"/>
    <w:rsid w:val="001F0231"/>
    <w:rsid w:val="001F1DE9"/>
    <w:rsid w:val="001F24B6"/>
    <w:rsid w:val="001F32A2"/>
    <w:rsid w:val="001F3A8F"/>
    <w:rsid w:val="001F3EBE"/>
    <w:rsid w:val="001F4E0E"/>
    <w:rsid w:val="001F4EC9"/>
    <w:rsid w:val="001F6982"/>
    <w:rsid w:val="001F6B80"/>
    <w:rsid w:val="001F703D"/>
    <w:rsid w:val="00200E87"/>
    <w:rsid w:val="00201DAA"/>
    <w:rsid w:val="00202C9A"/>
    <w:rsid w:val="00202D37"/>
    <w:rsid w:val="00204F59"/>
    <w:rsid w:val="00205B9A"/>
    <w:rsid w:val="00205D8B"/>
    <w:rsid w:val="00205EAF"/>
    <w:rsid w:val="002076C2"/>
    <w:rsid w:val="00210590"/>
    <w:rsid w:val="002106ED"/>
    <w:rsid w:val="00213FF5"/>
    <w:rsid w:val="00215285"/>
    <w:rsid w:val="002153B3"/>
    <w:rsid w:val="00215987"/>
    <w:rsid w:val="002162FA"/>
    <w:rsid w:val="002164D8"/>
    <w:rsid w:val="0021718D"/>
    <w:rsid w:val="00217F2E"/>
    <w:rsid w:val="00220BB7"/>
    <w:rsid w:val="002214BF"/>
    <w:rsid w:val="00221A15"/>
    <w:rsid w:val="00221AE6"/>
    <w:rsid w:val="00223789"/>
    <w:rsid w:val="00223F2E"/>
    <w:rsid w:val="002252A5"/>
    <w:rsid w:val="002259D0"/>
    <w:rsid w:val="00226DFD"/>
    <w:rsid w:val="00227213"/>
    <w:rsid w:val="00227EF9"/>
    <w:rsid w:val="00227FFB"/>
    <w:rsid w:val="00230019"/>
    <w:rsid w:val="0023012B"/>
    <w:rsid w:val="002309F0"/>
    <w:rsid w:val="0023102D"/>
    <w:rsid w:val="002312A4"/>
    <w:rsid w:val="00231ABC"/>
    <w:rsid w:val="00232F53"/>
    <w:rsid w:val="00234B24"/>
    <w:rsid w:val="00235598"/>
    <w:rsid w:val="00235A20"/>
    <w:rsid w:val="00235FDB"/>
    <w:rsid w:val="00236AA8"/>
    <w:rsid w:val="00237B6F"/>
    <w:rsid w:val="00241112"/>
    <w:rsid w:val="00242CE2"/>
    <w:rsid w:val="0024342E"/>
    <w:rsid w:val="00243DC2"/>
    <w:rsid w:val="0024455E"/>
    <w:rsid w:val="00246837"/>
    <w:rsid w:val="002476D1"/>
    <w:rsid w:val="00247F87"/>
    <w:rsid w:val="002538ED"/>
    <w:rsid w:val="00255F76"/>
    <w:rsid w:val="002607F3"/>
    <w:rsid w:val="00261EF6"/>
    <w:rsid w:val="00261F70"/>
    <w:rsid w:val="002621FF"/>
    <w:rsid w:val="002635F4"/>
    <w:rsid w:val="00263EEA"/>
    <w:rsid w:val="002648D9"/>
    <w:rsid w:val="00264B95"/>
    <w:rsid w:val="002666EF"/>
    <w:rsid w:val="00267909"/>
    <w:rsid w:val="00271467"/>
    <w:rsid w:val="0027235C"/>
    <w:rsid w:val="002729C4"/>
    <w:rsid w:val="0027414C"/>
    <w:rsid w:val="002746C4"/>
    <w:rsid w:val="00276C2C"/>
    <w:rsid w:val="00280103"/>
    <w:rsid w:val="00281EB7"/>
    <w:rsid w:val="00284421"/>
    <w:rsid w:val="0028463E"/>
    <w:rsid w:val="002852B9"/>
    <w:rsid w:val="00286309"/>
    <w:rsid w:val="00290736"/>
    <w:rsid w:val="00290E8E"/>
    <w:rsid w:val="002917F1"/>
    <w:rsid w:val="00291CF7"/>
    <w:rsid w:val="00292686"/>
    <w:rsid w:val="00292AB5"/>
    <w:rsid w:val="0029315B"/>
    <w:rsid w:val="002946A4"/>
    <w:rsid w:val="002952E1"/>
    <w:rsid w:val="00296E15"/>
    <w:rsid w:val="00297B83"/>
    <w:rsid w:val="002A0AD7"/>
    <w:rsid w:val="002A2B51"/>
    <w:rsid w:val="002A3F1C"/>
    <w:rsid w:val="002A4806"/>
    <w:rsid w:val="002A6AD4"/>
    <w:rsid w:val="002A7B32"/>
    <w:rsid w:val="002B036F"/>
    <w:rsid w:val="002B04E1"/>
    <w:rsid w:val="002B0BA9"/>
    <w:rsid w:val="002B2653"/>
    <w:rsid w:val="002B276E"/>
    <w:rsid w:val="002B364B"/>
    <w:rsid w:val="002B4D54"/>
    <w:rsid w:val="002B51AC"/>
    <w:rsid w:val="002B6BF2"/>
    <w:rsid w:val="002B6FD0"/>
    <w:rsid w:val="002B71A5"/>
    <w:rsid w:val="002B7A18"/>
    <w:rsid w:val="002C041B"/>
    <w:rsid w:val="002C145E"/>
    <w:rsid w:val="002C1C5A"/>
    <w:rsid w:val="002C4988"/>
    <w:rsid w:val="002C4B0C"/>
    <w:rsid w:val="002C64F0"/>
    <w:rsid w:val="002C6E28"/>
    <w:rsid w:val="002C7BC1"/>
    <w:rsid w:val="002D0A17"/>
    <w:rsid w:val="002D0E67"/>
    <w:rsid w:val="002D182B"/>
    <w:rsid w:val="002D1B45"/>
    <w:rsid w:val="002D3847"/>
    <w:rsid w:val="002D3AFB"/>
    <w:rsid w:val="002D3D98"/>
    <w:rsid w:val="002D4E8F"/>
    <w:rsid w:val="002D76D2"/>
    <w:rsid w:val="002E05B2"/>
    <w:rsid w:val="002E0FB3"/>
    <w:rsid w:val="002E1F10"/>
    <w:rsid w:val="002E20C2"/>
    <w:rsid w:val="002E4747"/>
    <w:rsid w:val="002E78BC"/>
    <w:rsid w:val="002F0B0B"/>
    <w:rsid w:val="002F13D0"/>
    <w:rsid w:val="002F4E48"/>
    <w:rsid w:val="002F67C2"/>
    <w:rsid w:val="002F7DD2"/>
    <w:rsid w:val="003027C8"/>
    <w:rsid w:val="00302A97"/>
    <w:rsid w:val="00303A46"/>
    <w:rsid w:val="00303C1F"/>
    <w:rsid w:val="00304298"/>
    <w:rsid w:val="00304DC0"/>
    <w:rsid w:val="00305D34"/>
    <w:rsid w:val="00307020"/>
    <w:rsid w:val="00307542"/>
    <w:rsid w:val="00307E56"/>
    <w:rsid w:val="003102E0"/>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6615"/>
    <w:rsid w:val="003276BC"/>
    <w:rsid w:val="00327E72"/>
    <w:rsid w:val="00330F0B"/>
    <w:rsid w:val="00333217"/>
    <w:rsid w:val="00335660"/>
    <w:rsid w:val="00336533"/>
    <w:rsid w:val="003367E0"/>
    <w:rsid w:val="003374E0"/>
    <w:rsid w:val="00341882"/>
    <w:rsid w:val="0034247C"/>
    <w:rsid w:val="003427C0"/>
    <w:rsid w:val="00343A2F"/>
    <w:rsid w:val="00345CE7"/>
    <w:rsid w:val="00345D8C"/>
    <w:rsid w:val="003460CA"/>
    <w:rsid w:val="0034687F"/>
    <w:rsid w:val="003505B9"/>
    <w:rsid w:val="0035139C"/>
    <w:rsid w:val="0035140D"/>
    <w:rsid w:val="003521AD"/>
    <w:rsid w:val="003530DA"/>
    <w:rsid w:val="003531AC"/>
    <w:rsid w:val="00354230"/>
    <w:rsid w:val="00354E8A"/>
    <w:rsid w:val="00355A6E"/>
    <w:rsid w:val="00355D12"/>
    <w:rsid w:val="003560F8"/>
    <w:rsid w:val="003566C3"/>
    <w:rsid w:val="0036041F"/>
    <w:rsid w:val="00361736"/>
    <w:rsid w:val="0036326E"/>
    <w:rsid w:val="00363A69"/>
    <w:rsid w:val="00364844"/>
    <w:rsid w:val="003656B5"/>
    <w:rsid w:val="00366DB4"/>
    <w:rsid w:val="00366EF6"/>
    <w:rsid w:val="003672AD"/>
    <w:rsid w:val="00367D46"/>
    <w:rsid w:val="00370DD4"/>
    <w:rsid w:val="003714E2"/>
    <w:rsid w:val="003726ED"/>
    <w:rsid w:val="00372ACE"/>
    <w:rsid w:val="003753D9"/>
    <w:rsid w:val="0037660C"/>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A21"/>
    <w:rsid w:val="00396C21"/>
    <w:rsid w:val="00396DB1"/>
    <w:rsid w:val="0039712C"/>
    <w:rsid w:val="003A373F"/>
    <w:rsid w:val="003A3841"/>
    <w:rsid w:val="003A53EB"/>
    <w:rsid w:val="003A55B7"/>
    <w:rsid w:val="003A6393"/>
    <w:rsid w:val="003A642A"/>
    <w:rsid w:val="003A6466"/>
    <w:rsid w:val="003A6706"/>
    <w:rsid w:val="003A6CD7"/>
    <w:rsid w:val="003A76B1"/>
    <w:rsid w:val="003B0343"/>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3855"/>
    <w:rsid w:val="003D46BE"/>
    <w:rsid w:val="003D46D1"/>
    <w:rsid w:val="003D4AF3"/>
    <w:rsid w:val="003D4B3A"/>
    <w:rsid w:val="003D4BC8"/>
    <w:rsid w:val="003D4DD1"/>
    <w:rsid w:val="003D51BD"/>
    <w:rsid w:val="003D7794"/>
    <w:rsid w:val="003D7971"/>
    <w:rsid w:val="003D7BD4"/>
    <w:rsid w:val="003E2F37"/>
    <w:rsid w:val="003E30AE"/>
    <w:rsid w:val="003E4EF1"/>
    <w:rsid w:val="003E577B"/>
    <w:rsid w:val="003E7319"/>
    <w:rsid w:val="003E7464"/>
    <w:rsid w:val="003F0199"/>
    <w:rsid w:val="003F10BD"/>
    <w:rsid w:val="003F17AD"/>
    <w:rsid w:val="003F1D19"/>
    <w:rsid w:val="003F1D8E"/>
    <w:rsid w:val="003F1EEF"/>
    <w:rsid w:val="003F2EE5"/>
    <w:rsid w:val="003F47CB"/>
    <w:rsid w:val="003F4D51"/>
    <w:rsid w:val="003F5555"/>
    <w:rsid w:val="003F5F57"/>
    <w:rsid w:val="003F698B"/>
    <w:rsid w:val="003F7051"/>
    <w:rsid w:val="003F7D6F"/>
    <w:rsid w:val="004006F8"/>
    <w:rsid w:val="004009C0"/>
    <w:rsid w:val="004024C8"/>
    <w:rsid w:val="00402D16"/>
    <w:rsid w:val="004036E8"/>
    <w:rsid w:val="00405104"/>
    <w:rsid w:val="004063B2"/>
    <w:rsid w:val="004064E9"/>
    <w:rsid w:val="004100CD"/>
    <w:rsid w:val="004107D2"/>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43"/>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69C"/>
    <w:rsid w:val="00476CB2"/>
    <w:rsid w:val="0047741B"/>
    <w:rsid w:val="00480132"/>
    <w:rsid w:val="004804B7"/>
    <w:rsid w:val="00480C37"/>
    <w:rsid w:val="00480C51"/>
    <w:rsid w:val="00480CF0"/>
    <w:rsid w:val="0048132D"/>
    <w:rsid w:val="00481D56"/>
    <w:rsid w:val="00482252"/>
    <w:rsid w:val="004828F8"/>
    <w:rsid w:val="00483DAC"/>
    <w:rsid w:val="00484B72"/>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3DF"/>
    <w:rsid w:val="004B0426"/>
    <w:rsid w:val="004B05A5"/>
    <w:rsid w:val="004B1775"/>
    <w:rsid w:val="004B3C7B"/>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5BB0"/>
    <w:rsid w:val="004C605B"/>
    <w:rsid w:val="004C60CF"/>
    <w:rsid w:val="004C6DA0"/>
    <w:rsid w:val="004C7AC5"/>
    <w:rsid w:val="004D2EC3"/>
    <w:rsid w:val="004D3E46"/>
    <w:rsid w:val="004D44EA"/>
    <w:rsid w:val="004D56D8"/>
    <w:rsid w:val="004E01EA"/>
    <w:rsid w:val="004E2D81"/>
    <w:rsid w:val="004E2EA2"/>
    <w:rsid w:val="004E2FB9"/>
    <w:rsid w:val="004E5A17"/>
    <w:rsid w:val="004E64E8"/>
    <w:rsid w:val="004E6C3E"/>
    <w:rsid w:val="004F16E7"/>
    <w:rsid w:val="004F2271"/>
    <w:rsid w:val="004F354A"/>
    <w:rsid w:val="004F4BA5"/>
    <w:rsid w:val="004F6594"/>
    <w:rsid w:val="004F6810"/>
    <w:rsid w:val="004F6D51"/>
    <w:rsid w:val="004F72EE"/>
    <w:rsid w:val="004F778F"/>
    <w:rsid w:val="004F7BA8"/>
    <w:rsid w:val="0050043D"/>
    <w:rsid w:val="0050174D"/>
    <w:rsid w:val="00501B78"/>
    <w:rsid w:val="00502AD7"/>
    <w:rsid w:val="00503D6B"/>
    <w:rsid w:val="00505356"/>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6C89"/>
    <w:rsid w:val="005273BD"/>
    <w:rsid w:val="005306FF"/>
    <w:rsid w:val="0053138E"/>
    <w:rsid w:val="00531F24"/>
    <w:rsid w:val="00532B71"/>
    <w:rsid w:val="00535C64"/>
    <w:rsid w:val="005365C9"/>
    <w:rsid w:val="00537B1B"/>
    <w:rsid w:val="0054126A"/>
    <w:rsid w:val="00541BFD"/>
    <w:rsid w:val="0054263A"/>
    <w:rsid w:val="00543AAF"/>
    <w:rsid w:val="0054455E"/>
    <w:rsid w:val="00544883"/>
    <w:rsid w:val="0054509E"/>
    <w:rsid w:val="00545B11"/>
    <w:rsid w:val="00550D87"/>
    <w:rsid w:val="0055114D"/>
    <w:rsid w:val="00551422"/>
    <w:rsid w:val="00552BFB"/>
    <w:rsid w:val="00552CF7"/>
    <w:rsid w:val="00552DBE"/>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674C0"/>
    <w:rsid w:val="005701A9"/>
    <w:rsid w:val="00572500"/>
    <w:rsid w:val="00572AFD"/>
    <w:rsid w:val="00572D64"/>
    <w:rsid w:val="00573041"/>
    <w:rsid w:val="0057312F"/>
    <w:rsid w:val="00573F31"/>
    <w:rsid w:val="0058085F"/>
    <w:rsid w:val="0058357F"/>
    <w:rsid w:val="00583EF9"/>
    <w:rsid w:val="00583F03"/>
    <w:rsid w:val="00584C38"/>
    <w:rsid w:val="00585D2C"/>
    <w:rsid w:val="005860A0"/>
    <w:rsid w:val="0058733E"/>
    <w:rsid w:val="00587737"/>
    <w:rsid w:val="00587DFB"/>
    <w:rsid w:val="00590229"/>
    <w:rsid w:val="0059027A"/>
    <w:rsid w:val="00590615"/>
    <w:rsid w:val="00590F80"/>
    <w:rsid w:val="0059141C"/>
    <w:rsid w:val="0059183A"/>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6501"/>
    <w:rsid w:val="005A701A"/>
    <w:rsid w:val="005B1155"/>
    <w:rsid w:val="005B1641"/>
    <w:rsid w:val="005B187A"/>
    <w:rsid w:val="005B1922"/>
    <w:rsid w:val="005B5D3D"/>
    <w:rsid w:val="005B5FFC"/>
    <w:rsid w:val="005B635F"/>
    <w:rsid w:val="005B67AD"/>
    <w:rsid w:val="005B67F5"/>
    <w:rsid w:val="005C01EF"/>
    <w:rsid w:val="005C1573"/>
    <w:rsid w:val="005C1686"/>
    <w:rsid w:val="005C223E"/>
    <w:rsid w:val="005C25EC"/>
    <w:rsid w:val="005C41F1"/>
    <w:rsid w:val="005C4F36"/>
    <w:rsid w:val="005C5B97"/>
    <w:rsid w:val="005C60EF"/>
    <w:rsid w:val="005C6179"/>
    <w:rsid w:val="005C6F1E"/>
    <w:rsid w:val="005C6FC6"/>
    <w:rsid w:val="005C7BC1"/>
    <w:rsid w:val="005D1527"/>
    <w:rsid w:val="005D1937"/>
    <w:rsid w:val="005D20F1"/>
    <w:rsid w:val="005D2F7C"/>
    <w:rsid w:val="005D3C81"/>
    <w:rsid w:val="005D4EF8"/>
    <w:rsid w:val="005D6123"/>
    <w:rsid w:val="005D687F"/>
    <w:rsid w:val="005D75E9"/>
    <w:rsid w:val="005E00E4"/>
    <w:rsid w:val="005E0265"/>
    <w:rsid w:val="005E0D0C"/>
    <w:rsid w:val="005E10EE"/>
    <w:rsid w:val="005E117C"/>
    <w:rsid w:val="005E12CA"/>
    <w:rsid w:val="005E1EF3"/>
    <w:rsid w:val="005E22C3"/>
    <w:rsid w:val="005E29A5"/>
    <w:rsid w:val="005E3D7F"/>
    <w:rsid w:val="005E44FD"/>
    <w:rsid w:val="005E5326"/>
    <w:rsid w:val="005E5AD9"/>
    <w:rsid w:val="005F0197"/>
    <w:rsid w:val="005F14D8"/>
    <w:rsid w:val="005F1810"/>
    <w:rsid w:val="005F1C7D"/>
    <w:rsid w:val="005F1DAC"/>
    <w:rsid w:val="005F2E9A"/>
    <w:rsid w:val="005F3C75"/>
    <w:rsid w:val="005F49DE"/>
    <w:rsid w:val="005F63B1"/>
    <w:rsid w:val="005F64FF"/>
    <w:rsid w:val="005F7976"/>
    <w:rsid w:val="005F79DE"/>
    <w:rsid w:val="006010E0"/>
    <w:rsid w:val="006012DC"/>
    <w:rsid w:val="00602BAE"/>
    <w:rsid w:val="0060339F"/>
    <w:rsid w:val="00603F7B"/>
    <w:rsid w:val="006052E5"/>
    <w:rsid w:val="00605E58"/>
    <w:rsid w:val="006062C3"/>
    <w:rsid w:val="00606BAA"/>
    <w:rsid w:val="00607302"/>
    <w:rsid w:val="00610541"/>
    <w:rsid w:val="0061233F"/>
    <w:rsid w:val="006166F0"/>
    <w:rsid w:val="00616F33"/>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4DBE"/>
    <w:rsid w:val="00636D1E"/>
    <w:rsid w:val="00637358"/>
    <w:rsid w:val="006377D0"/>
    <w:rsid w:val="00640298"/>
    <w:rsid w:val="006402B0"/>
    <w:rsid w:val="006403F5"/>
    <w:rsid w:val="006407B5"/>
    <w:rsid w:val="006414B7"/>
    <w:rsid w:val="006451C8"/>
    <w:rsid w:val="00645856"/>
    <w:rsid w:val="00645A13"/>
    <w:rsid w:val="00645F4C"/>
    <w:rsid w:val="00646844"/>
    <w:rsid w:val="0064702E"/>
    <w:rsid w:val="006471B0"/>
    <w:rsid w:val="006509A7"/>
    <w:rsid w:val="006525B0"/>
    <w:rsid w:val="00654E6E"/>
    <w:rsid w:val="006551F4"/>
    <w:rsid w:val="00655310"/>
    <w:rsid w:val="0065586D"/>
    <w:rsid w:val="00655B65"/>
    <w:rsid w:val="0066201D"/>
    <w:rsid w:val="0066270B"/>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774B4"/>
    <w:rsid w:val="0068048A"/>
    <w:rsid w:val="00680A5A"/>
    <w:rsid w:val="00681584"/>
    <w:rsid w:val="00681EA2"/>
    <w:rsid w:val="006832D4"/>
    <w:rsid w:val="006834F7"/>
    <w:rsid w:val="006843EF"/>
    <w:rsid w:val="00686396"/>
    <w:rsid w:val="00686AB8"/>
    <w:rsid w:val="00691650"/>
    <w:rsid w:val="00691983"/>
    <w:rsid w:val="00693ADB"/>
    <w:rsid w:val="00693FAE"/>
    <w:rsid w:val="00694C4A"/>
    <w:rsid w:val="00694EA4"/>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0E05"/>
    <w:rsid w:val="006C1381"/>
    <w:rsid w:val="006C1877"/>
    <w:rsid w:val="006C1D67"/>
    <w:rsid w:val="006C2731"/>
    <w:rsid w:val="006C2FAE"/>
    <w:rsid w:val="006C346B"/>
    <w:rsid w:val="006C3C52"/>
    <w:rsid w:val="006C536D"/>
    <w:rsid w:val="006C5F99"/>
    <w:rsid w:val="006C6181"/>
    <w:rsid w:val="006C65D7"/>
    <w:rsid w:val="006C66AD"/>
    <w:rsid w:val="006C6861"/>
    <w:rsid w:val="006D0FDF"/>
    <w:rsid w:val="006D1CDD"/>
    <w:rsid w:val="006D4C32"/>
    <w:rsid w:val="006D51F8"/>
    <w:rsid w:val="006D6280"/>
    <w:rsid w:val="006E143C"/>
    <w:rsid w:val="006E1FBE"/>
    <w:rsid w:val="006E26DD"/>
    <w:rsid w:val="006E31ED"/>
    <w:rsid w:val="006E337F"/>
    <w:rsid w:val="006E412C"/>
    <w:rsid w:val="006E4BA2"/>
    <w:rsid w:val="006E6392"/>
    <w:rsid w:val="006E7A57"/>
    <w:rsid w:val="006F36CB"/>
    <w:rsid w:val="006F3968"/>
    <w:rsid w:val="006F466B"/>
    <w:rsid w:val="006F54EA"/>
    <w:rsid w:val="006F614A"/>
    <w:rsid w:val="006F615E"/>
    <w:rsid w:val="006F7B83"/>
    <w:rsid w:val="00701078"/>
    <w:rsid w:val="00702C58"/>
    <w:rsid w:val="0070350F"/>
    <w:rsid w:val="00703714"/>
    <w:rsid w:val="00703BAC"/>
    <w:rsid w:val="007057F3"/>
    <w:rsid w:val="007067CD"/>
    <w:rsid w:val="00706EEA"/>
    <w:rsid w:val="00710EC2"/>
    <w:rsid w:val="00710F30"/>
    <w:rsid w:val="00711CF7"/>
    <w:rsid w:val="0071236A"/>
    <w:rsid w:val="00712516"/>
    <w:rsid w:val="00714F11"/>
    <w:rsid w:val="007151BC"/>
    <w:rsid w:val="007166F9"/>
    <w:rsid w:val="00717340"/>
    <w:rsid w:val="007177D7"/>
    <w:rsid w:val="00720036"/>
    <w:rsid w:val="007208DC"/>
    <w:rsid w:val="00720AEA"/>
    <w:rsid w:val="0072212C"/>
    <w:rsid w:val="00723CBA"/>
    <w:rsid w:val="00732C84"/>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6E0"/>
    <w:rsid w:val="00753F2B"/>
    <w:rsid w:val="00754E2C"/>
    <w:rsid w:val="0075633B"/>
    <w:rsid w:val="0075740A"/>
    <w:rsid w:val="00757E72"/>
    <w:rsid w:val="00760782"/>
    <w:rsid w:val="007626E5"/>
    <w:rsid w:val="00762743"/>
    <w:rsid w:val="007652FB"/>
    <w:rsid w:val="007667C1"/>
    <w:rsid w:val="00766B89"/>
    <w:rsid w:val="0076746E"/>
    <w:rsid w:val="007675FE"/>
    <w:rsid w:val="007677BF"/>
    <w:rsid w:val="00771323"/>
    <w:rsid w:val="007729A6"/>
    <w:rsid w:val="00772E36"/>
    <w:rsid w:val="00772F24"/>
    <w:rsid w:val="00773943"/>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6192"/>
    <w:rsid w:val="00796A1F"/>
    <w:rsid w:val="007971E2"/>
    <w:rsid w:val="007A19F3"/>
    <w:rsid w:val="007A1BCF"/>
    <w:rsid w:val="007A1CC4"/>
    <w:rsid w:val="007A3AEB"/>
    <w:rsid w:val="007A41F6"/>
    <w:rsid w:val="007A4749"/>
    <w:rsid w:val="007A4D83"/>
    <w:rsid w:val="007A4E87"/>
    <w:rsid w:val="007A5761"/>
    <w:rsid w:val="007A5BCB"/>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0875"/>
    <w:rsid w:val="007F1623"/>
    <w:rsid w:val="007F16B7"/>
    <w:rsid w:val="007F1DB8"/>
    <w:rsid w:val="007F206A"/>
    <w:rsid w:val="007F20C0"/>
    <w:rsid w:val="007F2DC3"/>
    <w:rsid w:val="007F3315"/>
    <w:rsid w:val="007F33F5"/>
    <w:rsid w:val="007F4BB0"/>
    <w:rsid w:val="008003E3"/>
    <w:rsid w:val="008026F7"/>
    <w:rsid w:val="00802BAD"/>
    <w:rsid w:val="00803B9C"/>
    <w:rsid w:val="00804273"/>
    <w:rsid w:val="00805D47"/>
    <w:rsid w:val="00806378"/>
    <w:rsid w:val="00810A3A"/>
    <w:rsid w:val="008115A3"/>
    <w:rsid w:val="00812A1D"/>
    <w:rsid w:val="00813279"/>
    <w:rsid w:val="008132F0"/>
    <w:rsid w:val="0081386B"/>
    <w:rsid w:val="00815506"/>
    <w:rsid w:val="00815850"/>
    <w:rsid w:val="00816D90"/>
    <w:rsid w:val="00821311"/>
    <w:rsid w:val="00821938"/>
    <w:rsid w:val="00821E19"/>
    <w:rsid w:val="008233F0"/>
    <w:rsid w:val="00823C69"/>
    <w:rsid w:val="00823FE1"/>
    <w:rsid w:val="00824F30"/>
    <w:rsid w:val="00825069"/>
    <w:rsid w:val="008266A6"/>
    <w:rsid w:val="00827A7A"/>
    <w:rsid w:val="00827CDD"/>
    <w:rsid w:val="00831642"/>
    <w:rsid w:val="00833393"/>
    <w:rsid w:val="008342E9"/>
    <w:rsid w:val="008351C1"/>
    <w:rsid w:val="008369BD"/>
    <w:rsid w:val="00836B84"/>
    <w:rsid w:val="00836E0A"/>
    <w:rsid w:val="00837A66"/>
    <w:rsid w:val="00841883"/>
    <w:rsid w:val="00844775"/>
    <w:rsid w:val="008454A6"/>
    <w:rsid w:val="00845F42"/>
    <w:rsid w:val="00845F6A"/>
    <w:rsid w:val="008504A1"/>
    <w:rsid w:val="00851E57"/>
    <w:rsid w:val="0085257C"/>
    <w:rsid w:val="00852894"/>
    <w:rsid w:val="00852C56"/>
    <w:rsid w:val="0085402E"/>
    <w:rsid w:val="0085438A"/>
    <w:rsid w:val="00854FB3"/>
    <w:rsid w:val="0085517F"/>
    <w:rsid w:val="00855942"/>
    <w:rsid w:val="00855953"/>
    <w:rsid w:val="00855A87"/>
    <w:rsid w:val="008575ED"/>
    <w:rsid w:val="00857B0E"/>
    <w:rsid w:val="00861002"/>
    <w:rsid w:val="0086135F"/>
    <w:rsid w:val="00862BD4"/>
    <w:rsid w:val="00864E4A"/>
    <w:rsid w:val="008655A7"/>
    <w:rsid w:val="00866459"/>
    <w:rsid w:val="00867B4C"/>
    <w:rsid w:val="00867C8A"/>
    <w:rsid w:val="008715DA"/>
    <w:rsid w:val="00871CC7"/>
    <w:rsid w:val="00872FD5"/>
    <w:rsid w:val="008732C5"/>
    <w:rsid w:val="0087537B"/>
    <w:rsid w:val="00881C58"/>
    <w:rsid w:val="00881DDA"/>
    <w:rsid w:val="00882846"/>
    <w:rsid w:val="00883380"/>
    <w:rsid w:val="008857D2"/>
    <w:rsid w:val="00886131"/>
    <w:rsid w:val="00886D7C"/>
    <w:rsid w:val="008909B3"/>
    <w:rsid w:val="0089260E"/>
    <w:rsid w:val="00892753"/>
    <w:rsid w:val="00892E43"/>
    <w:rsid w:val="00892EF1"/>
    <w:rsid w:val="00893B6A"/>
    <w:rsid w:val="008940FE"/>
    <w:rsid w:val="00894C8F"/>
    <w:rsid w:val="00894FD8"/>
    <w:rsid w:val="00896264"/>
    <w:rsid w:val="008969FF"/>
    <w:rsid w:val="00896EEB"/>
    <w:rsid w:val="0089736D"/>
    <w:rsid w:val="008A2437"/>
    <w:rsid w:val="008A29E0"/>
    <w:rsid w:val="008A3C16"/>
    <w:rsid w:val="008A5849"/>
    <w:rsid w:val="008A5C74"/>
    <w:rsid w:val="008A5E82"/>
    <w:rsid w:val="008A66EA"/>
    <w:rsid w:val="008A74E8"/>
    <w:rsid w:val="008B08BB"/>
    <w:rsid w:val="008B3735"/>
    <w:rsid w:val="008B5A17"/>
    <w:rsid w:val="008B6786"/>
    <w:rsid w:val="008B6CB9"/>
    <w:rsid w:val="008C06B4"/>
    <w:rsid w:val="008C18F6"/>
    <w:rsid w:val="008C4247"/>
    <w:rsid w:val="008C5852"/>
    <w:rsid w:val="008D05C7"/>
    <w:rsid w:val="008D0C16"/>
    <w:rsid w:val="008D0E94"/>
    <w:rsid w:val="008D118F"/>
    <w:rsid w:val="008D16D1"/>
    <w:rsid w:val="008D318C"/>
    <w:rsid w:val="008D52F9"/>
    <w:rsid w:val="008D539A"/>
    <w:rsid w:val="008D5E53"/>
    <w:rsid w:val="008D61F1"/>
    <w:rsid w:val="008D7200"/>
    <w:rsid w:val="008D7FE3"/>
    <w:rsid w:val="008E08A3"/>
    <w:rsid w:val="008E09B9"/>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3BB"/>
    <w:rsid w:val="009025D4"/>
    <w:rsid w:val="00904ADE"/>
    <w:rsid w:val="00905793"/>
    <w:rsid w:val="00905796"/>
    <w:rsid w:val="00905BFC"/>
    <w:rsid w:val="00905E97"/>
    <w:rsid w:val="00906CF5"/>
    <w:rsid w:val="00906F53"/>
    <w:rsid w:val="009078BD"/>
    <w:rsid w:val="00910EA4"/>
    <w:rsid w:val="009115AB"/>
    <w:rsid w:val="009126BC"/>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18F"/>
    <w:rsid w:val="00942E74"/>
    <w:rsid w:val="009434B9"/>
    <w:rsid w:val="00943A1D"/>
    <w:rsid w:val="00945913"/>
    <w:rsid w:val="009461C2"/>
    <w:rsid w:val="0094708D"/>
    <w:rsid w:val="009474F5"/>
    <w:rsid w:val="009506E5"/>
    <w:rsid w:val="0095251A"/>
    <w:rsid w:val="00952C8A"/>
    <w:rsid w:val="00952DF2"/>
    <w:rsid w:val="009532AD"/>
    <w:rsid w:val="0095542F"/>
    <w:rsid w:val="0095565F"/>
    <w:rsid w:val="00956599"/>
    <w:rsid w:val="00960E2B"/>
    <w:rsid w:val="009613D3"/>
    <w:rsid w:val="00962EF6"/>
    <w:rsid w:val="00964193"/>
    <w:rsid w:val="009656D2"/>
    <w:rsid w:val="009657AF"/>
    <w:rsid w:val="00971C1A"/>
    <w:rsid w:val="00971C49"/>
    <w:rsid w:val="009720D8"/>
    <w:rsid w:val="00972138"/>
    <w:rsid w:val="009722BA"/>
    <w:rsid w:val="0097391E"/>
    <w:rsid w:val="00973D7F"/>
    <w:rsid w:val="00973FCA"/>
    <w:rsid w:val="0097447C"/>
    <w:rsid w:val="00976AA2"/>
    <w:rsid w:val="00976AB9"/>
    <w:rsid w:val="00976E2F"/>
    <w:rsid w:val="00976F0C"/>
    <w:rsid w:val="00981FB1"/>
    <w:rsid w:val="00982A90"/>
    <w:rsid w:val="00983768"/>
    <w:rsid w:val="00984CF2"/>
    <w:rsid w:val="00986608"/>
    <w:rsid w:val="00986F47"/>
    <w:rsid w:val="00993FE7"/>
    <w:rsid w:val="0099522A"/>
    <w:rsid w:val="0099523E"/>
    <w:rsid w:val="009959D8"/>
    <w:rsid w:val="009964F3"/>
    <w:rsid w:val="00996F8C"/>
    <w:rsid w:val="0099739A"/>
    <w:rsid w:val="009A0866"/>
    <w:rsid w:val="009A1744"/>
    <w:rsid w:val="009A1DFF"/>
    <w:rsid w:val="009A213D"/>
    <w:rsid w:val="009A2478"/>
    <w:rsid w:val="009A3AD2"/>
    <w:rsid w:val="009A3F89"/>
    <w:rsid w:val="009A4445"/>
    <w:rsid w:val="009A47BD"/>
    <w:rsid w:val="009A4A76"/>
    <w:rsid w:val="009A56DC"/>
    <w:rsid w:val="009A61C1"/>
    <w:rsid w:val="009A6428"/>
    <w:rsid w:val="009A7308"/>
    <w:rsid w:val="009A7497"/>
    <w:rsid w:val="009B06B4"/>
    <w:rsid w:val="009B09F4"/>
    <w:rsid w:val="009B1BD9"/>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EFA"/>
    <w:rsid w:val="009D5F23"/>
    <w:rsid w:val="009D63FA"/>
    <w:rsid w:val="009D77FF"/>
    <w:rsid w:val="009E0B86"/>
    <w:rsid w:val="009E2369"/>
    <w:rsid w:val="009E250B"/>
    <w:rsid w:val="009E2919"/>
    <w:rsid w:val="009E37EC"/>
    <w:rsid w:val="009E3882"/>
    <w:rsid w:val="009E40B6"/>
    <w:rsid w:val="009E4645"/>
    <w:rsid w:val="009E5534"/>
    <w:rsid w:val="009E699D"/>
    <w:rsid w:val="009E6BE5"/>
    <w:rsid w:val="009E7222"/>
    <w:rsid w:val="009F00E5"/>
    <w:rsid w:val="009F09EC"/>
    <w:rsid w:val="009F0F77"/>
    <w:rsid w:val="009F33E5"/>
    <w:rsid w:val="009F4E11"/>
    <w:rsid w:val="009F5C15"/>
    <w:rsid w:val="009F6A4E"/>
    <w:rsid w:val="009F6EFF"/>
    <w:rsid w:val="00A002C9"/>
    <w:rsid w:val="00A01276"/>
    <w:rsid w:val="00A01C6A"/>
    <w:rsid w:val="00A01EC7"/>
    <w:rsid w:val="00A020F2"/>
    <w:rsid w:val="00A027CA"/>
    <w:rsid w:val="00A04613"/>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3FA"/>
    <w:rsid w:val="00A206DC"/>
    <w:rsid w:val="00A208DA"/>
    <w:rsid w:val="00A20927"/>
    <w:rsid w:val="00A20BFD"/>
    <w:rsid w:val="00A21221"/>
    <w:rsid w:val="00A2129F"/>
    <w:rsid w:val="00A2163F"/>
    <w:rsid w:val="00A21D4A"/>
    <w:rsid w:val="00A2217B"/>
    <w:rsid w:val="00A23862"/>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37AD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47C40"/>
    <w:rsid w:val="00A50FEA"/>
    <w:rsid w:val="00A52A70"/>
    <w:rsid w:val="00A53695"/>
    <w:rsid w:val="00A53C65"/>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33C"/>
    <w:rsid w:val="00A7184D"/>
    <w:rsid w:val="00A7463D"/>
    <w:rsid w:val="00A76F86"/>
    <w:rsid w:val="00A77438"/>
    <w:rsid w:val="00A778E5"/>
    <w:rsid w:val="00A80E3B"/>
    <w:rsid w:val="00A81FFD"/>
    <w:rsid w:val="00A8242A"/>
    <w:rsid w:val="00A842F8"/>
    <w:rsid w:val="00A86F97"/>
    <w:rsid w:val="00A906EE"/>
    <w:rsid w:val="00A90CAC"/>
    <w:rsid w:val="00A918CD"/>
    <w:rsid w:val="00A91A49"/>
    <w:rsid w:val="00A9554D"/>
    <w:rsid w:val="00A9739D"/>
    <w:rsid w:val="00A97800"/>
    <w:rsid w:val="00AA253F"/>
    <w:rsid w:val="00AA36E4"/>
    <w:rsid w:val="00AA39BD"/>
    <w:rsid w:val="00AA3E26"/>
    <w:rsid w:val="00AA46A3"/>
    <w:rsid w:val="00AA4F98"/>
    <w:rsid w:val="00AA572D"/>
    <w:rsid w:val="00AA5E5F"/>
    <w:rsid w:val="00AA6932"/>
    <w:rsid w:val="00AA735F"/>
    <w:rsid w:val="00AB065D"/>
    <w:rsid w:val="00AB0EAB"/>
    <w:rsid w:val="00AB1389"/>
    <w:rsid w:val="00AB1B76"/>
    <w:rsid w:val="00AB1C9F"/>
    <w:rsid w:val="00AB286D"/>
    <w:rsid w:val="00AB42D9"/>
    <w:rsid w:val="00AB495C"/>
    <w:rsid w:val="00AB4B47"/>
    <w:rsid w:val="00AB6020"/>
    <w:rsid w:val="00AB62B1"/>
    <w:rsid w:val="00AB6BA4"/>
    <w:rsid w:val="00AB6E16"/>
    <w:rsid w:val="00AB7529"/>
    <w:rsid w:val="00AB76CF"/>
    <w:rsid w:val="00AB7BA4"/>
    <w:rsid w:val="00AC10A4"/>
    <w:rsid w:val="00AC12CE"/>
    <w:rsid w:val="00AC1453"/>
    <w:rsid w:val="00AC1D4F"/>
    <w:rsid w:val="00AC296E"/>
    <w:rsid w:val="00AC4702"/>
    <w:rsid w:val="00AC4ED7"/>
    <w:rsid w:val="00AC5E1F"/>
    <w:rsid w:val="00AC63D1"/>
    <w:rsid w:val="00AC677C"/>
    <w:rsid w:val="00AC68C9"/>
    <w:rsid w:val="00AC7D14"/>
    <w:rsid w:val="00AD111F"/>
    <w:rsid w:val="00AD1FC7"/>
    <w:rsid w:val="00AD2049"/>
    <w:rsid w:val="00AD2A54"/>
    <w:rsid w:val="00AD44A7"/>
    <w:rsid w:val="00AD457D"/>
    <w:rsid w:val="00AD562B"/>
    <w:rsid w:val="00AD7618"/>
    <w:rsid w:val="00AE18F4"/>
    <w:rsid w:val="00AE1B95"/>
    <w:rsid w:val="00AE23C8"/>
    <w:rsid w:val="00AE245E"/>
    <w:rsid w:val="00AE4161"/>
    <w:rsid w:val="00AE6ADA"/>
    <w:rsid w:val="00AE7EA7"/>
    <w:rsid w:val="00AF050C"/>
    <w:rsid w:val="00AF05D1"/>
    <w:rsid w:val="00AF07D2"/>
    <w:rsid w:val="00AF0EDB"/>
    <w:rsid w:val="00AF13E2"/>
    <w:rsid w:val="00AF53D1"/>
    <w:rsid w:val="00AF7D55"/>
    <w:rsid w:val="00B0107B"/>
    <w:rsid w:val="00B01423"/>
    <w:rsid w:val="00B018E0"/>
    <w:rsid w:val="00B02135"/>
    <w:rsid w:val="00B04E93"/>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3CCC"/>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2B"/>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53DDB"/>
    <w:rsid w:val="00B5785E"/>
    <w:rsid w:val="00B60171"/>
    <w:rsid w:val="00B60667"/>
    <w:rsid w:val="00B60F19"/>
    <w:rsid w:val="00B61385"/>
    <w:rsid w:val="00B6298D"/>
    <w:rsid w:val="00B63F66"/>
    <w:rsid w:val="00B652AB"/>
    <w:rsid w:val="00B67093"/>
    <w:rsid w:val="00B70D6A"/>
    <w:rsid w:val="00B70FF6"/>
    <w:rsid w:val="00B71DE1"/>
    <w:rsid w:val="00B72EEA"/>
    <w:rsid w:val="00B733D1"/>
    <w:rsid w:val="00B73DD8"/>
    <w:rsid w:val="00B74A2F"/>
    <w:rsid w:val="00B7627B"/>
    <w:rsid w:val="00B817F4"/>
    <w:rsid w:val="00B82644"/>
    <w:rsid w:val="00B82975"/>
    <w:rsid w:val="00B83373"/>
    <w:rsid w:val="00B8361E"/>
    <w:rsid w:val="00B83FC8"/>
    <w:rsid w:val="00B85374"/>
    <w:rsid w:val="00B8577D"/>
    <w:rsid w:val="00B85BBF"/>
    <w:rsid w:val="00B86C27"/>
    <w:rsid w:val="00B8722F"/>
    <w:rsid w:val="00B87533"/>
    <w:rsid w:val="00B87594"/>
    <w:rsid w:val="00B8772E"/>
    <w:rsid w:val="00B87E7F"/>
    <w:rsid w:val="00B90437"/>
    <w:rsid w:val="00B90AF0"/>
    <w:rsid w:val="00B92819"/>
    <w:rsid w:val="00B94B33"/>
    <w:rsid w:val="00B9514F"/>
    <w:rsid w:val="00B95B6D"/>
    <w:rsid w:val="00B95FEE"/>
    <w:rsid w:val="00B96C62"/>
    <w:rsid w:val="00B97256"/>
    <w:rsid w:val="00BA10A3"/>
    <w:rsid w:val="00BA1B76"/>
    <w:rsid w:val="00BA34B1"/>
    <w:rsid w:val="00BA4CE0"/>
    <w:rsid w:val="00BA4E15"/>
    <w:rsid w:val="00BA57C0"/>
    <w:rsid w:val="00BA6430"/>
    <w:rsid w:val="00BA6774"/>
    <w:rsid w:val="00BA6ECC"/>
    <w:rsid w:val="00BA7212"/>
    <w:rsid w:val="00BA7FCC"/>
    <w:rsid w:val="00BB00DE"/>
    <w:rsid w:val="00BB04AB"/>
    <w:rsid w:val="00BB2346"/>
    <w:rsid w:val="00BB274A"/>
    <w:rsid w:val="00BB308E"/>
    <w:rsid w:val="00BB3109"/>
    <w:rsid w:val="00BB31E5"/>
    <w:rsid w:val="00BB39AE"/>
    <w:rsid w:val="00BB3B1A"/>
    <w:rsid w:val="00BB4078"/>
    <w:rsid w:val="00BB4DEA"/>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5CBA"/>
    <w:rsid w:val="00BE6D62"/>
    <w:rsid w:val="00BE6F56"/>
    <w:rsid w:val="00BE7406"/>
    <w:rsid w:val="00BE796E"/>
    <w:rsid w:val="00BF01C0"/>
    <w:rsid w:val="00BF0828"/>
    <w:rsid w:val="00BF0EC1"/>
    <w:rsid w:val="00BF191E"/>
    <w:rsid w:val="00BF5766"/>
    <w:rsid w:val="00BF5A89"/>
    <w:rsid w:val="00BF78DE"/>
    <w:rsid w:val="00C003B8"/>
    <w:rsid w:val="00C007A7"/>
    <w:rsid w:val="00C0242D"/>
    <w:rsid w:val="00C02BD2"/>
    <w:rsid w:val="00C03A02"/>
    <w:rsid w:val="00C04555"/>
    <w:rsid w:val="00C064DF"/>
    <w:rsid w:val="00C0684E"/>
    <w:rsid w:val="00C06FB4"/>
    <w:rsid w:val="00C07867"/>
    <w:rsid w:val="00C079F6"/>
    <w:rsid w:val="00C10410"/>
    <w:rsid w:val="00C11634"/>
    <w:rsid w:val="00C131A2"/>
    <w:rsid w:val="00C13777"/>
    <w:rsid w:val="00C13AAA"/>
    <w:rsid w:val="00C13EE8"/>
    <w:rsid w:val="00C14424"/>
    <w:rsid w:val="00C14E11"/>
    <w:rsid w:val="00C15E97"/>
    <w:rsid w:val="00C17667"/>
    <w:rsid w:val="00C17D8C"/>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BE8"/>
    <w:rsid w:val="00C32C31"/>
    <w:rsid w:val="00C32D3E"/>
    <w:rsid w:val="00C33509"/>
    <w:rsid w:val="00C3372D"/>
    <w:rsid w:val="00C340E5"/>
    <w:rsid w:val="00C3476C"/>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800"/>
    <w:rsid w:val="00C56966"/>
    <w:rsid w:val="00C56B56"/>
    <w:rsid w:val="00C57F07"/>
    <w:rsid w:val="00C61275"/>
    <w:rsid w:val="00C61324"/>
    <w:rsid w:val="00C62A2F"/>
    <w:rsid w:val="00C63F89"/>
    <w:rsid w:val="00C6413D"/>
    <w:rsid w:val="00C64278"/>
    <w:rsid w:val="00C65BF5"/>
    <w:rsid w:val="00C66AC1"/>
    <w:rsid w:val="00C676FF"/>
    <w:rsid w:val="00C707F4"/>
    <w:rsid w:val="00C711CA"/>
    <w:rsid w:val="00C7183E"/>
    <w:rsid w:val="00C73109"/>
    <w:rsid w:val="00C742A2"/>
    <w:rsid w:val="00C751B0"/>
    <w:rsid w:val="00C75289"/>
    <w:rsid w:val="00C753E0"/>
    <w:rsid w:val="00C77178"/>
    <w:rsid w:val="00C77940"/>
    <w:rsid w:val="00C77B1F"/>
    <w:rsid w:val="00C811F5"/>
    <w:rsid w:val="00C81E6A"/>
    <w:rsid w:val="00C8271B"/>
    <w:rsid w:val="00C83BF9"/>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302"/>
    <w:rsid w:val="00CA58F7"/>
    <w:rsid w:val="00CA5C25"/>
    <w:rsid w:val="00CA774C"/>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0CAC"/>
    <w:rsid w:val="00CE2A7D"/>
    <w:rsid w:val="00CE4EE6"/>
    <w:rsid w:val="00CE510B"/>
    <w:rsid w:val="00CE67D7"/>
    <w:rsid w:val="00CE7774"/>
    <w:rsid w:val="00CE7DBA"/>
    <w:rsid w:val="00CF1DFC"/>
    <w:rsid w:val="00CF2FB7"/>
    <w:rsid w:val="00CF3DF8"/>
    <w:rsid w:val="00CF443F"/>
    <w:rsid w:val="00CF61FA"/>
    <w:rsid w:val="00CF65DA"/>
    <w:rsid w:val="00CF6EF5"/>
    <w:rsid w:val="00D0229D"/>
    <w:rsid w:val="00D03376"/>
    <w:rsid w:val="00D03619"/>
    <w:rsid w:val="00D03B72"/>
    <w:rsid w:val="00D0637B"/>
    <w:rsid w:val="00D0768D"/>
    <w:rsid w:val="00D106F1"/>
    <w:rsid w:val="00D15404"/>
    <w:rsid w:val="00D157EF"/>
    <w:rsid w:val="00D16619"/>
    <w:rsid w:val="00D20392"/>
    <w:rsid w:val="00D20570"/>
    <w:rsid w:val="00D205C3"/>
    <w:rsid w:val="00D2211E"/>
    <w:rsid w:val="00D2272A"/>
    <w:rsid w:val="00D2311C"/>
    <w:rsid w:val="00D25D52"/>
    <w:rsid w:val="00D261B0"/>
    <w:rsid w:val="00D261DB"/>
    <w:rsid w:val="00D265A5"/>
    <w:rsid w:val="00D268F5"/>
    <w:rsid w:val="00D26BA5"/>
    <w:rsid w:val="00D27804"/>
    <w:rsid w:val="00D31F18"/>
    <w:rsid w:val="00D33762"/>
    <w:rsid w:val="00D33A14"/>
    <w:rsid w:val="00D33E32"/>
    <w:rsid w:val="00D35868"/>
    <w:rsid w:val="00D373A6"/>
    <w:rsid w:val="00D4075D"/>
    <w:rsid w:val="00D4192D"/>
    <w:rsid w:val="00D43E7F"/>
    <w:rsid w:val="00D44351"/>
    <w:rsid w:val="00D446C6"/>
    <w:rsid w:val="00D44911"/>
    <w:rsid w:val="00D46A8B"/>
    <w:rsid w:val="00D4734E"/>
    <w:rsid w:val="00D50E5B"/>
    <w:rsid w:val="00D510F9"/>
    <w:rsid w:val="00D512E0"/>
    <w:rsid w:val="00D51BF2"/>
    <w:rsid w:val="00D51C82"/>
    <w:rsid w:val="00D52B35"/>
    <w:rsid w:val="00D5365B"/>
    <w:rsid w:val="00D5403D"/>
    <w:rsid w:val="00D54B45"/>
    <w:rsid w:val="00D56C01"/>
    <w:rsid w:val="00D57628"/>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461"/>
    <w:rsid w:val="00D75D5B"/>
    <w:rsid w:val="00D7651E"/>
    <w:rsid w:val="00D76EF6"/>
    <w:rsid w:val="00D80372"/>
    <w:rsid w:val="00D803D1"/>
    <w:rsid w:val="00D8077A"/>
    <w:rsid w:val="00D81345"/>
    <w:rsid w:val="00D81CF2"/>
    <w:rsid w:val="00D83133"/>
    <w:rsid w:val="00D840FF"/>
    <w:rsid w:val="00D84389"/>
    <w:rsid w:val="00D84489"/>
    <w:rsid w:val="00D84C8C"/>
    <w:rsid w:val="00D851E0"/>
    <w:rsid w:val="00D85626"/>
    <w:rsid w:val="00D85EFD"/>
    <w:rsid w:val="00D861F2"/>
    <w:rsid w:val="00D864CD"/>
    <w:rsid w:val="00D87D18"/>
    <w:rsid w:val="00D9018C"/>
    <w:rsid w:val="00D901FB"/>
    <w:rsid w:val="00D912D2"/>
    <w:rsid w:val="00D9132E"/>
    <w:rsid w:val="00D91BFD"/>
    <w:rsid w:val="00D91C41"/>
    <w:rsid w:val="00D9757E"/>
    <w:rsid w:val="00D97A89"/>
    <w:rsid w:val="00DA0244"/>
    <w:rsid w:val="00DA0303"/>
    <w:rsid w:val="00DA099A"/>
    <w:rsid w:val="00DA0B74"/>
    <w:rsid w:val="00DA0C09"/>
    <w:rsid w:val="00DA1881"/>
    <w:rsid w:val="00DA1DB5"/>
    <w:rsid w:val="00DA34D6"/>
    <w:rsid w:val="00DA3647"/>
    <w:rsid w:val="00DA38F6"/>
    <w:rsid w:val="00DA3D0E"/>
    <w:rsid w:val="00DA41AA"/>
    <w:rsid w:val="00DA4395"/>
    <w:rsid w:val="00DA506C"/>
    <w:rsid w:val="00DA5D4A"/>
    <w:rsid w:val="00DA7294"/>
    <w:rsid w:val="00DB1285"/>
    <w:rsid w:val="00DB380A"/>
    <w:rsid w:val="00DB640B"/>
    <w:rsid w:val="00DB6CCD"/>
    <w:rsid w:val="00DB750E"/>
    <w:rsid w:val="00DC20BE"/>
    <w:rsid w:val="00DC2D6B"/>
    <w:rsid w:val="00DC2E35"/>
    <w:rsid w:val="00DC37A0"/>
    <w:rsid w:val="00DC384E"/>
    <w:rsid w:val="00DC393B"/>
    <w:rsid w:val="00DC3A8B"/>
    <w:rsid w:val="00DC4327"/>
    <w:rsid w:val="00DC4812"/>
    <w:rsid w:val="00DC692C"/>
    <w:rsid w:val="00DC6F2B"/>
    <w:rsid w:val="00DD1669"/>
    <w:rsid w:val="00DD17AC"/>
    <w:rsid w:val="00DD2B3A"/>
    <w:rsid w:val="00DD4406"/>
    <w:rsid w:val="00DD454B"/>
    <w:rsid w:val="00DD47E9"/>
    <w:rsid w:val="00DD4A2A"/>
    <w:rsid w:val="00DD4F53"/>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1072"/>
    <w:rsid w:val="00E010D9"/>
    <w:rsid w:val="00E029E7"/>
    <w:rsid w:val="00E02D92"/>
    <w:rsid w:val="00E03053"/>
    <w:rsid w:val="00E03240"/>
    <w:rsid w:val="00E05762"/>
    <w:rsid w:val="00E059AC"/>
    <w:rsid w:val="00E05DF5"/>
    <w:rsid w:val="00E069E3"/>
    <w:rsid w:val="00E06A43"/>
    <w:rsid w:val="00E06CE2"/>
    <w:rsid w:val="00E0776A"/>
    <w:rsid w:val="00E11798"/>
    <w:rsid w:val="00E11E19"/>
    <w:rsid w:val="00E12FA8"/>
    <w:rsid w:val="00E1379E"/>
    <w:rsid w:val="00E1584E"/>
    <w:rsid w:val="00E158E9"/>
    <w:rsid w:val="00E15AE7"/>
    <w:rsid w:val="00E16EE4"/>
    <w:rsid w:val="00E17314"/>
    <w:rsid w:val="00E17839"/>
    <w:rsid w:val="00E2001A"/>
    <w:rsid w:val="00E20051"/>
    <w:rsid w:val="00E209EB"/>
    <w:rsid w:val="00E20FE9"/>
    <w:rsid w:val="00E226A6"/>
    <w:rsid w:val="00E22B0D"/>
    <w:rsid w:val="00E23776"/>
    <w:rsid w:val="00E239E3"/>
    <w:rsid w:val="00E24DA7"/>
    <w:rsid w:val="00E30A24"/>
    <w:rsid w:val="00E31617"/>
    <w:rsid w:val="00E31DF3"/>
    <w:rsid w:val="00E31EF6"/>
    <w:rsid w:val="00E34399"/>
    <w:rsid w:val="00E3770B"/>
    <w:rsid w:val="00E403FC"/>
    <w:rsid w:val="00E4133A"/>
    <w:rsid w:val="00E4161B"/>
    <w:rsid w:val="00E416DA"/>
    <w:rsid w:val="00E418FE"/>
    <w:rsid w:val="00E41A19"/>
    <w:rsid w:val="00E42445"/>
    <w:rsid w:val="00E437E7"/>
    <w:rsid w:val="00E43EC0"/>
    <w:rsid w:val="00E4434F"/>
    <w:rsid w:val="00E448CA"/>
    <w:rsid w:val="00E450DB"/>
    <w:rsid w:val="00E457EC"/>
    <w:rsid w:val="00E46307"/>
    <w:rsid w:val="00E46A4D"/>
    <w:rsid w:val="00E47B2A"/>
    <w:rsid w:val="00E50392"/>
    <w:rsid w:val="00E50CE8"/>
    <w:rsid w:val="00E5147F"/>
    <w:rsid w:val="00E51C64"/>
    <w:rsid w:val="00E525E0"/>
    <w:rsid w:val="00E531E6"/>
    <w:rsid w:val="00E5439C"/>
    <w:rsid w:val="00E54928"/>
    <w:rsid w:val="00E55256"/>
    <w:rsid w:val="00E552F2"/>
    <w:rsid w:val="00E5617F"/>
    <w:rsid w:val="00E62048"/>
    <w:rsid w:val="00E63EEB"/>
    <w:rsid w:val="00E65951"/>
    <w:rsid w:val="00E66C3A"/>
    <w:rsid w:val="00E6785A"/>
    <w:rsid w:val="00E67880"/>
    <w:rsid w:val="00E7111A"/>
    <w:rsid w:val="00E71D9A"/>
    <w:rsid w:val="00E73323"/>
    <w:rsid w:val="00E74225"/>
    <w:rsid w:val="00E74330"/>
    <w:rsid w:val="00E748E5"/>
    <w:rsid w:val="00E7491B"/>
    <w:rsid w:val="00E75AEB"/>
    <w:rsid w:val="00E775E1"/>
    <w:rsid w:val="00E77F50"/>
    <w:rsid w:val="00E77F91"/>
    <w:rsid w:val="00E803BC"/>
    <w:rsid w:val="00E81647"/>
    <w:rsid w:val="00E828A9"/>
    <w:rsid w:val="00E82A03"/>
    <w:rsid w:val="00E83001"/>
    <w:rsid w:val="00E83308"/>
    <w:rsid w:val="00E860BD"/>
    <w:rsid w:val="00E8646A"/>
    <w:rsid w:val="00E86F26"/>
    <w:rsid w:val="00E90F2D"/>
    <w:rsid w:val="00E9353F"/>
    <w:rsid w:val="00E94DEF"/>
    <w:rsid w:val="00E95A52"/>
    <w:rsid w:val="00E96155"/>
    <w:rsid w:val="00E969B9"/>
    <w:rsid w:val="00E97874"/>
    <w:rsid w:val="00E97CB2"/>
    <w:rsid w:val="00E97E6E"/>
    <w:rsid w:val="00EA07B0"/>
    <w:rsid w:val="00EA18AF"/>
    <w:rsid w:val="00EA3ECD"/>
    <w:rsid w:val="00EA4496"/>
    <w:rsid w:val="00EA53B9"/>
    <w:rsid w:val="00EA59C7"/>
    <w:rsid w:val="00EA5E2E"/>
    <w:rsid w:val="00EA608A"/>
    <w:rsid w:val="00EA664C"/>
    <w:rsid w:val="00EA6F1B"/>
    <w:rsid w:val="00EA7461"/>
    <w:rsid w:val="00EB04B9"/>
    <w:rsid w:val="00EB11A0"/>
    <w:rsid w:val="00EB1E27"/>
    <w:rsid w:val="00EB337C"/>
    <w:rsid w:val="00EB36BF"/>
    <w:rsid w:val="00EB39E5"/>
    <w:rsid w:val="00EB4457"/>
    <w:rsid w:val="00EB4517"/>
    <w:rsid w:val="00EB4B9C"/>
    <w:rsid w:val="00EB4D13"/>
    <w:rsid w:val="00EB5082"/>
    <w:rsid w:val="00EB51D5"/>
    <w:rsid w:val="00EB5224"/>
    <w:rsid w:val="00EB5A1C"/>
    <w:rsid w:val="00EB7D5D"/>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E7B1B"/>
    <w:rsid w:val="00EF0CD7"/>
    <w:rsid w:val="00EF28FD"/>
    <w:rsid w:val="00EF29A0"/>
    <w:rsid w:val="00EF3286"/>
    <w:rsid w:val="00EF465F"/>
    <w:rsid w:val="00EF4BE4"/>
    <w:rsid w:val="00EF501A"/>
    <w:rsid w:val="00EF5314"/>
    <w:rsid w:val="00EF6EAD"/>
    <w:rsid w:val="00EF7C8D"/>
    <w:rsid w:val="00F006C2"/>
    <w:rsid w:val="00F0112D"/>
    <w:rsid w:val="00F01A9D"/>
    <w:rsid w:val="00F0211C"/>
    <w:rsid w:val="00F0230A"/>
    <w:rsid w:val="00F02375"/>
    <w:rsid w:val="00F0248D"/>
    <w:rsid w:val="00F02776"/>
    <w:rsid w:val="00F02C8B"/>
    <w:rsid w:val="00F02CBF"/>
    <w:rsid w:val="00F036DD"/>
    <w:rsid w:val="00F03B13"/>
    <w:rsid w:val="00F05BE6"/>
    <w:rsid w:val="00F06485"/>
    <w:rsid w:val="00F104FF"/>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0F82"/>
    <w:rsid w:val="00F34040"/>
    <w:rsid w:val="00F35369"/>
    <w:rsid w:val="00F3608D"/>
    <w:rsid w:val="00F36132"/>
    <w:rsid w:val="00F36F47"/>
    <w:rsid w:val="00F41043"/>
    <w:rsid w:val="00F41427"/>
    <w:rsid w:val="00F41FD5"/>
    <w:rsid w:val="00F42CF5"/>
    <w:rsid w:val="00F43723"/>
    <w:rsid w:val="00F43826"/>
    <w:rsid w:val="00F45A22"/>
    <w:rsid w:val="00F45C95"/>
    <w:rsid w:val="00F45FA3"/>
    <w:rsid w:val="00F4785D"/>
    <w:rsid w:val="00F47A4F"/>
    <w:rsid w:val="00F50030"/>
    <w:rsid w:val="00F5113D"/>
    <w:rsid w:val="00F512E5"/>
    <w:rsid w:val="00F51365"/>
    <w:rsid w:val="00F527E9"/>
    <w:rsid w:val="00F528D9"/>
    <w:rsid w:val="00F52928"/>
    <w:rsid w:val="00F53004"/>
    <w:rsid w:val="00F5417F"/>
    <w:rsid w:val="00F5550E"/>
    <w:rsid w:val="00F55589"/>
    <w:rsid w:val="00F55A6C"/>
    <w:rsid w:val="00F5648C"/>
    <w:rsid w:val="00F5676C"/>
    <w:rsid w:val="00F57747"/>
    <w:rsid w:val="00F60524"/>
    <w:rsid w:val="00F60928"/>
    <w:rsid w:val="00F60D04"/>
    <w:rsid w:val="00F628FE"/>
    <w:rsid w:val="00F63176"/>
    <w:rsid w:val="00F63A90"/>
    <w:rsid w:val="00F701B7"/>
    <w:rsid w:val="00F71084"/>
    <w:rsid w:val="00F72A1C"/>
    <w:rsid w:val="00F73D2B"/>
    <w:rsid w:val="00F76239"/>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1C0"/>
    <w:rsid w:val="00F92466"/>
    <w:rsid w:val="00F92C62"/>
    <w:rsid w:val="00F944C7"/>
    <w:rsid w:val="00F94C30"/>
    <w:rsid w:val="00F95DA0"/>
    <w:rsid w:val="00F960CA"/>
    <w:rsid w:val="00F960E7"/>
    <w:rsid w:val="00F96B1A"/>
    <w:rsid w:val="00FA16E6"/>
    <w:rsid w:val="00FA29F6"/>
    <w:rsid w:val="00FA2A19"/>
    <w:rsid w:val="00FA2FD6"/>
    <w:rsid w:val="00FA308C"/>
    <w:rsid w:val="00FA3999"/>
    <w:rsid w:val="00FA3DA1"/>
    <w:rsid w:val="00FA721C"/>
    <w:rsid w:val="00FA7AF9"/>
    <w:rsid w:val="00FA7CE7"/>
    <w:rsid w:val="00FB061F"/>
    <w:rsid w:val="00FB1380"/>
    <w:rsid w:val="00FB1663"/>
    <w:rsid w:val="00FB1718"/>
    <w:rsid w:val="00FB2EDF"/>
    <w:rsid w:val="00FB514B"/>
    <w:rsid w:val="00FB6434"/>
    <w:rsid w:val="00FB6575"/>
    <w:rsid w:val="00FC054B"/>
    <w:rsid w:val="00FC25CF"/>
    <w:rsid w:val="00FC590E"/>
    <w:rsid w:val="00FC61DB"/>
    <w:rsid w:val="00FC6693"/>
    <w:rsid w:val="00FC7F1E"/>
    <w:rsid w:val="00FD13F9"/>
    <w:rsid w:val="00FD29DA"/>
    <w:rsid w:val="00FD3E20"/>
    <w:rsid w:val="00FD42F0"/>
    <w:rsid w:val="00FD5337"/>
    <w:rsid w:val="00FD60B5"/>
    <w:rsid w:val="00FD6586"/>
    <w:rsid w:val="00FE0166"/>
    <w:rsid w:val="00FE0B35"/>
    <w:rsid w:val="00FE273A"/>
    <w:rsid w:val="00FE2B69"/>
    <w:rsid w:val="00FE38DC"/>
    <w:rsid w:val="00FE4053"/>
    <w:rsid w:val="00FE5998"/>
    <w:rsid w:val="00FE71E5"/>
    <w:rsid w:val="00FE7D4F"/>
    <w:rsid w:val="00FF071A"/>
    <w:rsid w:val="00FF08FB"/>
    <w:rsid w:val="00FF303C"/>
    <w:rsid w:val="00FF38CE"/>
    <w:rsid w:val="00FF3C32"/>
    <w:rsid w:val="00FF400D"/>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ñ弌’i,목록 "/>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a"/>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 w:type="character" w:customStyle="1" w:styleId="discussionpointChar">
    <w:name w:val="discussion point Char"/>
    <w:link w:val="discussionpoint"/>
    <w:locked/>
    <w:rsid w:val="00396C21"/>
    <w:rPr>
      <w:rFonts w:ascii="Batang" w:hAnsi="Batang"/>
    </w:rPr>
  </w:style>
  <w:style w:type="paragraph" w:customStyle="1" w:styleId="discussionpoint">
    <w:name w:val="discussion point"/>
    <w:basedOn w:val="a"/>
    <w:link w:val="discussionpointChar"/>
    <w:rsid w:val="00396C21"/>
    <w:pPr>
      <w:overflowPunct w:val="0"/>
      <w:autoSpaceDE w:val="0"/>
      <w:autoSpaceDN w:val="0"/>
      <w:snapToGrid w:val="0"/>
      <w:spacing w:after="60" w:line="252" w:lineRule="auto"/>
      <w:jc w:val="both"/>
    </w:pPr>
    <w:rPr>
      <w:rFonts w:ascii="Batang" w:eastAsia="新細明體"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03244367">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009981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37977180">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C655FF3F-930C-40E1-BFF7-8C3D2E30BF57}">
  <ds:schemaRefs>
    <ds:schemaRef ds:uri="http://schemas.openxmlformats.org/officeDocument/2006/bibliography"/>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1354</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2</cp:revision>
  <cp:lastPrinted>2018-01-12T00:47:00Z</cp:lastPrinted>
  <dcterms:created xsi:type="dcterms:W3CDTF">2022-02-14T06:49:00Z</dcterms:created>
  <dcterms:modified xsi:type="dcterms:W3CDTF">2022-02-14T06:49:00Z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