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hint="eastAsia"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R1-2</w:t>
      </w:r>
      <w:r>
        <w:rPr>
          <w:rFonts w:hint="eastAsia" w:ascii="Arial" w:hAnsi="Arial" w:cs="Arial"/>
          <w:b/>
          <w:bCs/>
          <w:sz w:val="22"/>
          <w:szCs w:val="22"/>
        </w:rPr>
        <w:t>201456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hint="eastAsia" w:ascii="Arial" w:hAnsi="Arial" w:cs="Arial"/>
          <w:b/>
          <w:bCs/>
          <w:sz w:val="22"/>
          <w:szCs w:val="22"/>
        </w:rPr>
        <w:t>February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>21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</w:rPr>
        <w:t>March 3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hint="eastAsia" w:ascii="Arial" w:hAnsi="Arial" w:cs="Arial"/>
          <w:b/>
          <w:bCs/>
          <w:sz w:val="22"/>
          <w:szCs w:val="22"/>
        </w:rPr>
        <w:t>2</w:t>
      </w:r>
    </w:p>
    <w:p>
      <w:pPr>
        <w:tabs>
          <w:tab w:val="left" w:pos="1985"/>
        </w:tabs>
        <w:spacing w:before="240" w:beforeLines="100" w:after="12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Enhancements to the IAB resource multiplexing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t-BR"/>
        </w:rPr>
        <w:t>Agenda item:</w:t>
      </w:r>
      <w:r>
        <w:rPr>
          <w:rFonts w:ascii="Arial" w:hAnsi="Arial" w:cs="Arial"/>
          <w:b/>
          <w:sz w:val="22"/>
          <w:szCs w:val="22"/>
          <w:lang w:val="pt-BR"/>
        </w:rPr>
        <w:tab/>
      </w:r>
      <w:r>
        <w:rPr>
          <w:rFonts w:ascii="Arial" w:hAnsi="Arial" w:cs="Arial"/>
          <w:b/>
          <w:sz w:val="22"/>
          <w:szCs w:val="22"/>
        </w:rPr>
        <w:t>8.10.1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hAnsi="Arial" w:cs="Arial"/>
          <w:b/>
          <w:sz w:val="22"/>
          <w:szCs w:val="22"/>
          <w:lang w:val="pt-BR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>
      <w:pPr>
        <w:pStyle w:val="2"/>
        <w:spacing w:before="120" w:after="120"/>
        <w:ind w:left="0"/>
        <w:rPr>
          <w:rFonts w:eastAsia="宋体" w:cs="Arial"/>
          <w:szCs w:val="32"/>
        </w:rPr>
      </w:pPr>
      <w:r>
        <w:rPr>
          <w:rFonts w:eastAsia="宋体" w:cs="Arial"/>
          <w:szCs w:val="32"/>
        </w:rPr>
        <w:t>Introduction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This </w:t>
      </w:r>
      <w:r>
        <w:rPr>
          <w:rFonts w:hint="eastAsia"/>
          <w:sz w:val="20"/>
          <w:szCs w:val="22"/>
        </w:rPr>
        <w:t>contribution discusses some remaining issue on enhancements to the IAB resource multiplexing in Rel-17 IAB</w:t>
      </w:r>
      <w:r>
        <w:rPr>
          <w:sz w:val="20"/>
        </w:rPr>
        <w:t>.</w:t>
      </w:r>
    </w:p>
    <w:p>
      <w:pPr>
        <w:pStyle w:val="2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28"/>
        </w:rPr>
        <w:t>Discussions</w:t>
      </w:r>
    </w:p>
    <w:p>
      <w:pPr>
        <w:pStyle w:val="28"/>
        <w:numPr>
          <w:ilvl w:val="0"/>
          <w:numId w:val="0"/>
        </w:numPr>
        <w:spacing w:before="120" w:after="120"/>
        <w:rPr>
          <w:lang w:val="en-US"/>
        </w:rPr>
      </w:pPr>
    </w:p>
    <w:p>
      <w:pPr>
        <w:pStyle w:val="3"/>
        <w:spacing w:before="120" w:after="120"/>
        <w:ind w:left="991" w:right="210" w:hanging="991" w:hangingChars="354"/>
        <w:rPr>
          <w:sz w:val="20"/>
        </w:rPr>
      </w:pPr>
      <w:r>
        <w:rPr>
          <w:rFonts w:hint="eastAsia" w:eastAsia="宋体" w:cs="Arial"/>
          <w:szCs w:val="28"/>
        </w:rPr>
        <w:t>H/S/NA configuration</w:t>
      </w:r>
    </w:p>
    <w:p>
      <w:pPr>
        <w:spacing w:beforeLines="0" w:afterLines="0" w:line="259" w:lineRule="auto"/>
        <w:rPr>
          <w:sz w:val="20"/>
        </w:rPr>
      </w:pPr>
    </w:p>
    <w:p>
      <w:pPr>
        <w:spacing w:beforeLines="0" w:afterLines="0" w:line="259" w:lineRule="auto"/>
      </w:pPr>
      <w:r>
        <w:rPr>
          <w:sz w:val="20"/>
        </w:rPr>
        <w:t xml:space="preserve">The following </w:t>
      </w:r>
      <w:r>
        <w:rPr>
          <w:rFonts w:hint="eastAsia"/>
          <w:sz w:val="20"/>
        </w:rPr>
        <w:t>working assumption</w:t>
      </w:r>
      <w:r>
        <w:rPr>
          <w:sz w:val="20"/>
        </w:rPr>
        <w:t xml:space="preserve"> ha</w:t>
      </w:r>
      <w:r>
        <w:rPr>
          <w:rFonts w:hint="eastAsia"/>
          <w:sz w:val="20"/>
        </w:rPr>
        <w:t>s</w:t>
      </w:r>
      <w:r>
        <w:rPr>
          <w:sz w:val="20"/>
        </w:rPr>
        <w:t xml:space="preserve"> been made in RAN1#10</w:t>
      </w:r>
      <w:r>
        <w:rPr>
          <w:rFonts w:hint="eastAsia"/>
          <w:sz w:val="20"/>
        </w:rPr>
        <w:t>6bis</w:t>
      </w:r>
      <w:r>
        <w:rPr>
          <w:sz w:val="20"/>
        </w:rPr>
        <w:t xml:space="preserve">-e on </w:t>
      </w:r>
      <w:r>
        <w:rPr>
          <w:rFonts w:hint="eastAsia"/>
          <w:sz w:val="20"/>
        </w:rPr>
        <w:t>H/S/NA</w:t>
      </w:r>
      <w:r>
        <w:rPr>
          <w:sz w:val="20"/>
        </w:rPr>
        <w:t xml:space="preserve"> configuration for DU</w:t>
      </w:r>
      <w:r>
        <w:rPr>
          <w:rFonts w:hint="eastAsia"/>
          <w:sz w:val="20"/>
        </w:rPr>
        <w:t xml:space="preserve"> cell </w:t>
      </w:r>
      <w:r>
        <w:rPr>
          <w:sz w:val="20"/>
        </w:rPr>
        <w:t>[1]</w:t>
      </w:r>
      <w:r>
        <w:rPr>
          <w:rFonts w:hint="eastAsia"/>
          <w:sz w:val="20"/>
        </w:rPr>
        <w:t xml:space="preserve">.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spacing w:before="120" w:after="120"/>
              <w:rPr>
                <w:rFonts w:cs="Times"/>
                <w:b/>
                <w:sz w:val="20"/>
                <w:highlight w:val="darkYellow"/>
              </w:rPr>
            </w:pPr>
            <w:r>
              <w:rPr>
                <w:rFonts w:cs="Times"/>
                <w:b/>
                <w:sz w:val="20"/>
                <w:highlight w:val="darkYellow"/>
              </w:rPr>
              <w:t>Working Assumption</w:t>
            </w:r>
            <w:r>
              <w:rPr>
                <w:rFonts w:hint="eastAsia" w:cs="Times"/>
                <w:b/>
                <w:sz w:val="20"/>
                <w:highlight w:val="darkYellow"/>
              </w:rPr>
              <w:t>(RAN1#106bis-e)</w:t>
            </w:r>
          </w:p>
          <w:p>
            <w:pPr>
              <w:widowControl w:val="0"/>
              <w:spacing w:before="120" w:after="120"/>
              <w:rPr>
                <w:rFonts w:cs="Times"/>
                <w:bCs/>
                <w:sz w:val="20"/>
              </w:rPr>
            </w:pPr>
            <w:r>
              <w:rPr>
                <w:rFonts w:cs="Times"/>
                <w:bCs/>
                <w:sz w:val="20"/>
              </w:rPr>
              <w:t>If both the Rel-16 time domain H/S/NA configuration and Rel-17 frequency domain H/S/NA configuration are provided for a given RB set within a slot, one of the following is selected:</w:t>
            </w:r>
          </w:p>
          <w:p>
            <w:pPr>
              <w:pStyle w:val="34"/>
              <w:widowControl w:val="0"/>
              <w:numPr>
                <w:ilvl w:val="0"/>
                <w:numId w:val="9"/>
              </w:numPr>
              <w:spacing w:after="120"/>
              <w:rPr>
                <w:rFonts w:cs="Times"/>
                <w:i/>
                <w:sz w:val="20"/>
                <w:szCs w:val="20"/>
              </w:rPr>
            </w:pPr>
            <w:r>
              <w:rPr>
                <w:rFonts w:eastAsia="Calibri" w:cs="Times"/>
                <w:bCs/>
                <w:sz w:val="20"/>
                <w:szCs w:val="20"/>
              </w:rPr>
              <w:t xml:space="preserve">Alt. 1: An IAB node applies the frequency domain H/S/NA only if the IAB node is currently operating in a non-TDM multiplexing mode </w:t>
            </w:r>
            <w:r>
              <w:rPr>
                <w:rFonts w:eastAsia="Calibri" w:cs="Times"/>
                <w:bCs/>
                <w:color w:val="000000"/>
                <w:sz w:val="20"/>
                <w:szCs w:val="20"/>
              </w:rPr>
              <w:t>in the slot</w:t>
            </w:r>
            <w:r>
              <w:rPr>
                <w:rFonts w:eastAsia="Calibri" w:cs="Times"/>
                <w:bCs/>
                <w:sz w:val="20"/>
                <w:szCs w:val="20"/>
              </w:rPr>
              <w:t>, otherwise the Rel-16 time domain H/S/NA configuration is applied.</w:t>
            </w:r>
          </w:p>
          <w:p>
            <w:pPr>
              <w:pStyle w:val="28"/>
              <w:widowControl w:val="0"/>
              <w:numPr>
                <w:ilvl w:val="0"/>
                <w:numId w:val="0"/>
              </w:numPr>
              <w:spacing w:before="120" w:after="120"/>
              <w:rPr>
                <w:lang w:val="en-US"/>
              </w:rPr>
            </w:pPr>
          </w:p>
        </w:tc>
      </w:tr>
    </w:tbl>
    <w:p>
      <w:pPr>
        <w:pStyle w:val="28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</w:p>
    <w:p>
      <w:pPr>
        <w:pStyle w:val="34"/>
        <w:numPr>
          <w:ilvl w:val="255"/>
          <w:numId w:val="0"/>
        </w:numPr>
        <w:spacing w:after="120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Strong concerns have been raised by several companies on the above working assumption, i.e., the work assumption on how to determine which configuration will be applied if both the Rel-16 time domain H/S/NA configuration and Rel-17 frequency domain H/S/NA configuration are provided for a given RB set within a slot. </w:t>
      </w:r>
      <w:r>
        <w:rPr>
          <w:rFonts w:hint="eastAsia" w:eastAsia="宋体"/>
          <w:sz w:val="20"/>
          <w:szCs w:val="20"/>
        </w:rPr>
        <w:t>The Alt. 1 in the working assumption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 w:eastAsia="宋体"/>
          <w:sz w:val="20"/>
          <w:szCs w:val="20"/>
        </w:rPr>
        <w:t>can be considered as a</w:t>
      </w:r>
      <w:r>
        <w:rPr>
          <w:sz w:val="20"/>
          <w:szCs w:val="20"/>
        </w:rPr>
        <w:t xml:space="preserve"> dynamic H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NA configuration selection</w:t>
      </w:r>
      <w:r>
        <w:rPr>
          <w:rFonts w:hint="eastAsia" w:eastAsia="宋体"/>
          <w:sz w:val="20"/>
          <w:szCs w:val="20"/>
        </w:rPr>
        <w:t xml:space="preserve"> which</w:t>
      </w:r>
      <w:r>
        <w:rPr>
          <w:sz w:val="20"/>
          <w:szCs w:val="20"/>
        </w:rPr>
        <w:t xml:space="preserve"> would lead to</w:t>
      </w:r>
      <w:r>
        <w:rPr>
          <w:rFonts w:hint="eastAsia"/>
          <w:sz w:val="20"/>
          <w:szCs w:val="20"/>
        </w:rPr>
        <w:t xml:space="preserve"> the following problems</w:t>
      </w:r>
      <w:r>
        <w:rPr>
          <w:sz w:val="20"/>
          <w:szCs w:val="20"/>
        </w:rPr>
        <w:t>:</w:t>
      </w:r>
    </w:p>
    <w:p>
      <w:pPr>
        <w:pStyle w:val="34"/>
        <w:numPr>
          <w:ilvl w:val="0"/>
          <w:numId w:val="10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It is difficult to make a consistent understanding on the selected H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NA configuration on the IAB</w:t>
      </w:r>
      <w:r>
        <w:rPr>
          <w:rFonts w:hint="eastAsia"/>
          <w:sz w:val="20"/>
          <w:szCs w:val="20"/>
        </w:rPr>
        <w:t>-</w:t>
      </w:r>
      <w:r>
        <w:rPr>
          <w:sz w:val="20"/>
          <w:szCs w:val="20"/>
        </w:rPr>
        <w:t>node</w:t>
      </w:r>
      <w:r>
        <w:rPr>
          <w:rFonts w:hint="eastAsia"/>
          <w:sz w:val="20"/>
          <w:szCs w:val="20"/>
        </w:rPr>
        <w:t xml:space="preserve"> DU</w:t>
      </w:r>
      <w:r>
        <w:rPr>
          <w:sz w:val="20"/>
          <w:szCs w:val="20"/>
        </w:rPr>
        <w:t xml:space="preserve"> among the IAB</w:t>
      </w:r>
      <w:r>
        <w:rPr>
          <w:rFonts w:hint="eastAsia"/>
          <w:sz w:val="20"/>
          <w:szCs w:val="20"/>
        </w:rPr>
        <w:t>-</w:t>
      </w:r>
      <w:r>
        <w:rPr>
          <w:sz w:val="20"/>
          <w:szCs w:val="20"/>
        </w:rPr>
        <w:t xml:space="preserve">node, its parent node(s), </w:t>
      </w:r>
      <w:r>
        <w:rPr>
          <w:rFonts w:hint="eastAsia"/>
          <w:sz w:val="20"/>
          <w:szCs w:val="20"/>
        </w:rPr>
        <w:t>and</w:t>
      </w:r>
      <w:r>
        <w:rPr>
          <w:rFonts w:hint="eastAsia" w:eastAsia="宋体"/>
          <w:sz w:val="20"/>
          <w:szCs w:val="20"/>
        </w:rPr>
        <w:t xml:space="preserve"> its donor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CU.</w:t>
      </w:r>
      <w:r>
        <w:rPr>
          <w:rFonts w:hint="eastAsia" w:eastAsia="宋体"/>
          <w:sz w:val="20"/>
          <w:szCs w:val="20"/>
        </w:rPr>
        <w:t xml:space="preserve"> This may cause the parent node to be unable to make appropriate decisions on the available resources of IAB-MT.</w:t>
      </w:r>
    </w:p>
    <w:p>
      <w:pPr>
        <w:pStyle w:val="34"/>
        <w:numPr>
          <w:ilvl w:val="0"/>
          <w:numId w:val="10"/>
        </w:numPr>
        <w:spacing w:after="120"/>
        <w:rPr>
          <w:rFonts w:eastAsia="宋体"/>
          <w:sz w:val="20"/>
          <w:szCs w:val="20"/>
        </w:rPr>
      </w:pPr>
      <w:r>
        <w:rPr>
          <w:sz w:val="20"/>
          <w:szCs w:val="20"/>
        </w:rPr>
        <w:t>Semi-static H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NA configurations would be coordinated for the purpose of CLI and</w:t>
      </w:r>
      <w:r>
        <w:rPr>
          <w:rFonts w:hint="eastAsia" w:eastAsia="宋体"/>
          <w:sz w:val="20"/>
          <w:szCs w:val="20"/>
        </w:rPr>
        <w:t>/or</w:t>
      </w:r>
      <w:r>
        <w:rPr>
          <w:sz w:val="20"/>
          <w:szCs w:val="20"/>
        </w:rPr>
        <w:t xml:space="preserve"> resource multiplexing in DC. </w:t>
      </w:r>
      <w:r>
        <w:rPr>
          <w:rFonts w:hint="eastAsia"/>
          <w:sz w:val="20"/>
          <w:szCs w:val="20"/>
        </w:rPr>
        <w:t xml:space="preserve">It is impossible/difficult </w:t>
      </w:r>
      <w:r>
        <w:rPr>
          <w:sz w:val="20"/>
          <w:szCs w:val="20"/>
        </w:rPr>
        <w:t>to make the peer node/neighbor node know the dynamic selected HSNA configuration at the IAB node</w:t>
      </w:r>
      <w:r>
        <w:rPr>
          <w:rFonts w:hint="eastAsia"/>
          <w:sz w:val="20"/>
          <w:szCs w:val="20"/>
        </w:rPr>
        <w:t>.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It was agreed that CU can indicate the DU resource configuration (UL/DL/FL, H/S/NA) of the peer IAB-node or donor DU that can be used for resource coordination in case of DC, and/or for interference management. If an IAB node dynamically selects H/S/NA configuration when both Rel-17 frequency domain H/S/NA configuration and Rel-16 time domain H/S/NA configuration are provided for a given resource, it is difficult for peer IAB-node or donor DU to know which H/S/NA configuration has been selected/applied at the IAB-node DU. Dynamic H/S/NA configuration selection will not make the H/S/NA configuration indication/interaction to play a good role in resource coordination in case of DC, and/or interference management.</w:t>
      </w:r>
    </w:p>
    <w:p>
      <w:pPr>
        <w:spacing w:before="120" w:after="120"/>
        <w:rPr>
          <w:sz w:val="20"/>
        </w:rPr>
      </w:pPr>
      <w:r>
        <w:rPr>
          <w:sz w:val="20"/>
        </w:rPr>
        <w:t>Therefore, we suggest that Rel-17 frequency domain H/S/NA configuration, if provided, always overrides Rel-16 time domain H/S/NA configuration.</w:t>
      </w:r>
    </w:p>
    <w:p>
      <w:pPr>
        <w:pStyle w:val="29"/>
        <w:spacing w:before="120" w:after="120"/>
        <w:rPr>
          <w:lang w:val="en-US" w:eastAsia="zh-CN"/>
        </w:rPr>
      </w:pPr>
      <w:bookmarkStart w:id="0" w:name="_Toc86935884"/>
      <w:bookmarkStart w:id="1" w:name="_Toc5439"/>
      <w:bookmarkStart w:id="2" w:name="_Toc87036161"/>
      <w:bookmarkStart w:id="3" w:name="_Toc10843"/>
      <w:bookmarkStart w:id="4" w:name="_Toc22913"/>
      <w:r>
        <w:rPr>
          <w:rFonts w:hint="eastAsia"/>
          <w:lang w:val="en-US" w:eastAsia="zh-CN"/>
        </w:rPr>
        <w:t xml:space="preserve">Dynamic H/S/NA configuration selection between Rel-17 frequency domain H/S/NA configuration and Rel-16 time domain H/S/NA configuration may lead to inconsistent understanding of H/S/NA types applied on an IAB-node DU </w:t>
      </w:r>
      <w:r>
        <w:t>among the IAB</w:t>
      </w:r>
      <w:r>
        <w:rPr>
          <w:rFonts w:hint="eastAsia"/>
        </w:rPr>
        <w:t>-</w:t>
      </w:r>
      <w:r>
        <w:t xml:space="preserve">node, its parent node(s), </w:t>
      </w:r>
      <w:r>
        <w:rPr>
          <w:rFonts w:hint="eastAsia"/>
        </w:rPr>
        <w:t>and</w:t>
      </w:r>
      <w:r>
        <w:rPr>
          <w:rFonts w:hint="eastAsia" w:eastAsia="宋体"/>
          <w:lang w:val="en-US" w:eastAsia="zh-CN"/>
        </w:rPr>
        <w:t xml:space="preserve"> its donor</w:t>
      </w:r>
      <w:r>
        <w:rPr>
          <w:rFonts w:hint="eastAsia"/>
        </w:rPr>
        <w:t xml:space="preserve"> </w:t>
      </w:r>
      <w:r>
        <w:t>CU</w:t>
      </w:r>
      <w:r>
        <w:rPr>
          <w:lang w:val="en-US" w:eastAsia="zh-CN"/>
        </w:rPr>
        <w:t>.</w:t>
      </w:r>
      <w:bookmarkEnd w:id="0"/>
      <w:bookmarkEnd w:id="1"/>
      <w:bookmarkEnd w:id="2"/>
      <w:bookmarkEnd w:id="3"/>
      <w:bookmarkEnd w:id="4"/>
      <w:r>
        <w:rPr>
          <w:lang w:val="en-US" w:eastAsia="zh-CN"/>
        </w:rPr>
        <w:t xml:space="preserve"> </w:t>
      </w:r>
    </w:p>
    <w:p>
      <w:pPr>
        <w:pStyle w:val="29"/>
        <w:spacing w:before="120" w:after="120"/>
        <w:rPr>
          <w:rFonts w:eastAsia="宋体"/>
          <w:lang w:val="en-US" w:eastAsia="zh-CN"/>
        </w:rPr>
      </w:pPr>
      <w:bookmarkStart w:id="5" w:name="_Toc2552"/>
      <w:bookmarkStart w:id="6" w:name="_Toc87036162"/>
      <w:bookmarkStart w:id="7" w:name="_Toc185"/>
      <w:bookmarkStart w:id="8" w:name="_Toc12037"/>
      <w:bookmarkStart w:id="9" w:name="_Toc86935885"/>
      <w:r>
        <w:rPr>
          <w:rFonts w:hint="eastAsia"/>
          <w:lang w:val="en-US" w:eastAsia="zh-CN"/>
        </w:rPr>
        <w:t xml:space="preserve">Dynamic H/S/NA configuration selection between Rel-17 frequency domain H/S/NA configuration and Rel-16 time domain H/S/NA configuration will not play a good role in </w:t>
      </w:r>
      <w:r>
        <w:rPr>
          <w:rFonts w:hint="eastAsia" w:eastAsia="宋体"/>
          <w:lang w:val="en-US" w:eastAsia="zh-CN"/>
        </w:rPr>
        <w:t>resource coordination in case of DC, and interference managemen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.</w:t>
      </w:r>
      <w:bookmarkEnd w:id="5"/>
      <w:bookmarkEnd w:id="6"/>
      <w:bookmarkEnd w:id="7"/>
      <w:bookmarkEnd w:id="8"/>
      <w:bookmarkEnd w:id="9"/>
      <w:r>
        <w:rPr>
          <w:lang w:val="en-US" w:eastAsia="zh-CN"/>
        </w:rPr>
        <w:t xml:space="preserve"> </w:t>
      </w:r>
    </w:p>
    <w:p>
      <w:pPr>
        <w:pStyle w:val="28"/>
        <w:spacing w:before="120" w:after="120"/>
        <w:rPr>
          <w:lang w:val="en-US" w:eastAsia="zh-CN"/>
        </w:rPr>
      </w:pPr>
      <w:r>
        <w:t xml:space="preserve"> </w:t>
      </w:r>
      <w:bookmarkStart w:id="10" w:name="_Toc87036168"/>
      <w:bookmarkStart w:id="11" w:name="_Toc95396001"/>
      <w:bookmarkStart w:id="12" w:name="_Toc29756"/>
      <w:bookmarkStart w:id="13" w:name="_Toc3580"/>
      <w:bookmarkStart w:id="14" w:name="_Toc22039"/>
      <w:r>
        <w:t xml:space="preserve">If both the Rel-16 time domain H/S/NA configuration and Rel-17 frequency domain H/S/NA configuration are provided for a given RB set within a slot, Rel-17 frequency domain H/S/NA configuration </w:t>
      </w:r>
      <w:r>
        <w:rPr>
          <w:rFonts w:hint="eastAsia"/>
          <w:lang w:val="en-US" w:eastAsia="zh-CN"/>
        </w:rPr>
        <w:t>is applied.</w:t>
      </w:r>
      <w:bookmarkEnd w:id="10"/>
      <w:bookmarkEnd w:id="11"/>
    </w:p>
    <w:bookmarkEnd w:id="12"/>
    <w:bookmarkEnd w:id="13"/>
    <w:bookmarkEnd w:id="14"/>
    <w:p>
      <w:pPr>
        <w:spacing w:before="120" w:after="120"/>
        <w:rPr>
          <w:rFonts w:cs="Arial"/>
          <w:szCs w:val="28"/>
        </w:rPr>
      </w:pPr>
    </w:p>
    <w:p>
      <w:pPr>
        <w:pStyle w:val="3"/>
        <w:spacing w:before="120" w:after="120"/>
        <w:ind w:left="991" w:right="210" w:hanging="991" w:hangingChars="354"/>
        <w:rPr>
          <w:sz w:val="20"/>
        </w:rPr>
      </w:pPr>
      <w:r>
        <w:rPr>
          <w:rFonts w:hint="eastAsia" w:eastAsia="宋体" w:cs="Arial"/>
          <w:szCs w:val="28"/>
        </w:rPr>
        <w:t>RB set group</w:t>
      </w:r>
    </w:p>
    <w:p>
      <w:pPr>
        <w:spacing w:beforeLines="0" w:afterLines="0" w:line="259" w:lineRule="auto"/>
        <w:rPr>
          <w:sz w:val="20"/>
        </w:rPr>
      </w:pPr>
    </w:p>
    <w:p>
      <w:pPr>
        <w:spacing w:beforeLines="0" w:afterLines="0" w:line="259" w:lineRule="auto"/>
        <w:rPr>
          <w:sz w:val="20"/>
        </w:rPr>
      </w:pPr>
      <w:r>
        <w:rPr>
          <w:sz w:val="20"/>
        </w:rPr>
        <w:t xml:space="preserve">The following </w:t>
      </w:r>
      <w:r>
        <w:rPr>
          <w:rFonts w:hint="eastAsia"/>
          <w:sz w:val="20"/>
        </w:rPr>
        <w:t xml:space="preserve">agreement </w:t>
      </w:r>
      <w:r>
        <w:rPr>
          <w:sz w:val="20"/>
        </w:rPr>
        <w:t>ha</w:t>
      </w:r>
      <w:r>
        <w:rPr>
          <w:rFonts w:hint="eastAsia"/>
          <w:sz w:val="20"/>
        </w:rPr>
        <w:t>s</w:t>
      </w:r>
      <w:r>
        <w:rPr>
          <w:sz w:val="20"/>
        </w:rPr>
        <w:t xml:space="preserve"> been made in </w:t>
      </w:r>
      <w:r>
        <w:rPr>
          <w:rFonts w:hint="eastAsia"/>
          <w:sz w:val="20"/>
        </w:rPr>
        <w:t>RAN1#107-e[2]</w:t>
      </w:r>
      <w:r>
        <w:rPr>
          <w:sz w:val="20"/>
        </w:rPr>
        <w:t xml:space="preserve"> on </w:t>
      </w:r>
      <w:r>
        <w:rPr>
          <w:rFonts w:hint="eastAsia"/>
          <w:sz w:val="20"/>
        </w:rPr>
        <w:t>availability indication for the soft resources of the RB sets.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spacing w:before="120" w:after="120"/>
              <w:rPr>
                <w:rFonts w:cs="Times"/>
                <w:b/>
                <w:sz w:val="20"/>
                <w:highlight w:val="green"/>
              </w:rPr>
            </w:pPr>
            <w:r>
              <w:rPr>
                <w:rFonts w:cs="Times"/>
                <w:b/>
                <w:sz w:val="20"/>
                <w:highlight w:val="green"/>
              </w:rPr>
              <w:t>Agreement</w:t>
            </w:r>
          </w:p>
          <w:p>
            <w:pPr>
              <w:widowControl w:val="0"/>
              <w:spacing w:before="120" w:after="120"/>
              <w:rPr>
                <w:rFonts w:cs="Times"/>
                <w:sz w:val="20"/>
              </w:rPr>
            </w:pPr>
            <w:r>
              <w:rPr>
                <w:rFonts w:cs="Times"/>
                <w:sz w:val="20"/>
              </w:rPr>
              <w:t>For DCI format 2_5 indicating availability for the soft resources of the respective RB sets corresponding to a given time resource of the child IAB-DU cell:</w:t>
            </w:r>
          </w:p>
          <w:p>
            <w:pPr>
              <w:pStyle w:val="34"/>
              <w:widowControl w:val="0"/>
              <w:numPr>
                <w:ilvl w:val="0"/>
                <w:numId w:val="11"/>
              </w:numPr>
              <w:spacing w:after="120"/>
              <w:rPr>
                <w:rFonts w:cs="Times"/>
                <w:sz w:val="20"/>
                <w:szCs w:val="20"/>
              </w:rPr>
            </w:pPr>
            <w:r>
              <w:rPr>
                <w:rFonts w:cs="Times"/>
                <w:i/>
                <w:iCs/>
                <w:sz w:val="20"/>
                <w:szCs w:val="20"/>
              </w:rPr>
              <w:t>AvailabiltyCombination</w:t>
            </w:r>
            <w:r>
              <w:rPr>
                <w:rFonts w:cs="Times"/>
                <w:sz w:val="20"/>
                <w:szCs w:val="20"/>
              </w:rPr>
              <w:t xml:space="preserve"> can be extended to include multiple </w:t>
            </w:r>
            <w:r>
              <w:rPr>
                <w:rFonts w:cs="Times"/>
                <w:i/>
                <w:iCs/>
                <w:sz w:val="20"/>
                <w:szCs w:val="20"/>
              </w:rPr>
              <w:t>resourceAvailabilty</w:t>
            </w:r>
            <w:r>
              <w:rPr>
                <w:rFonts w:cs="Times"/>
                <w:sz w:val="20"/>
                <w:szCs w:val="20"/>
              </w:rPr>
              <w:t xml:space="preserve">, where each </w:t>
            </w:r>
            <w:r>
              <w:rPr>
                <w:rFonts w:cs="Times"/>
                <w:i/>
                <w:iCs/>
                <w:sz w:val="20"/>
                <w:szCs w:val="20"/>
              </w:rPr>
              <w:t>resourceAvailabilty</w:t>
            </w:r>
            <w:r>
              <w:rPr>
                <w:rFonts w:cs="Times"/>
                <w:sz w:val="20"/>
                <w:szCs w:val="20"/>
              </w:rPr>
              <w:t xml:space="preserve"> includes availability indication for one RB set group</w:t>
            </w:r>
          </w:p>
          <w:p>
            <w:pPr>
              <w:pStyle w:val="34"/>
              <w:widowControl w:val="0"/>
              <w:numPr>
                <w:ilvl w:val="1"/>
                <w:numId w:val="11"/>
              </w:numPr>
              <w:spacing w:after="120"/>
              <w:rPr>
                <w:rFonts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One RB set group consists of one or multiple RB sets</w:t>
            </w:r>
          </w:p>
          <w:p>
            <w:pPr>
              <w:widowControl w:val="0"/>
              <w:spacing w:beforeLines="0" w:afterLines="0" w:line="259" w:lineRule="auto"/>
              <w:rPr>
                <w:sz w:val="20"/>
              </w:rPr>
            </w:pPr>
          </w:p>
        </w:tc>
      </w:tr>
    </w:tbl>
    <w:p>
      <w:pPr>
        <w:spacing w:beforeLines="0" w:afterLines="0" w:line="259" w:lineRule="auto"/>
        <w:rPr>
          <w:sz w:val="20"/>
        </w:rPr>
      </w:pPr>
    </w:p>
    <w:p>
      <w:pPr>
        <w:spacing w:beforeLines="0" w:afterLines="0" w:line="259" w:lineRule="auto"/>
        <w:rPr>
          <w:rFonts w:cs="Times"/>
          <w:sz w:val="20"/>
        </w:rPr>
      </w:pPr>
      <w:r>
        <w:rPr>
          <w:rFonts w:hint="eastAsia"/>
          <w:sz w:val="20"/>
        </w:rPr>
        <w:t xml:space="preserve">According to the above agreement, each </w:t>
      </w:r>
      <w:r>
        <w:rPr>
          <w:rFonts w:cs="Times"/>
          <w:i/>
          <w:iCs/>
          <w:sz w:val="20"/>
        </w:rPr>
        <w:t>resourceAvailabilty</w:t>
      </w:r>
      <w:r>
        <w:rPr>
          <w:rFonts w:cs="Times"/>
          <w:sz w:val="20"/>
        </w:rPr>
        <w:t xml:space="preserve"> includes availability indication for one RB set group</w:t>
      </w:r>
      <w:r>
        <w:rPr>
          <w:rFonts w:hint="eastAsia" w:cs="Times"/>
          <w:sz w:val="20"/>
        </w:rPr>
        <w:t xml:space="preserve">. </w:t>
      </w:r>
      <w:r>
        <w:rPr>
          <w:rFonts w:eastAsia="Malgun Gothic" w:cs="Times"/>
          <w:sz w:val="20"/>
        </w:rPr>
        <w:t>One RB set group consists of one or multiple RB set</w:t>
      </w:r>
      <w:r>
        <w:rPr>
          <w:rFonts w:hint="eastAsia" w:eastAsia="Malgun Gothic" w:cs="Times"/>
          <w:sz w:val="20"/>
        </w:rPr>
        <w:t xml:space="preserve">s. However, what signaling is used to provide RB set group configuration needs to further study. In our view,  it is a better way that RB set group configuration are provided by RRC signaling </w:t>
      </w:r>
      <w:r>
        <w:rPr>
          <w:rFonts w:hint="eastAsia" w:cs="Times"/>
          <w:sz w:val="20"/>
        </w:rPr>
        <w:t xml:space="preserve">because usually the change of RB set group configuration may cause the change of </w:t>
      </w:r>
      <w:r>
        <w:rPr>
          <w:rFonts w:hint="eastAsia" w:eastAsia="Malgun Gothic" w:cs="Times"/>
          <w:sz w:val="20"/>
        </w:rPr>
        <w:t xml:space="preserve">high layer parameter </w:t>
      </w:r>
      <w:r>
        <w:rPr>
          <w:rFonts w:cs="Times"/>
          <w:i/>
          <w:iCs/>
          <w:sz w:val="20"/>
        </w:rPr>
        <w:t>AvailabiltyCombination</w:t>
      </w:r>
      <w:r>
        <w:rPr>
          <w:rFonts w:hint="eastAsia" w:cs="Times"/>
          <w:i/>
          <w:iCs/>
          <w:sz w:val="20"/>
        </w:rPr>
        <w:t xml:space="preserve"> </w:t>
      </w:r>
      <w:r>
        <w:rPr>
          <w:rFonts w:hint="eastAsia" w:cs="Times"/>
          <w:sz w:val="20"/>
        </w:rPr>
        <w:t>since the two are closely related.</w:t>
      </w:r>
    </w:p>
    <w:p>
      <w:pPr>
        <w:pStyle w:val="28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15" w:name="_Toc95396002"/>
      <w:r>
        <w:rPr>
          <w:rFonts w:hint="eastAsia"/>
          <w:lang w:val="en-US" w:eastAsia="zh-CN"/>
        </w:rPr>
        <w:t>RB set group configuration should be provided by RRC signaling per IAB-DU cell.</w:t>
      </w:r>
      <w:bookmarkEnd w:id="15"/>
    </w:p>
    <w:p>
      <w:pPr>
        <w:spacing w:beforeLines="0" w:afterLines="0" w:line="259" w:lineRule="auto"/>
        <w:rPr>
          <w:sz w:val="20"/>
        </w:rPr>
      </w:pPr>
    </w:p>
    <w:p>
      <w:pPr>
        <w:spacing w:beforeLines="0" w:afterLines="0" w:line="259" w:lineRule="auto"/>
        <w:rPr>
          <w:sz w:val="20"/>
        </w:rPr>
      </w:pPr>
      <w:r>
        <w:rPr>
          <w:rFonts w:hint="eastAsia"/>
          <w:sz w:val="20"/>
        </w:rPr>
        <w:t xml:space="preserve">Considering that the number of RB sets within a carrier is not too larger, it is not necessary to always provide RB set group configuration. Therefore, we suggest that if RB set group configuration is not provided, </w:t>
      </w:r>
      <w:r>
        <w:rPr>
          <w:i/>
          <w:iCs/>
          <w:lang w:val="en-CA"/>
        </w:rPr>
        <w:t xml:space="preserve">resourceAvailablity </w:t>
      </w:r>
      <w:r>
        <w:rPr>
          <w:rFonts w:hint="eastAsia"/>
          <w:lang w:val="en-CA"/>
        </w:rPr>
        <w:t>indicates</w:t>
      </w:r>
      <w:r>
        <w:rPr>
          <w:lang w:val="en-CA"/>
        </w:rPr>
        <w:t xml:space="preserve"> availability of soft resources </w:t>
      </w:r>
      <w:r>
        <w:rPr>
          <w:rFonts w:hint="eastAsia"/>
        </w:rPr>
        <w:t>in all RB sets for an IAB-DU cell.</w:t>
      </w:r>
    </w:p>
    <w:p>
      <w:pPr>
        <w:spacing w:beforeLines="0" w:afterLines="0" w:line="259" w:lineRule="auto"/>
        <w:rPr>
          <w:rFonts w:cs="Arial"/>
          <w:sz w:val="20"/>
        </w:rPr>
      </w:pPr>
    </w:p>
    <w:p>
      <w:pPr>
        <w:pStyle w:val="28"/>
        <w:spacing w:before="120" w:after="120"/>
        <w:rPr>
          <w:lang w:val="en-US" w:eastAsia="zh-CN"/>
        </w:rPr>
      </w:pPr>
      <w:bookmarkStart w:id="16" w:name="_Toc9420"/>
      <w:bookmarkStart w:id="17" w:name="_Toc19715"/>
      <w:bookmarkStart w:id="18" w:name="_Toc11860"/>
      <w:bookmarkStart w:id="19" w:name="_Toc25616"/>
      <w:bookmarkStart w:id="20" w:name="_Toc12733"/>
      <w:bookmarkStart w:id="21" w:name="_Toc17646"/>
      <w:r>
        <w:rPr>
          <w:rFonts w:hint="eastAsia"/>
          <w:lang w:val="en-US" w:eastAsia="zh-CN"/>
        </w:rPr>
        <w:t xml:space="preserve"> </w:t>
      </w:r>
      <w:bookmarkStart w:id="22" w:name="_Toc95396003"/>
      <w:r>
        <w:rPr>
          <w:rFonts w:hint="eastAsia"/>
          <w:lang w:val="en-US" w:eastAsia="zh-CN"/>
        </w:rPr>
        <w:t xml:space="preserve">If RB set group is not provided, </w:t>
      </w:r>
      <w:r>
        <w:rPr>
          <w:lang w:val="en-CA"/>
        </w:rPr>
        <w:t xml:space="preserve">resourceAvailablity </w:t>
      </w:r>
      <w:r>
        <w:rPr>
          <w:rFonts w:hint="eastAsia"/>
          <w:lang w:val="en-CA" w:eastAsia="zh-CN"/>
        </w:rPr>
        <w:t>indicates</w:t>
      </w:r>
      <w:r>
        <w:rPr>
          <w:lang w:val="en-CA"/>
        </w:rPr>
        <w:t xml:space="preserve"> availability of soft resources </w:t>
      </w:r>
      <w:r>
        <w:rPr>
          <w:rFonts w:hint="eastAsia"/>
          <w:lang w:val="en-US" w:eastAsia="zh-CN"/>
        </w:rPr>
        <w:t>in all RB sets for an IAB-DU cell.</w:t>
      </w:r>
      <w:bookmarkEnd w:id="16"/>
      <w:bookmarkEnd w:id="17"/>
      <w:bookmarkEnd w:id="18"/>
      <w:bookmarkEnd w:id="22"/>
    </w:p>
    <w:bookmarkEnd w:id="19"/>
    <w:bookmarkEnd w:id="20"/>
    <w:bookmarkEnd w:id="21"/>
    <w:p>
      <w:pPr>
        <w:spacing w:beforeLines="0" w:afterLines="0" w:line="259" w:lineRule="auto"/>
        <w:rPr>
          <w:sz w:val="20"/>
        </w:rPr>
      </w:pPr>
    </w:p>
    <w:p>
      <w:pPr>
        <w:spacing w:beforeLines="0" w:afterLines="0" w:line="259" w:lineRule="auto"/>
        <w:rPr>
          <w:sz w:val="20"/>
        </w:rPr>
      </w:pPr>
    </w:p>
    <w:p>
      <w:pPr>
        <w:spacing w:beforeLines="0" w:afterLines="0" w:line="259" w:lineRule="auto"/>
        <w:rPr>
          <w:sz w:val="20"/>
        </w:rPr>
      </w:pPr>
    </w:p>
    <w:p>
      <w:pPr>
        <w:pStyle w:val="28"/>
        <w:numPr>
          <w:ilvl w:val="0"/>
          <w:numId w:val="0"/>
        </w:numPr>
        <w:spacing w:before="120" w:after="120"/>
        <w:rPr>
          <w:lang w:val="en-US"/>
        </w:rPr>
      </w:pPr>
    </w:p>
    <w:p>
      <w:pPr>
        <w:pStyle w:val="28"/>
        <w:numPr>
          <w:ilvl w:val="0"/>
          <w:numId w:val="0"/>
        </w:numPr>
        <w:spacing w:before="120" w:after="120"/>
        <w:rPr>
          <w:lang w:val="en-US"/>
        </w:rPr>
      </w:pPr>
    </w:p>
    <w:p>
      <w:pPr>
        <w:pStyle w:val="28"/>
        <w:numPr>
          <w:ilvl w:val="0"/>
          <w:numId w:val="0"/>
        </w:numPr>
        <w:spacing w:before="120" w:after="120"/>
      </w:pPr>
    </w:p>
    <w:p>
      <w:pPr>
        <w:pStyle w:val="2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32"/>
        </w:rPr>
        <w:t>Conclusion</w:t>
      </w:r>
    </w:p>
    <w:p>
      <w:pPr>
        <w:spacing w:before="120" w:after="120"/>
        <w:rPr>
          <w:sz w:val="20"/>
        </w:rPr>
      </w:pPr>
      <w:r>
        <w:rPr>
          <w:sz w:val="20"/>
        </w:rPr>
        <w:t xml:space="preserve">According to the discussion above, we provide the following </w:t>
      </w:r>
      <w:r>
        <w:rPr>
          <w:rFonts w:hint="eastAsia"/>
          <w:sz w:val="20"/>
          <w:lang w:val="en-US" w:eastAsia="zh-CN"/>
        </w:rPr>
        <w:t xml:space="preserve">observations and </w:t>
      </w:r>
      <w:bookmarkStart w:id="26" w:name="_GoBack"/>
      <w:bookmarkEnd w:id="26"/>
      <w:r>
        <w:rPr>
          <w:sz w:val="20"/>
        </w:rPr>
        <w:t>proposals:</w:t>
      </w:r>
    </w:p>
    <w:p>
      <w:pPr>
        <w:pStyle w:val="12"/>
        <w:tabs>
          <w:tab w:val="clear" w:pos="0"/>
        </w:tabs>
      </w:pPr>
      <w:r>
        <w:fldChar w:fldCharType="begin"/>
      </w:r>
      <w:r>
        <w:instrText xml:space="preserve">TOC \n  \t "ZTE-Observation,1,sub-observation,2,3rd level observation,3"</w:instrText>
      </w:r>
      <w: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1: </w:t>
      </w:r>
      <w:r>
        <w:rPr>
          <w:rFonts w:hint="eastAsia"/>
          <w:lang w:val="en-US" w:eastAsia="zh-CN"/>
        </w:rPr>
        <w:t xml:space="preserve">Dynamic H/S/NA configuration selection between Rel-17 frequency domain H/S/NA configuration and Rel-16 time domain H/S/NA configuration may lead to inconsistent understanding of H/S/NA types applied on an IAB-node DU </w:t>
      </w:r>
      <w:r>
        <w:t>among the IAB</w:t>
      </w:r>
      <w:r>
        <w:rPr>
          <w:rFonts w:hint="eastAsia"/>
        </w:rPr>
        <w:t>-</w:t>
      </w:r>
      <w:r>
        <w:t xml:space="preserve">node, its parent node(s), </w:t>
      </w:r>
      <w:r>
        <w:rPr>
          <w:rFonts w:hint="eastAsia"/>
        </w:rPr>
        <w:t>and</w:t>
      </w:r>
      <w:r>
        <w:rPr>
          <w:rFonts w:hint="eastAsia" w:eastAsia="宋体"/>
          <w:lang w:val="en-US" w:eastAsia="zh-CN"/>
        </w:rPr>
        <w:t xml:space="preserve"> its donor</w:t>
      </w:r>
      <w:r>
        <w:rPr>
          <w:rFonts w:hint="eastAsia"/>
        </w:rPr>
        <w:t xml:space="preserve"> </w:t>
      </w:r>
      <w:r>
        <w:t>CU</w:t>
      </w:r>
      <w:r>
        <w:rPr>
          <w:lang w:val="en-US" w:eastAsia="zh-CN"/>
        </w:rPr>
        <w:t>.</w:t>
      </w:r>
    </w:p>
    <w:p>
      <w:pPr>
        <w:pStyle w:val="12"/>
        <w:tabs>
          <w:tab w:val="clear" w:pos="0"/>
        </w:tabs>
      </w:pP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2: </w:t>
      </w:r>
      <w:r>
        <w:rPr>
          <w:rFonts w:hint="eastAsia"/>
          <w:lang w:val="en-US" w:eastAsia="zh-CN"/>
        </w:rPr>
        <w:t xml:space="preserve">Dynamic H/S/NA configuration selection between Rel-17 frequency domain H/S/NA configuration and Rel-16 time domain H/S/NA configuration will not play a good role in </w:t>
      </w:r>
      <w:r>
        <w:rPr>
          <w:rFonts w:hint="eastAsia" w:eastAsia="宋体"/>
          <w:lang w:val="en-US" w:eastAsia="zh-CN"/>
        </w:rPr>
        <w:t>resource coordination in case of DC, and interference managemen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.</w:t>
      </w:r>
    </w:p>
    <w:p>
      <w:pPr>
        <w:spacing w:before="120" w:after="120"/>
        <w:rPr>
          <w:sz w:val="20"/>
        </w:rPr>
      </w:pPr>
      <w:r>
        <w:fldChar w:fldCharType="end"/>
      </w:r>
    </w:p>
    <w:p>
      <w:pPr>
        <w:pStyle w:val="12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sz w:val="21"/>
          <w:szCs w:val="22"/>
        </w:rPr>
      </w:pPr>
      <w:r>
        <w:fldChar w:fldCharType="begin"/>
      </w:r>
      <w:r>
        <w:instrText xml:space="preserve">TOC \n  \t "ZTE-Proposal,1,sub-proposal,2,3rd level proposal,3" \h</w:instrText>
      </w:r>
      <w:r>
        <w:fldChar w:fldCharType="separate"/>
      </w:r>
      <w:r>
        <w:fldChar w:fldCharType="begin"/>
      </w:r>
      <w:r>
        <w:instrText xml:space="preserve"> HYPERLINK \l "_Toc95396001" </w:instrText>
      </w:r>
      <w:r>
        <w:fldChar w:fldCharType="separate"/>
      </w:r>
      <w:r>
        <w:rPr>
          <w:rStyle w:val="23"/>
          <w:rFonts w:eastAsia="宋体"/>
        </w:rPr>
        <w:t>Proposal 1:</w:t>
      </w:r>
      <w:r>
        <w:rPr>
          <w:rFonts w:asciiTheme="minorHAnsi" w:hAnsiTheme="minorHAnsi" w:cstheme="minorBidi"/>
          <w:b w:val="0"/>
          <w:bCs w:val="0"/>
          <w:i w:val="0"/>
          <w:iCs w:val="0"/>
          <w:sz w:val="21"/>
          <w:szCs w:val="22"/>
        </w:rPr>
        <w:tab/>
      </w:r>
      <w:r>
        <w:rPr>
          <w:rStyle w:val="23"/>
        </w:rPr>
        <w:t>If both the Rel-16 time domain H/S/NA configuration and Rel-17 frequency domain H/S/NA configuration are provided for a given RB set within a slot, Rel-17 frequency domain H/S/NA configuration is applied.</w:t>
      </w:r>
      <w:r>
        <w:rPr>
          <w:rStyle w:val="23"/>
        </w:rPr>
        <w:fldChar w:fldCharType="end"/>
      </w:r>
    </w:p>
    <w:p>
      <w:pPr>
        <w:pStyle w:val="12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sz w:val="21"/>
          <w:szCs w:val="22"/>
        </w:rPr>
      </w:pPr>
      <w:r>
        <w:fldChar w:fldCharType="begin"/>
      </w:r>
      <w:r>
        <w:instrText xml:space="preserve"> HYPERLINK \l "_Toc95396002" </w:instrText>
      </w:r>
      <w:r>
        <w:fldChar w:fldCharType="separate"/>
      </w:r>
      <w:r>
        <w:rPr>
          <w:rStyle w:val="23"/>
          <w:rFonts w:eastAsia="宋体"/>
        </w:rPr>
        <w:t>Proposal 2:</w:t>
      </w:r>
      <w:r>
        <w:rPr>
          <w:rFonts w:asciiTheme="minorHAnsi" w:hAnsiTheme="minorHAnsi" w:cstheme="minorBidi"/>
          <w:b w:val="0"/>
          <w:bCs w:val="0"/>
          <w:i w:val="0"/>
          <w:iCs w:val="0"/>
          <w:sz w:val="21"/>
          <w:szCs w:val="22"/>
        </w:rPr>
        <w:tab/>
      </w:r>
      <w:r>
        <w:rPr>
          <w:rStyle w:val="23"/>
        </w:rPr>
        <w:t>RB set group configuration should be provided by RRC signaling per IAB-DU cell.</w:t>
      </w:r>
      <w:r>
        <w:rPr>
          <w:rStyle w:val="23"/>
        </w:rPr>
        <w:fldChar w:fldCharType="end"/>
      </w:r>
    </w:p>
    <w:p>
      <w:pPr>
        <w:pStyle w:val="12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sz w:val="21"/>
          <w:szCs w:val="22"/>
        </w:rPr>
      </w:pPr>
      <w:r>
        <w:fldChar w:fldCharType="begin"/>
      </w:r>
      <w:r>
        <w:instrText xml:space="preserve"> HYPERLINK \l "_Toc95396003" </w:instrText>
      </w:r>
      <w:r>
        <w:fldChar w:fldCharType="separate"/>
      </w:r>
      <w:r>
        <w:rPr>
          <w:rStyle w:val="23"/>
          <w:rFonts w:eastAsia="宋体"/>
        </w:rPr>
        <w:t>Proposal 3:</w:t>
      </w:r>
      <w:r>
        <w:rPr>
          <w:rFonts w:asciiTheme="minorHAnsi" w:hAnsiTheme="minorHAnsi" w:cstheme="minorBidi"/>
          <w:b w:val="0"/>
          <w:bCs w:val="0"/>
          <w:i w:val="0"/>
          <w:iCs w:val="0"/>
          <w:sz w:val="21"/>
          <w:szCs w:val="22"/>
        </w:rPr>
        <w:tab/>
      </w:r>
      <w:r>
        <w:rPr>
          <w:rStyle w:val="23"/>
        </w:rPr>
        <w:t xml:space="preserve">If RB set group is not provided, </w:t>
      </w:r>
      <w:r>
        <w:rPr>
          <w:rStyle w:val="23"/>
          <w:lang w:val="en-CA"/>
        </w:rPr>
        <w:t xml:space="preserve">resourceAvailablity indicates availability of soft resources </w:t>
      </w:r>
      <w:r>
        <w:rPr>
          <w:rStyle w:val="23"/>
        </w:rPr>
        <w:t>in all RB sets for an IAB-DU cell.</w:t>
      </w:r>
      <w:r>
        <w:rPr>
          <w:rStyle w:val="23"/>
        </w:rPr>
        <w:fldChar w:fldCharType="end"/>
      </w:r>
    </w:p>
    <w:p>
      <w:pPr>
        <w:spacing w:before="120" w:after="120"/>
      </w:pPr>
      <w:r>
        <w:fldChar w:fldCharType="end"/>
      </w:r>
    </w:p>
    <w:p>
      <w:pPr>
        <w:pStyle w:val="2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32"/>
        </w:rPr>
        <w:t>References</w:t>
      </w:r>
    </w:p>
    <w:p>
      <w:pPr>
        <w:pStyle w:val="33"/>
        <w:spacing w:before="120" w:after="120"/>
        <w:rPr>
          <w:sz w:val="20"/>
        </w:rPr>
      </w:pPr>
      <w:bookmarkStart w:id="23" w:name="_Ref16505925"/>
      <w:bookmarkStart w:id="24" w:name="_Ref17466"/>
      <w:bookmarkStart w:id="25" w:name="_Ref6480"/>
      <w:r>
        <w:rPr>
          <w:bCs/>
          <w:sz w:val="20"/>
          <w:szCs w:val="20"/>
        </w:rPr>
        <w:t>Chair's Notes RAN1#10</w:t>
      </w:r>
      <w:r>
        <w:rPr>
          <w:rFonts w:hint="eastAsia"/>
          <w:bCs/>
          <w:sz w:val="20"/>
          <w:szCs w:val="20"/>
        </w:rPr>
        <w:t>6bis</w:t>
      </w:r>
      <w:r>
        <w:rPr>
          <w:bCs/>
          <w:sz w:val="20"/>
          <w:szCs w:val="20"/>
        </w:rPr>
        <w:t>-e</w:t>
      </w:r>
    </w:p>
    <w:p>
      <w:pPr>
        <w:pStyle w:val="33"/>
        <w:spacing w:before="120" w:after="120"/>
        <w:rPr>
          <w:sz w:val="20"/>
        </w:rPr>
      </w:pPr>
      <w:r>
        <w:rPr>
          <w:bCs/>
          <w:sz w:val="20"/>
          <w:szCs w:val="20"/>
        </w:rPr>
        <w:t>Chair's Notes RAN1#10</w:t>
      </w:r>
      <w:r>
        <w:rPr>
          <w:rFonts w:hint="eastAsia"/>
          <w:bCs/>
          <w:sz w:val="20"/>
          <w:szCs w:val="20"/>
        </w:rPr>
        <w:t>7</w:t>
      </w:r>
      <w:r>
        <w:rPr>
          <w:bCs/>
          <w:sz w:val="20"/>
          <w:szCs w:val="20"/>
        </w:rPr>
        <w:t>-e</w:t>
      </w:r>
      <w:bookmarkEnd w:id="23"/>
      <w:bookmarkEnd w:id="24"/>
      <w:bookmarkEnd w:id="25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0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2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 w:tentative="0">
      <w:start w:val="1"/>
      <w:numFmt w:val="bullet"/>
      <w:pStyle w:val="31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28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2B144F7D"/>
    <w:multiLevelType w:val="multilevel"/>
    <w:tmpl w:val="2B144F7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E2F2139"/>
    <w:multiLevelType w:val="multilevel"/>
    <w:tmpl w:val="4E2F213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08BE803"/>
    <w:multiLevelType w:val="singleLevel"/>
    <w:tmpl w:val="508BE803"/>
    <w:lvl w:ilvl="0" w:tentative="0">
      <w:start w:val="1"/>
      <w:numFmt w:val="bullet"/>
      <w:pStyle w:val="32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8">
    <w:nsid w:val="51B92DFE"/>
    <w:multiLevelType w:val="singleLevel"/>
    <w:tmpl w:val="51B92DFE"/>
    <w:lvl w:ilvl="0" w:tentative="0">
      <w:start w:val="1"/>
      <w:numFmt w:val="bullet"/>
      <w:lvlText w:val="▪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9">
    <w:nsid w:val="7D98FA9A"/>
    <w:multiLevelType w:val="multilevel"/>
    <w:tmpl w:val="7D98FA9A"/>
    <w:lvl w:ilvl="0" w:tentative="0">
      <w:start w:val="1"/>
      <w:numFmt w:val="decimal"/>
      <w:pStyle w:val="26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7DC436CD"/>
    <w:multiLevelType w:val="singleLevel"/>
    <w:tmpl w:val="7DC436CD"/>
    <w:lvl w:ilvl="0" w:tentative="0">
      <w:start w:val="1"/>
      <w:numFmt w:val="bullet"/>
      <w:pStyle w:val="27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9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B36"/>
    <w:rsid w:val="0002214A"/>
    <w:rsid w:val="00036EC9"/>
    <w:rsid w:val="00040893"/>
    <w:rsid w:val="000754BC"/>
    <w:rsid w:val="00092374"/>
    <w:rsid w:val="000B2976"/>
    <w:rsid w:val="000C3793"/>
    <w:rsid w:val="000E47D8"/>
    <w:rsid w:val="00101583"/>
    <w:rsid w:val="0010446B"/>
    <w:rsid w:val="00131276"/>
    <w:rsid w:val="001328F6"/>
    <w:rsid w:val="001438ED"/>
    <w:rsid w:val="00163B6F"/>
    <w:rsid w:val="00172A27"/>
    <w:rsid w:val="00195A3C"/>
    <w:rsid w:val="001A6C51"/>
    <w:rsid w:val="001C37AC"/>
    <w:rsid w:val="001E26F0"/>
    <w:rsid w:val="00213BB6"/>
    <w:rsid w:val="00222834"/>
    <w:rsid w:val="002334D5"/>
    <w:rsid w:val="00256C20"/>
    <w:rsid w:val="00260149"/>
    <w:rsid w:val="002972C8"/>
    <w:rsid w:val="002B1B2C"/>
    <w:rsid w:val="002F6018"/>
    <w:rsid w:val="002F7500"/>
    <w:rsid w:val="00317C06"/>
    <w:rsid w:val="003270E2"/>
    <w:rsid w:val="0037726C"/>
    <w:rsid w:val="00383A4D"/>
    <w:rsid w:val="003B23A0"/>
    <w:rsid w:val="003E7D86"/>
    <w:rsid w:val="003F3FC7"/>
    <w:rsid w:val="0041382E"/>
    <w:rsid w:val="004209E3"/>
    <w:rsid w:val="00431105"/>
    <w:rsid w:val="00463C47"/>
    <w:rsid w:val="004657BF"/>
    <w:rsid w:val="0049349F"/>
    <w:rsid w:val="004B042F"/>
    <w:rsid w:val="004B0544"/>
    <w:rsid w:val="004F5E40"/>
    <w:rsid w:val="00524B78"/>
    <w:rsid w:val="005478E8"/>
    <w:rsid w:val="00593A6E"/>
    <w:rsid w:val="005B065E"/>
    <w:rsid w:val="00637848"/>
    <w:rsid w:val="006F0DB0"/>
    <w:rsid w:val="007124F0"/>
    <w:rsid w:val="00734904"/>
    <w:rsid w:val="00775067"/>
    <w:rsid w:val="007D24EF"/>
    <w:rsid w:val="00830169"/>
    <w:rsid w:val="00830764"/>
    <w:rsid w:val="00897D1C"/>
    <w:rsid w:val="008A33C7"/>
    <w:rsid w:val="008A36EF"/>
    <w:rsid w:val="008B0337"/>
    <w:rsid w:val="008D11CE"/>
    <w:rsid w:val="008F2E54"/>
    <w:rsid w:val="00906A6D"/>
    <w:rsid w:val="0091082A"/>
    <w:rsid w:val="0095154E"/>
    <w:rsid w:val="0095347B"/>
    <w:rsid w:val="0096044C"/>
    <w:rsid w:val="00965E85"/>
    <w:rsid w:val="00991FDE"/>
    <w:rsid w:val="009B66B6"/>
    <w:rsid w:val="00A03342"/>
    <w:rsid w:val="00A111F9"/>
    <w:rsid w:val="00A17866"/>
    <w:rsid w:val="00A4330F"/>
    <w:rsid w:val="00AE3454"/>
    <w:rsid w:val="00AE40F2"/>
    <w:rsid w:val="00B176DE"/>
    <w:rsid w:val="00B21202"/>
    <w:rsid w:val="00B75295"/>
    <w:rsid w:val="00BA4486"/>
    <w:rsid w:val="00BF060B"/>
    <w:rsid w:val="00C16AF2"/>
    <w:rsid w:val="00C25AF2"/>
    <w:rsid w:val="00C266BC"/>
    <w:rsid w:val="00C545F1"/>
    <w:rsid w:val="00C6793D"/>
    <w:rsid w:val="00CA568F"/>
    <w:rsid w:val="00CA7119"/>
    <w:rsid w:val="00CB5143"/>
    <w:rsid w:val="00CD6C47"/>
    <w:rsid w:val="00CE13C5"/>
    <w:rsid w:val="00D11D25"/>
    <w:rsid w:val="00D17949"/>
    <w:rsid w:val="00D24C6C"/>
    <w:rsid w:val="00D26197"/>
    <w:rsid w:val="00D6168B"/>
    <w:rsid w:val="00D62247"/>
    <w:rsid w:val="00DA4B6A"/>
    <w:rsid w:val="00DD25BB"/>
    <w:rsid w:val="00DF1CD0"/>
    <w:rsid w:val="00E11052"/>
    <w:rsid w:val="00E15DAD"/>
    <w:rsid w:val="00E370F2"/>
    <w:rsid w:val="00E37D88"/>
    <w:rsid w:val="00EB3F2A"/>
    <w:rsid w:val="00EB4EC5"/>
    <w:rsid w:val="00EB4F8D"/>
    <w:rsid w:val="00ED037A"/>
    <w:rsid w:val="00F176A9"/>
    <w:rsid w:val="00F70243"/>
    <w:rsid w:val="00F73184"/>
    <w:rsid w:val="00FB48F8"/>
    <w:rsid w:val="00FC22D6"/>
    <w:rsid w:val="00FD2DE4"/>
    <w:rsid w:val="00FD72B8"/>
    <w:rsid w:val="00FE3CF1"/>
    <w:rsid w:val="01242D9F"/>
    <w:rsid w:val="01575DFC"/>
    <w:rsid w:val="015978EA"/>
    <w:rsid w:val="01611034"/>
    <w:rsid w:val="016C3261"/>
    <w:rsid w:val="01732C70"/>
    <w:rsid w:val="0175416B"/>
    <w:rsid w:val="01764F01"/>
    <w:rsid w:val="01A87802"/>
    <w:rsid w:val="01A95844"/>
    <w:rsid w:val="01AA1F45"/>
    <w:rsid w:val="01BB0452"/>
    <w:rsid w:val="01CC3E95"/>
    <w:rsid w:val="01D837AC"/>
    <w:rsid w:val="01FC31C3"/>
    <w:rsid w:val="0207518B"/>
    <w:rsid w:val="024D6B6A"/>
    <w:rsid w:val="02600914"/>
    <w:rsid w:val="0268259F"/>
    <w:rsid w:val="029B04E7"/>
    <w:rsid w:val="029C6023"/>
    <w:rsid w:val="02B14ECD"/>
    <w:rsid w:val="02B612F0"/>
    <w:rsid w:val="02B76F46"/>
    <w:rsid w:val="02BA7D65"/>
    <w:rsid w:val="02C74C19"/>
    <w:rsid w:val="02D802A1"/>
    <w:rsid w:val="02DF3179"/>
    <w:rsid w:val="02FB76BE"/>
    <w:rsid w:val="03073BDC"/>
    <w:rsid w:val="03246831"/>
    <w:rsid w:val="032C18ED"/>
    <w:rsid w:val="033B7557"/>
    <w:rsid w:val="033F44DC"/>
    <w:rsid w:val="034D3640"/>
    <w:rsid w:val="03583038"/>
    <w:rsid w:val="03724FE0"/>
    <w:rsid w:val="03782650"/>
    <w:rsid w:val="039C6641"/>
    <w:rsid w:val="03B8536C"/>
    <w:rsid w:val="03E96AC9"/>
    <w:rsid w:val="04305E9E"/>
    <w:rsid w:val="04427E99"/>
    <w:rsid w:val="049153B9"/>
    <w:rsid w:val="0495036C"/>
    <w:rsid w:val="049E2CE6"/>
    <w:rsid w:val="04B75A28"/>
    <w:rsid w:val="04C41AB9"/>
    <w:rsid w:val="04E00EC8"/>
    <w:rsid w:val="04F34925"/>
    <w:rsid w:val="04F82271"/>
    <w:rsid w:val="05051EF1"/>
    <w:rsid w:val="050F45B3"/>
    <w:rsid w:val="051F2251"/>
    <w:rsid w:val="052429B8"/>
    <w:rsid w:val="052641B9"/>
    <w:rsid w:val="05471AA3"/>
    <w:rsid w:val="0555228E"/>
    <w:rsid w:val="0567639C"/>
    <w:rsid w:val="056B0FB5"/>
    <w:rsid w:val="056B625E"/>
    <w:rsid w:val="05811E02"/>
    <w:rsid w:val="05900668"/>
    <w:rsid w:val="059D1E39"/>
    <w:rsid w:val="05AE4FB1"/>
    <w:rsid w:val="05D2089D"/>
    <w:rsid w:val="05E078B3"/>
    <w:rsid w:val="05EB0B66"/>
    <w:rsid w:val="062215F5"/>
    <w:rsid w:val="062C127E"/>
    <w:rsid w:val="06302B05"/>
    <w:rsid w:val="06453510"/>
    <w:rsid w:val="064B2A41"/>
    <w:rsid w:val="06552C02"/>
    <w:rsid w:val="0668090E"/>
    <w:rsid w:val="066A15C2"/>
    <w:rsid w:val="066E591F"/>
    <w:rsid w:val="06721D26"/>
    <w:rsid w:val="06977622"/>
    <w:rsid w:val="069C3662"/>
    <w:rsid w:val="06A7264A"/>
    <w:rsid w:val="06DD5C75"/>
    <w:rsid w:val="06E813BF"/>
    <w:rsid w:val="06ED4007"/>
    <w:rsid w:val="06F871EE"/>
    <w:rsid w:val="06FF61E2"/>
    <w:rsid w:val="07264D3E"/>
    <w:rsid w:val="07272584"/>
    <w:rsid w:val="0728108C"/>
    <w:rsid w:val="072D5A39"/>
    <w:rsid w:val="073222C5"/>
    <w:rsid w:val="076D396F"/>
    <w:rsid w:val="077D0583"/>
    <w:rsid w:val="078D78BC"/>
    <w:rsid w:val="079724D0"/>
    <w:rsid w:val="07A15A71"/>
    <w:rsid w:val="07B347B6"/>
    <w:rsid w:val="07B50A20"/>
    <w:rsid w:val="07BA3644"/>
    <w:rsid w:val="07CB6EA0"/>
    <w:rsid w:val="07E43F25"/>
    <w:rsid w:val="080D07A4"/>
    <w:rsid w:val="08193B6B"/>
    <w:rsid w:val="082A352F"/>
    <w:rsid w:val="085472A0"/>
    <w:rsid w:val="086B575D"/>
    <w:rsid w:val="087D404E"/>
    <w:rsid w:val="088A1EEE"/>
    <w:rsid w:val="0891402C"/>
    <w:rsid w:val="08C349D1"/>
    <w:rsid w:val="08C50184"/>
    <w:rsid w:val="08DB22C6"/>
    <w:rsid w:val="08DF7FEF"/>
    <w:rsid w:val="08E16393"/>
    <w:rsid w:val="08EA763A"/>
    <w:rsid w:val="08F4719E"/>
    <w:rsid w:val="08F5082F"/>
    <w:rsid w:val="08F52612"/>
    <w:rsid w:val="08F84F59"/>
    <w:rsid w:val="08FD5189"/>
    <w:rsid w:val="0909797E"/>
    <w:rsid w:val="091C6591"/>
    <w:rsid w:val="091D58A2"/>
    <w:rsid w:val="09387AE9"/>
    <w:rsid w:val="0944732E"/>
    <w:rsid w:val="094A6C57"/>
    <w:rsid w:val="09634C12"/>
    <w:rsid w:val="096E4E41"/>
    <w:rsid w:val="09802101"/>
    <w:rsid w:val="09806FE0"/>
    <w:rsid w:val="098933B8"/>
    <w:rsid w:val="099C738A"/>
    <w:rsid w:val="09A177D3"/>
    <w:rsid w:val="09AF34D9"/>
    <w:rsid w:val="09B65D04"/>
    <w:rsid w:val="09B864DC"/>
    <w:rsid w:val="09C973D4"/>
    <w:rsid w:val="09DD707B"/>
    <w:rsid w:val="09DD70CA"/>
    <w:rsid w:val="09F67CD5"/>
    <w:rsid w:val="0A1C03DE"/>
    <w:rsid w:val="0A2606EA"/>
    <w:rsid w:val="0A2639D2"/>
    <w:rsid w:val="0A3805F9"/>
    <w:rsid w:val="0A415DB7"/>
    <w:rsid w:val="0A4F15D0"/>
    <w:rsid w:val="0A5549EC"/>
    <w:rsid w:val="0A5B01BE"/>
    <w:rsid w:val="0A77380C"/>
    <w:rsid w:val="0A797C30"/>
    <w:rsid w:val="0A850856"/>
    <w:rsid w:val="0A882D8B"/>
    <w:rsid w:val="0A98567D"/>
    <w:rsid w:val="0ABA2C09"/>
    <w:rsid w:val="0AD34A5B"/>
    <w:rsid w:val="0AE43750"/>
    <w:rsid w:val="0AE64417"/>
    <w:rsid w:val="0B1F611E"/>
    <w:rsid w:val="0B25627D"/>
    <w:rsid w:val="0B3C6C98"/>
    <w:rsid w:val="0B45418A"/>
    <w:rsid w:val="0B46017D"/>
    <w:rsid w:val="0B5E0A54"/>
    <w:rsid w:val="0B5F7116"/>
    <w:rsid w:val="0B64353D"/>
    <w:rsid w:val="0B6937F8"/>
    <w:rsid w:val="0B696C9D"/>
    <w:rsid w:val="0B7C4894"/>
    <w:rsid w:val="0B83577C"/>
    <w:rsid w:val="0B8723DA"/>
    <w:rsid w:val="0B942300"/>
    <w:rsid w:val="0B9E71DF"/>
    <w:rsid w:val="0BA23EEF"/>
    <w:rsid w:val="0BAF0AE2"/>
    <w:rsid w:val="0BB20D48"/>
    <w:rsid w:val="0BBB406D"/>
    <w:rsid w:val="0BC008E1"/>
    <w:rsid w:val="0BD23049"/>
    <w:rsid w:val="0BE276F1"/>
    <w:rsid w:val="0BF57B40"/>
    <w:rsid w:val="0BFE7632"/>
    <w:rsid w:val="0C1C3F65"/>
    <w:rsid w:val="0C2513DB"/>
    <w:rsid w:val="0C2F6748"/>
    <w:rsid w:val="0C4E56E5"/>
    <w:rsid w:val="0C5E4DE0"/>
    <w:rsid w:val="0C6E0333"/>
    <w:rsid w:val="0C7D2BE0"/>
    <w:rsid w:val="0C7D6E84"/>
    <w:rsid w:val="0C883C64"/>
    <w:rsid w:val="0C8E1612"/>
    <w:rsid w:val="0C93091E"/>
    <w:rsid w:val="0C9D30C2"/>
    <w:rsid w:val="0CA35A0F"/>
    <w:rsid w:val="0CAC2370"/>
    <w:rsid w:val="0CAE411F"/>
    <w:rsid w:val="0CB119FF"/>
    <w:rsid w:val="0CB7725B"/>
    <w:rsid w:val="0CC0539E"/>
    <w:rsid w:val="0D177E64"/>
    <w:rsid w:val="0D202AB9"/>
    <w:rsid w:val="0D3A607E"/>
    <w:rsid w:val="0D3D7500"/>
    <w:rsid w:val="0D580F2A"/>
    <w:rsid w:val="0D7901AD"/>
    <w:rsid w:val="0D9D3B67"/>
    <w:rsid w:val="0D9D65F4"/>
    <w:rsid w:val="0DD73CB1"/>
    <w:rsid w:val="0DEF0149"/>
    <w:rsid w:val="0DF2210C"/>
    <w:rsid w:val="0DF66620"/>
    <w:rsid w:val="0E172BD0"/>
    <w:rsid w:val="0E173D9D"/>
    <w:rsid w:val="0E245E8E"/>
    <w:rsid w:val="0E284842"/>
    <w:rsid w:val="0E347EB2"/>
    <w:rsid w:val="0E3A3380"/>
    <w:rsid w:val="0E783312"/>
    <w:rsid w:val="0E8B1A63"/>
    <w:rsid w:val="0E907048"/>
    <w:rsid w:val="0EB6572C"/>
    <w:rsid w:val="0EC82E20"/>
    <w:rsid w:val="0EC915C0"/>
    <w:rsid w:val="0ED05E83"/>
    <w:rsid w:val="0EEA5804"/>
    <w:rsid w:val="0F185F4B"/>
    <w:rsid w:val="0F824F6B"/>
    <w:rsid w:val="0F880533"/>
    <w:rsid w:val="0F990E50"/>
    <w:rsid w:val="0FA61EB5"/>
    <w:rsid w:val="0FBC5026"/>
    <w:rsid w:val="0FC52562"/>
    <w:rsid w:val="0FD0251C"/>
    <w:rsid w:val="0FE43E40"/>
    <w:rsid w:val="0FF8007A"/>
    <w:rsid w:val="0FFB1747"/>
    <w:rsid w:val="10481210"/>
    <w:rsid w:val="106747EE"/>
    <w:rsid w:val="10684090"/>
    <w:rsid w:val="10A15C4F"/>
    <w:rsid w:val="10A50104"/>
    <w:rsid w:val="10B4298F"/>
    <w:rsid w:val="10CD6809"/>
    <w:rsid w:val="10E15426"/>
    <w:rsid w:val="10EB09DC"/>
    <w:rsid w:val="10EF7B91"/>
    <w:rsid w:val="110F7F81"/>
    <w:rsid w:val="11122A47"/>
    <w:rsid w:val="111B3166"/>
    <w:rsid w:val="111B478D"/>
    <w:rsid w:val="11225EFA"/>
    <w:rsid w:val="112C4C6E"/>
    <w:rsid w:val="115B3410"/>
    <w:rsid w:val="11613397"/>
    <w:rsid w:val="11757502"/>
    <w:rsid w:val="11773562"/>
    <w:rsid w:val="118066B7"/>
    <w:rsid w:val="119524E9"/>
    <w:rsid w:val="119D7849"/>
    <w:rsid w:val="11A0652A"/>
    <w:rsid w:val="11B02B41"/>
    <w:rsid w:val="11B57F56"/>
    <w:rsid w:val="11D32C40"/>
    <w:rsid w:val="11D4241D"/>
    <w:rsid w:val="11D46DD9"/>
    <w:rsid w:val="121876B1"/>
    <w:rsid w:val="1242135C"/>
    <w:rsid w:val="124D1560"/>
    <w:rsid w:val="1270517E"/>
    <w:rsid w:val="127F6322"/>
    <w:rsid w:val="12886D61"/>
    <w:rsid w:val="12C05409"/>
    <w:rsid w:val="12E82A0C"/>
    <w:rsid w:val="12FA7C9A"/>
    <w:rsid w:val="12FE3E89"/>
    <w:rsid w:val="13066F51"/>
    <w:rsid w:val="1311524A"/>
    <w:rsid w:val="13230953"/>
    <w:rsid w:val="13471CAD"/>
    <w:rsid w:val="135E636E"/>
    <w:rsid w:val="136B24B6"/>
    <w:rsid w:val="13733DB0"/>
    <w:rsid w:val="137F18C7"/>
    <w:rsid w:val="13A1683F"/>
    <w:rsid w:val="13A40BF7"/>
    <w:rsid w:val="13D83063"/>
    <w:rsid w:val="13F14073"/>
    <w:rsid w:val="140758D3"/>
    <w:rsid w:val="14254C04"/>
    <w:rsid w:val="142C2CF4"/>
    <w:rsid w:val="14355E79"/>
    <w:rsid w:val="143F6ED6"/>
    <w:rsid w:val="144D7EBF"/>
    <w:rsid w:val="14605037"/>
    <w:rsid w:val="1460716A"/>
    <w:rsid w:val="146A7204"/>
    <w:rsid w:val="147133FF"/>
    <w:rsid w:val="14763CB9"/>
    <w:rsid w:val="148F598E"/>
    <w:rsid w:val="149114B7"/>
    <w:rsid w:val="14AA4309"/>
    <w:rsid w:val="14AD2185"/>
    <w:rsid w:val="14BB7FE7"/>
    <w:rsid w:val="14DA3DA1"/>
    <w:rsid w:val="14EB30B0"/>
    <w:rsid w:val="14F14BDA"/>
    <w:rsid w:val="14F43462"/>
    <w:rsid w:val="14F9170D"/>
    <w:rsid w:val="15052CF1"/>
    <w:rsid w:val="15355C44"/>
    <w:rsid w:val="15356E47"/>
    <w:rsid w:val="15461B60"/>
    <w:rsid w:val="157272F1"/>
    <w:rsid w:val="15792D3C"/>
    <w:rsid w:val="157C7F56"/>
    <w:rsid w:val="158B799D"/>
    <w:rsid w:val="159558AC"/>
    <w:rsid w:val="159E61DE"/>
    <w:rsid w:val="15A0296E"/>
    <w:rsid w:val="15B521FB"/>
    <w:rsid w:val="15B6390D"/>
    <w:rsid w:val="15C0200B"/>
    <w:rsid w:val="15C4240D"/>
    <w:rsid w:val="15CF6693"/>
    <w:rsid w:val="15E25493"/>
    <w:rsid w:val="15EB2B44"/>
    <w:rsid w:val="15EE66CD"/>
    <w:rsid w:val="161C0550"/>
    <w:rsid w:val="161E46A0"/>
    <w:rsid w:val="1624521A"/>
    <w:rsid w:val="162E7830"/>
    <w:rsid w:val="1636245A"/>
    <w:rsid w:val="164B3F2E"/>
    <w:rsid w:val="164E64CD"/>
    <w:rsid w:val="165324D6"/>
    <w:rsid w:val="1666409A"/>
    <w:rsid w:val="167C139F"/>
    <w:rsid w:val="167F0BD3"/>
    <w:rsid w:val="16997FD8"/>
    <w:rsid w:val="169D643D"/>
    <w:rsid w:val="16A51A73"/>
    <w:rsid w:val="16B5117F"/>
    <w:rsid w:val="16C417D5"/>
    <w:rsid w:val="16E824A8"/>
    <w:rsid w:val="170C6F1A"/>
    <w:rsid w:val="17155857"/>
    <w:rsid w:val="17190DE8"/>
    <w:rsid w:val="171A1057"/>
    <w:rsid w:val="171B7471"/>
    <w:rsid w:val="173E4A1E"/>
    <w:rsid w:val="17484E85"/>
    <w:rsid w:val="17485F55"/>
    <w:rsid w:val="174D1071"/>
    <w:rsid w:val="175C45B9"/>
    <w:rsid w:val="17603A01"/>
    <w:rsid w:val="1768417F"/>
    <w:rsid w:val="17685212"/>
    <w:rsid w:val="17845C79"/>
    <w:rsid w:val="17950508"/>
    <w:rsid w:val="17A2352F"/>
    <w:rsid w:val="17C150E6"/>
    <w:rsid w:val="17CD30C3"/>
    <w:rsid w:val="17D11C01"/>
    <w:rsid w:val="17D12500"/>
    <w:rsid w:val="17FB1C59"/>
    <w:rsid w:val="182A416B"/>
    <w:rsid w:val="18502A69"/>
    <w:rsid w:val="18686767"/>
    <w:rsid w:val="18760295"/>
    <w:rsid w:val="188F4114"/>
    <w:rsid w:val="18A02C99"/>
    <w:rsid w:val="18BE6DC6"/>
    <w:rsid w:val="18DC1506"/>
    <w:rsid w:val="18E4558B"/>
    <w:rsid w:val="18E528E8"/>
    <w:rsid w:val="18EB7063"/>
    <w:rsid w:val="18ED23DF"/>
    <w:rsid w:val="1900565B"/>
    <w:rsid w:val="19010C43"/>
    <w:rsid w:val="19084C73"/>
    <w:rsid w:val="190A786B"/>
    <w:rsid w:val="19117A25"/>
    <w:rsid w:val="192665B8"/>
    <w:rsid w:val="192821A1"/>
    <w:rsid w:val="1940045B"/>
    <w:rsid w:val="19456B51"/>
    <w:rsid w:val="194755B1"/>
    <w:rsid w:val="195F0918"/>
    <w:rsid w:val="19927AAA"/>
    <w:rsid w:val="1997688B"/>
    <w:rsid w:val="19C93110"/>
    <w:rsid w:val="19EA1C79"/>
    <w:rsid w:val="19ED14C2"/>
    <w:rsid w:val="1A044EEB"/>
    <w:rsid w:val="1A054259"/>
    <w:rsid w:val="1A0B1ECE"/>
    <w:rsid w:val="1A1D13CE"/>
    <w:rsid w:val="1A3E3FD2"/>
    <w:rsid w:val="1A463AAE"/>
    <w:rsid w:val="1A647AA6"/>
    <w:rsid w:val="1A730652"/>
    <w:rsid w:val="1A900408"/>
    <w:rsid w:val="1A92267D"/>
    <w:rsid w:val="1AAC106D"/>
    <w:rsid w:val="1B001645"/>
    <w:rsid w:val="1B2B0BBF"/>
    <w:rsid w:val="1B3A60CA"/>
    <w:rsid w:val="1B3F00A2"/>
    <w:rsid w:val="1B447C2F"/>
    <w:rsid w:val="1B5429D1"/>
    <w:rsid w:val="1B693E41"/>
    <w:rsid w:val="1B7F6005"/>
    <w:rsid w:val="1B817B11"/>
    <w:rsid w:val="1B853F20"/>
    <w:rsid w:val="1B9117B8"/>
    <w:rsid w:val="1BBA3EF4"/>
    <w:rsid w:val="1BD4384B"/>
    <w:rsid w:val="1BD65B53"/>
    <w:rsid w:val="1C033448"/>
    <w:rsid w:val="1C130F0B"/>
    <w:rsid w:val="1C132CB9"/>
    <w:rsid w:val="1C1A7743"/>
    <w:rsid w:val="1C1D3C95"/>
    <w:rsid w:val="1C4C6431"/>
    <w:rsid w:val="1C733B0C"/>
    <w:rsid w:val="1CA81298"/>
    <w:rsid w:val="1CA953F1"/>
    <w:rsid w:val="1CAC52FE"/>
    <w:rsid w:val="1CAF30F6"/>
    <w:rsid w:val="1CC35819"/>
    <w:rsid w:val="1CCC26CA"/>
    <w:rsid w:val="1CF158BE"/>
    <w:rsid w:val="1CFB2DB0"/>
    <w:rsid w:val="1CFE7798"/>
    <w:rsid w:val="1D1A225E"/>
    <w:rsid w:val="1D487BE5"/>
    <w:rsid w:val="1D5433E7"/>
    <w:rsid w:val="1D837902"/>
    <w:rsid w:val="1D8D7CE0"/>
    <w:rsid w:val="1D981010"/>
    <w:rsid w:val="1DA43059"/>
    <w:rsid w:val="1DB1592C"/>
    <w:rsid w:val="1DB962C9"/>
    <w:rsid w:val="1DBA1B7C"/>
    <w:rsid w:val="1DC41552"/>
    <w:rsid w:val="1DD872DE"/>
    <w:rsid w:val="1DE00A85"/>
    <w:rsid w:val="1DE30600"/>
    <w:rsid w:val="1E016C3A"/>
    <w:rsid w:val="1E0A719A"/>
    <w:rsid w:val="1E1D7435"/>
    <w:rsid w:val="1E2A568D"/>
    <w:rsid w:val="1E592A17"/>
    <w:rsid w:val="1E5B310E"/>
    <w:rsid w:val="1E5C71EF"/>
    <w:rsid w:val="1E65349D"/>
    <w:rsid w:val="1E6B2B45"/>
    <w:rsid w:val="1E867134"/>
    <w:rsid w:val="1E945211"/>
    <w:rsid w:val="1E9D6342"/>
    <w:rsid w:val="1EA16D63"/>
    <w:rsid w:val="1EE35DEE"/>
    <w:rsid w:val="1F1422DA"/>
    <w:rsid w:val="1F474538"/>
    <w:rsid w:val="1F557221"/>
    <w:rsid w:val="1F605CBA"/>
    <w:rsid w:val="1F6C66AA"/>
    <w:rsid w:val="1F74548C"/>
    <w:rsid w:val="1FA8565C"/>
    <w:rsid w:val="1FBA4841"/>
    <w:rsid w:val="1FBD574A"/>
    <w:rsid w:val="1FC13713"/>
    <w:rsid w:val="1FC90D7B"/>
    <w:rsid w:val="1FD13886"/>
    <w:rsid w:val="1FD13AB4"/>
    <w:rsid w:val="1FE057CD"/>
    <w:rsid w:val="1FE42F59"/>
    <w:rsid w:val="20083B9F"/>
    <w:rsid w:val="20150EA2"/>
    <w:rsid w:val="201B4F87"/>
    <w:rsid w:val="201D58DF"/>
    <w:rsid w:val="2044661B"/>
    <w:rsid w:val="20464E9A"/>
    <w:rsid w:val="204E6676"/>
    <w:rsid w:val="20583F06"/>
    <w:rsid w:val="20615B8C"/>
    <w:rsid w:val="20642183"/>
    <w:rsid w:val="20687056"/>
    <w:rsid w:val="20735F0F"/>
    <w:rsid w:val="208C614E"/>
    <w:rsid w:val="20973200"/>
    <w:rsid w:val="20B721C4"/>
    <w:rsid w:val="20C0060C"/>
    <w:rsid w:val="20DF0F13"/>
    <w:rsid w:val="20E736E7"/>
    <w:rsid w:val="20E8749C"/>
    <w:rsid w:val="20EE73D2"/>
    <w:rsid w:val="21012F40"/>
    <w:rsid w:val="21092478"/>
    <w:rsid w:val="21095D97"/>
    <w:rsid w:val="212042BB"/>
    <w:rsid w:val="2123024A"/>
    <w:rsid w:val="214B6D79"/>
    <w:rsid w:val="21525DBF"/>
    <w:rsid w:val="21550432"/>
    <w:rsid w:val="216531A6"/>
    <w:rsid w:val="218D690B"/>
    <w:rsid w:val="2195668B"/>
    <w:rsid w:val="21A2788C"/>
    <w:rsid w:val="21B75A2D"/>
    <w:rsid w:val="21BE5AD4"/>
    <w:rsid w:val="21DD3E5D"/>
    <w:rsid w:val="21DD5F3A"/>
    <w:rsid w:val="21F75F55"/>
    <w:rsid w:val="21F916C7"/>
    <w:rsid w:val="221241FE"/>
    <w:rsid w:val="22186699"/>
    <w:rsid w:val="22200BBC"/>
    <w:rsid w:val="22404957"/>
    <w:rsid w:val="225C4EBE"/>
    <w:rsid w:val="2265730A"/>
    <w:rsid w:val="22717051"/>
    <w:rsid w:val="22747631"/>
    <w:rsid w:val="2280131A"/>
    <w:rsid w:val="228D4589"/>
    <w:rsid w:val="229051C4"/>
    <w:rsid w:val="22940798"/>
    <w:rsid w:val="22B54F2B"/>
    <w:rsid w:val="22CF3E6E"/>
    <w:rsid w:val="22D46EB5"/>
    <w:rsid w:val="22E85FB9"/>
    <w:rsid w:val="22EC5A20"/>
    <w:rsid w:val="22F331F3"/>
    <w:rsid w:val="22FE758E"/>
    <w:rsid w:val="23081A49"/>
    <w:rsid w:val="23144DC5"/>
    <w:rsid w:val="2347444D"/>
    <w:rsid w:val="234C3925"/>
    <w:rsid w:val="2363596B"/>
    <w:rsid w:val="238B4B3D"/>
    <w:rsid w:val="238F6B97"/>
    <w:rsid w:val="23A82BC6"/>
    <w:rsid w:val="23BD76DD"/>
    <w:rsid w:val="23C37331"/>
    <w:rsid w:val="23D02315"/>
    <w:rsid w:val="23D50180"/>
    <w:rsid w:val="23E729CB"/>
    <w:rsid w:val="23F12715"/>
    <w:rsid w:val="23F864A4"/>
    <w:rsid w:val="24316D71"/>
    <w:rsid w:val="24532184"/>
    <w:rsid w:val="2454327B"/>
    <w:rsid w:val="245C52F8"/>
    <w:rsid w:val="2463385E"/>
    <w:rsid w:val="246E555F"/>
    <w:rsid w:val="24757790"/>
    <w:rsid w:val="24785134"/>
    <w:rsid w:val="249D68EB"/>
    <w:rsid w:val="249E52DD"/>
    <w:rsid w:val="24A33BCA"/>
    <w:rsid w:val="24A9092E"/>
    <w:rsid w:val="24CC3D54"/>
    <w:rsid w:val="24D1153E"/>
    <w:rsid w:val="24D364D0"/>
    <w:rsid w:val="24E450D2"/>
    <w:rsid w:val="250D568B"/>
    <w:rsid w:val="25123669"/>
    <w:rsid w:val="25134332"/>
    <w:rsid w:val="25523E31"/>
    <w:rsid w:val="255E7DBD"/>
    <w:rsid w:val="257E508F"/>
    <w:rsid w:val="25B97BFA"/>
    <w:rsid w:val="25C26D3D"/>
    <w:rsid w:val="260964FD"/>
    <w:rsid w:val="260A3037"/>
    <w:rsid w:val="26107CB7"/>
    <w:rsid w:val="263F44B2"/>
    <w:rsid w:val="26432F2D"/>
    <w:rsid w:val="26524772"/>
    <w:rsid w:val="26637B78"/>
    <w:rsid w:val="26653CC0"/>
    <w:rsid w:val="26733472"/>
    <w:rsid w:val="26833286"/>
    <w:rsid w:val="26835002"/>
    <w:rsid w:val="268763EA"/>
    <w:rsid w:val="26940F76"/>
    <w:rsid w:val="26BF5712"/>
    <w:rsid w:val="26C518A3"/>
    <w:rsid w:val="270843CB"/>
    <w:rsid w:val="27446F61"/>
    <w:rsid w:val="274D22B4"/>
    <w:rsid w:val="27573BE3"/>
    <w:rsid w:val="275A7D71"/>
    <w:rsid w:val="27646849"/>
    <w:rsid w:val="27687814"/>
    <w:rsid w:val="276F0187"/>
    <w:rsid w:val="276F721E"/>
    <w:rsid w:val="27716BD0"/>
    <w:rsid w:val="278437C8"/>
    <w:rsid w:val="27876A02"/>
    <w:rsid w:val="27936550"/>
    <w:rsid w:val="27AB7429"/>
    <w:rsid w:val="27AF16DA"/>
    <w:rsid w:val="27BD6F85"/>
    <w:rsid w:val="27C83887"/>
    <w:rsid w:val="27D120F7"/>
    <w:rsid w:val="27D326CF"/>
    <w:rsid w:val="27E708CA"/>
    <w:rsid w:val="27EB032C"/>
    <w:rsid w:val="27F072B0"/>
    <w:rsid w:val="28030384"/>
    <w:rsid w:val="280704EC"/>
    <w:rsid w:val="2813114F"/>
    <w:rsid w:val="28232708"/>
    <w:rsid w:val="2828049F"/>
    <w:rsid w:val="285C053E"/>
    <w:rsid w:val="286D3FF4"/>
    <w:rsid w:val="2893671D"/>
    <w:rsid w:val="28A10779"/>
    <w:rsid w:val="28A33239"/>
    <w:rsid w:val="28CD3C07"/>
    <w:rsid w:val="28D032B1"/>
    <w:rsid w:val="28D1259E"/>
    <w:rsid w:val="28DE250F"/>
    <w:rsid w:val="28EF451D"/>
    <w:rsid w:val="28F30310"/>
    <w:rsid w:val="290A3A6A"/>
    <w:rsid w:val="29137A41"/>
    <w:rsid w:val="29291D65"/>
    <w:rsid w:val="29400F36"/>
    <w:rsid w:val="29897853"/>
    <w:rsid w:val="29AC0F26"/>
    <w:rsid w:val="29AE38C8"/>
    <w:rsid w:val="29BA23FE"/>
    <w:rsid w:val="29C53D2A"/>
    <w:rsid w:val="29CA425D"/>
    <w:rsid w:val="29D75229"/>
    <w:rsid w:val="29FA7F26"/>
    <w:rsid w:val="29FE2654"/>
    <w:rsid w:val="2A063193"/>
    <w:rsid w:val="2A1F52CB"/>
    <w:rsid w:val="2A22125C"/>
    <w:rsid w:val="2A244C3F"/>
    <w:rsid w:val="2A3B54E9"/>
    <w:rsid w:val="2A9E04FD"/>
    <w:rsid w:val="2A9F05E2"/>
    <w:rsid w:val="2AAD2833"/>
    <w:rsid w:val="2ABC0E76"/>
    <w:rsid w:val="2AD67ED7"/>
    <w:rsid w:val="2AE32A79"/>
    <w:rsid w:val="2AF21386"/>
    <w:rsid w:val="2AF97C72"/>
    <w:rsid w:val="2B01716D"/>
    <w:rsid w:val="2B0F6EBD"/>
    <w:rsid w:val="2B1D493B"/>
    <w:rsid w:val="2B401394"/>
    <w:rsid w:val="2B492BDE"/>
    <w:rsid w:val="2B4D6886"/>
    <w:rsid w:val="2B5E31C0"/>
    <w:rsid w:val="2B640C8E"/>
    <w:rsid w:val="2B774832"/>
    <w:rsid w:val="2B79224A"/>
    <w:rsid w:val="2B800489"/>
    <w:rsid w:val="2B993AB9"/>
    <w:rsid w:val="2BA30300"/>
    <w:rsid w:val="2BE20B3E"/>
    <w:rsid w:val="2BFC7923"/>
    <w:rsid w:val="2C095925"/>
    <w:rsid w:val="2C284025"/>
    <w:rsid w:val="2C3114F8"/>
    <w:rsid w:val="2C4B78E8"/>
    <w:rsid w:val="2C58138B"/>
    <w:rsid w:val="2C5B2EC9"/>
    <w:rsid w:val="2C697CEB"/>
    <w:rsid w:val="2C6A6D90"/>
    <w:rsid w:val="2C6B3A91"/>
    <w:rsid w:val="2C752DA3"/>
    <w:rsid w:val="2C7C4169"/>
    <w:rsid w:val="2C88108A"/>
    <w:rsid w:val="2CC95FCA"/>
    <w:rsid w:val="2CCE7FD7"/>
    <w:rsid w:val="2CD5521B"/>
    <w:rsid w:val="2CD94C3E"/>
    <w:rsid w:val="2CDF4EA7"/>
    <w:rsid w:val="2CED15B4"/>
    <w:rsid w:val="2D3A72F3"/>
    <w:rsid w:val="2D6246E4"/>
    <w:rsid w:val="2D6343AB"/>
    <w:rsid w:val="2D671735"/>
    <w:rsid w:val="2D7336D4"/>
    <w:rsid w:val="2D737381"/>
    <w:rsid w:val="2D9B0B74"/>
    <w:rsid w:val="2D9E7F15"/>
    <w:rsid w:val="2DB34D95"/>
    <w:rsid w:val="2DD85A96"/>
    <w:rsid w:val="2DDB7390"/>
    <w:rsid w:val="2E0B71A3"/>
    <w:rsid w:val="2E43495E"/>
    <w:rsid w:val="2E565144"/>
    <w:rsid w:val="2E5D1918"/>
    <w:rsid w:val="2E682BDC"/>
    <w:rsid w:val="2E773632"/>
    <w:rsid w:val="2E7F787B"/>
    <w:rsid w:val="2E867B02"/>
    <w:rsid w:val="2E9061BF"/>
    <w:rsid w:val="2E9F5DA8"/>
    <w:rsid w:val="2EB14206"/>
    <w:rsid w:val="2EC47799"/>
    <w:rsid w:val="2EE66A86"/>
    <w:rsid w:val="2EEA7F54"/>
    <w:rsid w:val="2EF30977"/>
    <w:rsid w:val="2EF41560"/>
    <w:rsid w:val="2EF95F20"/>
    <w:rsid w:val="2EFA141C"/>
    <w:rsid w:val="2F014680"/>
    <w:rsid w:val="2F035019"/>
    <w:rsid w:val="2F1251F2"/>
    <w:rsid w:val="2F1C393F"/>
    <w:rsid w:val="2F3F6809"/>
    <w:rsid w:val="2F4417B7"/>
    <w:rsid w:val="2F7518BF"/>
    <w:rsid w:val="2F803241"/>
    <w:rsid w:val="2F8116F2"/>
    <w:rsid w:val="2F8345A8"/>
    <w:rsid w:val="2F8D1148"/>
    <w:rsid w:val="2F910C1D"/>
    <w:rsid w:val="2F9F3D57"/>
    <w:rsid w:val="2FA82443"/>
    <w:rsid w:val="2FAF16DA"/>
    <w:rsid w:val="2FC57BE8"/>
    <w:rsid w:val="2FCB5ADE"/>
    <w:rsid w:val="2FFA7AC5"/>
    <w:rsid w:val="30031FDD"/>
    <w:rsid w:val="300471D7"/>
    <w:rsid w:val="300566B8"/>
    <w:rsid w:val="300C4C48"/>
    <w:rsid w:val="300D7B07"/>
    <w:rsid w:val="301278AD"/>
    <w:rsid w:val="3017626D"/>
    <w:rsid w:val="301F1E4E"/>
    <w:rsid w:val="302D7908"/>
    <w:rsid w:val="307F4F1F"/>
    <w:rsid w:val="30874E1F"/>
    <w:rsid w:val="308C701E"/>
    <w:rsid w:val="309416D4"/>
    <w:rsid w:val="30962F3E"/>
    <w:rsid w:val="30A654F0"/>
    <w:rsid w:val="30BB37E0"/>
    <w:rsid w:val="30D17E68"/>
    <w:rsid w:val="30DC7A4A"/>
    <w:rsid w:val="30FE3A51"/>
    <w:rsid w:val="30FF2795"/>
    <w:rsid w:val="310817B5"/>
    <w:rsid w:val="31107606"/>
    <w:rsid w:val="312C11FC"/>
    <w:rsid w:val="312D28B6"/>
    <w:rsid w:val="3150061A"/>
    <w:rsid w:val="3152339D"/>
    <w:rsid w:val="31584DCB"/>
    <w:rsid w:val="31817431"/>
    <w:rsid w:val="318F7EFC"/>
    <w:rsid w:val="319D2272"/>
    <w:rsid w:val="31CB01CF"/>
    <w:rsid w:val="31CC550E"/>
    <w:rsid w:val="31D4027E"/>
    <w:rsid w:val="31E76D7F"/>
    <w:rsid w:val="31F036E6"/>
    <w:rsid w:val="31F2731A"/>
    <w:rsid w:val="320D3149"/>
    <w:rsid w:val="32106114"/>
    <w:rsid w:val="32176A24"/>
    <w:rsid w:val="323803A0"/>
    <w:rsid w:val="326E24EC"/>
    <w:rsid w:val="32733F4B"/>
    <w:rsid w:val="3294240B"/>
    <w:rsid w:val="32991C81"/>
    <w:rsid w:val="329A6ACE"/>
    <w:rsid w:val="32B70A3D"/>
    <w:rsid w:val="32C91568"/>
    <w:rsid w:val="32DB4306"/>
    <w:rsid w:val="32FF6B7F"/>
    <w:rsid w:val="3301415B"/>
    <w:rsid w:val="333F0D74"/>
    <w:rsid w:val="33405271"/>
    <w:rsid w:val="33417B61"/>
    <w:rsid w:val="33450A95"/>
    <w:rsid w:val="334C1A6F"/>
    <w:rsid w:val="33620994"/>
    <w:rsid w:val="3366407B"/>
    <w:rsid w:val="338618AC"/>
    <w:rsid w:val="33872D84"/>
    <w:rsid w:val="3394726C"/>
    <w:rsid w:val="339F3C26"/>
    <w:rsid w:val="33C01B2B"/>
    <w:rsid w:val="33E06F61"/>
    <w:rsid w:val="33F20E3B"/>
    <w:rsid w:val="33F251AE"/>
    <w:rsid w:val="33F25759"/>
    <w:rsid w:val="33F431B2"/>
    <w:rsid w:val="33F910E1"/>
    <w:rsid w:val="33FF2C18"/>
    <w:rsid w:val="3417519C"/>
    <w:rsid w:val="34406BE8"/>
    <w:rsid w:val="34433C6F"/>
    <w:rsid w:val="345D6540"/>
    <w:rsid w:val="3471669F"/>
    <w:rsid w:val="34720C52"/>
    <w:rsid w:val="347B0435"/>
    <w:rsid w:val="347F074C"/>
    <w:rsid w:val="34D63724"/>
    <w:rsid w:val="34DC0476"/>
    <w:rsid w:val="34DE539B"/>
    <w:rsid w:val="34EC78FB"/>
    <w:rsid w:val="34ED3E28"/>
    <w:rsid w:val="34F4460A"/>
    <w:rsid w:val="34FE4E33"/>
    <w:rsid w:val="3542702B"/>
    <w:rsid w:val="354F6505"/>
    <w:rsid w:val="355C5C30"/>
    <w:rsid w:val="35735AB0"/>
    <w:rsid w:val="358B286A"/>
    <w:rsid w:val="359267D1"/>
    <w:rsid w:val="35BD0748"/>
    <w:rsid w:val="35C83B50"/>
    <w:rsid w:val="35D532B1"/>
    <w:rsid w:val="35E47058"/>
    <w:rsid w:val="35FB6B76"/>
    <w:rsid w:val="360B1D73"/>
    <w:rsid w:val="3619296A"/>
    <w:rsid w:val="361F3323"/>
    <w:rsid w:val="362867BF"/>
    <w:rsid w:val="362D7D64"/>
    <w:rsid w:val="365353DA"/>
    <w:rsid w:val="365E7106"/>
    <w:rsid w:val="36622E5A"/>
    <w:rsid w:val="36992D78"/>
    <w:rsid w:val="36A2390A"/>
    <w:rsid w:val="36BF4A21"/>
    <w:rsid w:val="36CA6C81"/>
    <w:rsid w:val="36D262F5"/>
    <w:rsid w:val="36DC1D7A"/>
    <w:rsid w:val="36E67011"/>
    <w:rsid w:val="36E93760"/>
    <w:rsid w:val="370F6234"/>
    <w:rsid w:val="37187BEB"/>
    <w:rsid w:val="371C2DB5"/>
    <w:rsid w:val="37222E3D"/>
    <w:rsid w:val="37343502"/>
    <w:rsid w:val="373634F9"/>
    <w:rsid w:val="37541C7E"/>
    <w:rsid w:val="375739E5"/>
    <w:rsid w:val="37652A07"/>
    <w:rsid w:val="376951C2"/>
    <w:rsid w:val="37716352"/>
    <w:rsid w:val="3784394E"/>
    <w:rsid w:val="378E47A3"/>
    <w:rsid w:val="37B86311"/>
    <w:rsid w:val="3808179B"/>
    <w:rsid w:val="38306900"/>
    <w:rsid w:val="383541BC"/>
    <w:rsid w:val="383B1564"/>
    <w:rsid w:val="38542505"/>
    <w:rsid w:val="387430BB"/>
    <w:rsid w:val="387736A4"/>
    <w:rsid w:val="388A2DE1"/>
    <w:rsid w:val="38AE3BB0"/>
    <w:rsid w:val="38CB7858"/>
    <w:rsid w:val="38D76C3A"/>
    <w:rsid w:val="38EA38A8"/>
    <w:rsid w:val="38EE5F1F"/>
    <w:rsid w:val="39047288"/>
    <w:rsid w:val="390F5A4C"/>
    <w:rsid w:val="391E2D64"/>
    <w:rsid w:val="39306F40"/>
    <w:rsid w:val="393422C6"/>
    <w:rsid w:val="39367F70"/>
    <w:rsid w:val="393E5422"/>
    <w:rsid w:val="393F59EC"/>
    <w:rsid w:val="39414487"/>
    <w:rsid w:val="39473D66"/>
    <w:rsid w:val="395C7DC0"/>
    <w:rsid w:val="398858C0"/>
    <w:rsid w:val="399A0924"/>
    <w:rsid w:val="39A14C78"/>
    <w:rsid w:val="39BB0C81"/>
    <w:rsid w:val="39C82AE2"/>
    <w:rsid w:val="39CF1F7D"/>
    <w:rsid w:val="39D67290"/>
    <w:rsid w:val="3A026BF2"/>
    <w:rsid w:val="3A0E1777"/>
    <w:rsid w:val="3A1131D2"/>
    <w:rsid w:val="3A1A0A06"/>
    <w:rsid w:val="3A2B6321"/>
    <w:rsid w:val="3A505E74"/>
    <w:rsid w:val="3A8B4B94"/>
    <w:rsid w:val="3A8D1659"/>
    <w:rsid w:val="3A96251C"/>
    <w:rsid w:val="3AA4620D"/>
    <w:rsid w:val="3AA641CB"/>
    <w:rsid w:val="3AB2754D"/>
    <w:rsid w:val="3ACB5746"/>
    <w:rsid w:val="3AEC16D9"/>
    <w:rsid w:val="3B0F0CED"/>
    <w:rsid w:val="3B1376BF"/>
    <w:rsid w:val="3B18059B"/>
    <w:rsid w:val="3B2E4BF0"/>
    <w:rsid w:val="3B3B10D9"/>
    <w:rsid w:val="3B3C14D8"/>
    <w:rsid w:val="3B481E1D"/>
    <w:rsid w:val="3B561D2E"/>
    <w:rsid w:val="3B6F73F0"/>
    <w:rsid w:val="3B821F8B"/>
    <w:rsid w:val="3B944E5A"/>
    <w:rsid w:val="3BA00A05"/>
    <w:rsid w:val="3BB20883"/>
    <w:rsid w:val="3BBB4FAA"/>
    <w:rsid w:val="3BBD2D5F"/>
    <w:rsid w:val="3BBF6D31"/>
    <w:rsid w:val="3BCF59DF"/>
    <w:rsid w:val="3BDD3DF6"/>
    <w:rsid w:val="3BF4670E"/>
    <w:rsid w:val="3C0F7315"/>
    <w:rsid w:val="3C241A8D"/>
    <w:rsid w:val="3C3C0E22"/>
    <w:rsid w:val="3C47033F"/>
    <w:rsid w:val="3C5F44DF"/>
    <w:rsid w:val="3C604D5F"/>
    <w:rsid w:val="3C71437C"/>
    <w:rsid w:val="3C751B18"/>
    <w:rsid w:val="3C932B60"/>
    <w:rsid w:val="3CD70293"/>
    <w:rsid w:val="3CF25993"/>
    <w:rsid w:val="3D114392"/>
    <w:rsid w:val="3D1D669C"/>
    <w:rsid w:val="3D3C0F91"/>
    <w:rsid w:val="3D3E003B"/>
    <w:rsid w:val="3D53448E"/>
    <w:rsid w:val="3D566E05"/>
    <w:rsid w:val="3D572567"/>
    <w:rsid w:val="3D623F90"/>
    <w:rsid w:val="3D696F2C"/>
    <w:rsid w:val="3D7A5A59"/>
    <w:rsid w:val="3D8B05D0"/>
    <w:rsid w:val="3DA8275C"/>
    <w:rsid w:val="3DB43B33"/>
    <w:rsid w:val="3DB93ACC"/>
    <w:rsid w:val="3DBB3D08"/>
    <w:rsid w:val="3DC27F2C"/>
    <w:rsid w:val="3DD64737"/>
    <w:rsid w:val="3DDF04A7"/>
    <w:rsid w:val="3DE3424D"/>
    <w:rsid w:val="3DF0568B"/>
    <w:rsid w:val="3DFA62E7"/>
    <w:rsid w:val="3E0F3230"/>
    <w:rsid w:val="3E0F777C"/>
    <w:rsid w:val="3E11467C"/>
    <w:rsid w:val="3E123AC8"/>
    <w:rsid w:val="3E124AE0"/>
    <w:rsid w:val="3E2D0D5E"/>
    <w:rsid w:val="3E420401"/>
    <w:rsid w:val="3E441C7D"/>
    <w:rsid w:val="3E645EAB"/>
    <w:rsid w:val="3E667511"/>
    <w:rsid w:val="3E87427E"/>
    <w:rsid w:val="3E8E6CB7"/>
    <w:rsid w:val="3E916C15"/>
    <w:rsid w:val="3EA011C8"/>
    <w:rsid w:val="3EC57398"/>
    <w:rsid w:val="3EC750DC"/>
    <w:rsid w:val="3ED25246"/>
    <w:rsid w:val="3EDD449D"/>
    <w:rsid w:val="3EF736A6"/>
    <w:rsid w:val="3EFE7717"/>
    <w:rsid w:val="3F190972"/>
    <w:rsid w:val="3F2B53F6"/>
    <w:rsid w:val="3F3D0D92"/>
    <w:rsid w:val="3F497473"/>
    <w:rsid w:val="3F4A4BA2"/>
    <w:rsid w:val="3F562F06"/>
    <w:rsid w:val="3F5E004C"/>
    <w:rsid w:val="3F673ADC"/>
    <w:rsid w:val="3F7935A3"/>
    <w:rsid w:val="3F96543E"/>
    <w:rsid w:val="3F9F5CD2"/>
    <w:rsid w:val="3FA661A3"/>
    <w:rsid w:val="3FA70F37"/>
    <w:rsid w:val="3FBA7BB7"/>
    <w:rsid w:val="3FC04CC5"/>
    <w:rsid w:val="3FC37158"/>
    <w:rsid w:val="3FC956FF"/>
    <w:rsid w:val="3FD07AC1"/>
    <w:rsid w:val="3FD71CDD"/>
    <w:rsid w:val="3FD94F77"/>
    <w:rsid w:val="3FDD4694"/>
    <w:rsid w:val="3FEA0478"/>
    <w:rsid w:val="3FEB59DE"/>
    <w:rsid w:val="3FEE73CB"/>
    <w:rsid w:val="3FEF0C27"/>
    <w:rsid w:val="401C6494"/>
    <w:rsid w:val="401E7A7A"/>
    <w:rsid w:val="402220F3"/>
    <w:rsid w:val="402C5F6F"/>
    <w:rsid w:val="404D633A"/>
    <w:rsid w:val="40573579"/>
    <w:rsid w:val="40574F4A"/>
    <w:rsid w:val="40947491"/>
    <w:rsid w:val="40A36A71"/>
    <w:rsid w:val="40C54A69"/>
    <w:rsid w:val="40C916CE"/>
    <w:rsid w:val="40D77A59"/>
    <w:rsid w:val="40E13F25"/>
    <w:rsid w:val="40E63AE3"/>
    <w:rsid w:val="40EE5453"/>
    <w:rsid w:val="40F24C79"/>
    <w:rsid w:val="40F62714"/>
    <w:rsid w:val="40F70178"/>
    <w:rsid w:val="40FB6B41"/>
    <w:rsid w:val="410E4736"/>
    <w:rsid w:val="41167500"/>
    <w:rsid w:val="41235C5C"/>
    <w:rsid w:val="4125142C"/>
    <w:rsid w:val="414C6DC9"/>
    <w:rsid w:val="4150670F"/>
    <w:rsid w:val="41672264"/>
    <w:rsid w:val="4167334E"/>
    <w:rsid w:val="417B023E"/>
    <w:rsid w:val="41A06235"/>
    <w:rsid w:val="41AB514D"/>
    <w:rsid w:val="41AB7860"/>
    <w:rsid w:val="41AE0DA7"/>
    <w:rsid w:val="41BB0EF8"/>
    <w:rsid w:val="41D3631F"/>
    <w:rsid w:val="41D56BBE"/>
    <w:rsid w:val="41DE098A"/>
    <w:rsid w:val="41E357B9"/>
    <w:rsid w:val="41EB45BD"/>
    <w:rsid w:val="41F466FD"/>
    <w:rsid w:val="420C3131"/>
    <w:rsid w:val="421A068E"/>
    <w:rsid w:val="42391C72"/>
    <w:rsid w:val="423D5B37"/>
    <w:rsid w:val="42500B82"/>
    <w:rsid w:val="425554D7"/>
    <w:rsid w:val="42601A1C"/>
    <w:rsid w:val="4260395B"/>
    <w:rsid w:val="4274077B"/>
    <w:rsid w:val="427B42E4"/>
    <w:rsid w:val="428B32C7"/>
    <w:rsid w:val="429E7CA8"/>
    <w:rsid w:val="42A67A24"/>
    <w:rsid w:val="42D846B9"/>
    <w:rsid w:val="42DB3261"/>
    <w:rsid w:val="42DE3219"/>
    <w:rsid w:val="42EE1A7C"/>
    <w:rsid w:val="42F94D73"/>
    <w:rsid w:val="43196AEF"/>
    <w:rsid w:val="433D45DB"/>
    <w:rsid w:val="435756B9"/>
    <w:rsid w:val="436605D4"/>
    <w:rsid w:val="437B0C4E"/>
    <w:rsid w:val="437D54BB"/>
    <w:rsid w:val="439524AA"/>
    <w:rsid w:val="439A2CC1"/>
    <w:rsid w:val="43AF1FBF"/>
    <w:rsid w:val="43BD04CB"/>
    <w:rsid w:val="43BD6876"/>
    <w:rsid w:val="43C560F4"/>
    <w:rsid w:val="43C65B5D"/>
    <w:rsid w:val="43CC187E"/>
    <w:rsid w:val="43E1138F"/>
    <w:rsid w:val="43EE7375"/>
    <w:rsid w:val="43FC49E3"/>
    <w:rsid w:val="43FD2F2B"/>
    <w:rsid w:val="44026F0F"/>
    <w:rsid w:val="440D25AB"/>
    <w:rsid w:val="440D5045"/>
    <w:rsid w:val="445C1C96"/>
    <w:rsid w:val="446C282A"/>
    <w:rsid w:val="446D7220"/>
    <w:rsid w:val="448875B1"/>
    <w:rsid w:val="448C6892"/>
    <w:rsid w:val="44911D0E"/>
    <w:rsid w:val="44A07D89"/>
    <w:rsid w:val="44A63C45"/>
    <w:rsid w:val="44A84EFF"/>
    <w:rsid w:val="44AA2537"/>
    <w:rsid w:val="44C659AB"/>
    <w:rsid w:val="44F17E5B"/>
    <w:rsid w:val="44F662CA"/>
    <w:rsid w:val="45004669"/>
    <w:rsid w:val="45242C1D"/>
    <w:rsid w:val="452938B5"/>
    <w:rsid w:val="45385570"/>
    <w:rsid w:val="453872E3"/>
    <w:rsid w:val="453F49D7"/>
    <w:rsid w:val="454E4B43"/>
    <w:rsid w:val="4550163C"/>
    <w:rsid w:val="455129BB"/>
    <w:rsid w:val="45553C44"/>
    <w:rsid w:val="45643327"/>
    <w:rsid w:val="45915C76"/>
    <w:rsid w:val="4599614F"/>
    <w:rsid w:val="45A03958"/>
    <w:rsid w:val="45A64E9E"/>
    <w:rsid w:val="45AC5FA5"/>
    <w:rsid w:val="45B80DC7"/>
    <w:rsid w:val="45BE6191"/>
    <w:rsid w:val="45BF5D8E"/>
    <w:rsid w:val="45C82359"/>
    <w:rsid w:val="45D223A1"/>
    <w:rsid w:val="45E212A0"/>
    <w:rsid w:val="45E45EFA"/>
    <w:rsid w:val="45F27DD9"/>
    <w:rsid w:val="46010CB2"/>
    <w:rsid w:val="460C5979"/>
    <w:rsid w:val="462F6229"/>
    <w:rsid w:val="463522AA"/>
    <w:rsid w:val="46400250"/>
    <w:rsid w:val="4650103F"/>
    <w:rsid w:val="467C1DCC"/>
    <w:rsid w:val="467D5C29"/>
    <w:rsid w:val="4684563E"/>
    <w:rsid w:val="46A44486"/>
    <w:rsid w:val="46CF43E5"/>
    <w:rsid w:val="46D33878"/>
    <w:rsid w:val="46DC371A"/>
    <w:rsid w:val="46E84040"/>
    <w:rsid w:val="46ED2A7E"/>
    <w:rsid w:val="472154D3"/>
    <w:rsid w:val="47243903"/>
    <w:rsid w:val="47384688"/>
    <w:rsid w:val="47420ACA"/>
    <w:rsid w:val="474D775C"/>
    <w:rsid w:val="474F3371"/>
    <w:rsid w:val="47626D84"/>
    <w:rsid w:val="476402F9"/>
    <w:rsid w:val="47C01792"/>
    <w:rsid w:val="47C07054"/>
    <w:rsid w:val="47C40ECF"/>
    <w:rsid w:val="47C76BA7"/>
    <w:rsid w:val="47CB1144"/>
    <w:rsid w:val="47CF5519"/>
    <w:rsid w:val="47DE4A4B"/>
    <w:rsid w:val="47E240A3"/>
    <w:rsid w:val="4808150F"/>
    <w:rsid w:val="480F5DBF"/>
    <w:rsid w:val="48246304"/>
    <w:rsid w:val="482A533A"/>
    <w:rsid w:val="483213E3"/>
    <w:rsid w:val="483F0F50"/>
    <w:rsid w:val="48452330"/>
    <w:rsid w:val="487763C9"/>
    <w:rsid w:val="48873CA1"/>
    <w:rsid w:val="48962726"/>
    <w:rsid w:val="48B5617A"/>
    <w:rsid w:val="48B86F0D"/>
    <w:rsid w:val="48BB4158"/>
    <w:rsid w:val="48BD557C"/>
    <w:rsid w:val="49143CF0"/>
    <w:rsid w:val="491B5DA3"/>
    <w:rsid w:val="49334111"/>
    <w:rsid w:val="494668C3"/>
    <w:rsid w:val="494F75D4"/>
    <w:rsid w:val="495274AB"/>
    <w:rsid w:val="495E192D"/>
    <w:rsid w:val="495F1074"/>
    <w:rsid w:val="497C38F2"/>
    <w:rsid w:val="49973ED1"/>
    <w:rsid w:val="49992347"/>
    <w:rsid w:val="499943C1"/>
    <w:rsid w:val="49D0193A"/>
    <w:rsid w:val="49D44EB7"/>
    <w:rsid w:val="49E9233D"/>
    <w:rsid w:val="49EA336A"/>
    <w:rsid w:val="49FF5BDA"/>
    <w:rsid w:val="4A011123"/>
    <w:rsid w:val="4A050504"/>
    <w:rsid w:val="4A1D2508"/>
    <w:rsid w:val="4A4857E4"/>
    <w:rsid w:val="4A500A47"/>
    <w:rsid w:val="4A760731"/>
    <w:rsid w:val="4A7B54D1"/>
    <w:rsid w:val="4A8C5264"/>
    <w:rsid w:val="4A91485C"/>
    <w:rsid w:val="4A996106"/>
    <w:rsid w:val="4AAD1944"/>
    <w:rsid w:val="4AC31003"/>
    <w:rsid w:val="4ACD13AF"/>
    <w:rsid w:val="4AD63754"/>
    <w:rsid w:val="4ADC4DC7"/>
    <w:rsid w:val="4AE0074C"/>
    <w:rsid w:val="4AE93159"/>
    <w:rsid w:val="4AF81EAF"/>
    <w:rsid w:val="4AFE06C7"/>
    <w:rsid w:val="4B035163"/>
    <w:rsid w:val="4B063066"/>
    <w:rsid w:val="4B155921"/>
    <w:rsid w:val="4B2D01D6"/>
    <w:rsid w:val="4B463BE7"/>
    <w:rsid w:val="4B5519B1"/>
    <w:rsid w:val="4B914E22"/>
    <w:rsid w:val="4BA65A9E"/>
    <w:rsid w:val="4BB64519"/>
    <w:rsid w:val="4BD0339A"/>
    <w:rsid w:val="4BD45173"/>
    <w:rsid w:val="4BD91E1B"/>
    <w:rsid w:val="4BDE7077"/>
    <w:rsid w:val="4BEA46D3"/>
    <w:rsid w:val="4C233E56"/>
    <w:rsid w:val="4C505F58"/>
    <w:rsid w:val="4C84592C"/>
    <w:rsid w:val="4C9F6E3E"/>
    <w:rsid w:val="4CB30E8A"/>
    <w:rsid w:val="4CC66885"/>
    <w:rsid w:val="4CDE0BF1"/>
    <w:rsid w:val="4CEE2FE8"/>
    <w:rsid w:val="4CFA3574"/>
    <w:rsid w:val="4D0D5330"/>
    <w:rsid w:val="4D165B45"/>
    <w:rsid w:val="4D200648"/>
    <w:rsid w:val="4D462159"/>
    <w:rsid w:val="4D494984"/>
    <w:rsid w:val="4D5C5FAC"/>
    <w:rsid w:val="4D7026F9"/>
    <w:rsid w:val="4D783937"/>
    <w:rsid w:val="4D796563"/>
    <w:rsid w:val="4DA471FA"/>
    <w:rsid w:val="4DBF3520"/>
    <w:rsid w:val="4DC605B6"/>
    <w:rsid w:val="4DE8647C"/>
    <w:rsid w:val="4DE95FFE"/>
    <w:rsid w:val="4DEC0985"/>
    <w:rsid w:val="4DFB299D"/>
    <w:rsid w:val="4E021438"/>
    <w:rsid w:val="4E06555F"/>
    <w:rsid w:val="4E0B23DC"/>
    <w:rsid w:val="4E21088B"/>
    <w:rsid w:val="4E27683A"/>
    <w:rsid w:val="4E2F06C3"/>
    <w:rsid w:val="4E60747F"/>
    <w:rsid w:val="4E670969"/>
    <w:rsid w:val="4E6F3B2E"/>
    <w:rsid w:val="4E775574"/>
    <w:rsid w:val="4E815066"/>
    <w:rsid w:val="4E825FE1"/>
    <w:rsid w:val="4EB263A5"/>
    <w:rsid w:val="4EB6519D"/>
    <w:rsid w:val="4EB80640"/>
    <w:rsid w:val="4EBD7739"/>
    <w:rsid w:val="4EBF59D7"/>
    <w:rsid w:val="4EC24407"/>
    <w:rsid w:val="4ECA78AC"/>
    <w:rsid w:val="4EF92759"/>
    <w:rsid w:val="4F062385"/>
    <w:rsid w:val="4F0C5DE7"/>
    <w:rsid w:val="4F1D1740"/>
    <w:rsid w:val="4F245E83"/>
    <w:rsid w:val="4F2765B1"/>
    <w:rsid w:val="4F285975"/>
    <w:rsid w:val="4F3E132E"/>
    <w:rsid w:val="4F3E6F93"/>
    <w:rsid w:val="4F503F63"/>
    <w:rsid w:val="4FA75F34"/>
    <w:rsid w:val="4FA775FE"/>
    <w:rsid w:val="4FBC4859"/>
    <w:rsid w:val="4FD145C3"/>
    <w:rsid w:val="50292DAE"/>
    <w:rsid w:val="503437E9"/>
    <w:rsid w:val="504745F9"/>
    <w:rsid w:val="50581CA4"/>
    <w:rsid w:val="50677ABD"/>
    <w:rsid w:val="50841662"/>
    <w:rsid w:val="50AF264A"/>
    <w:rsid w:val="50CC13AC"/>
    <w:rsid w:val="50D43615"/>
    <w:rsid w:val="50E32A8A"/>
    <w:rsid w:val="50EB0A87"/>
    <w:rsid w:val="5100265D"/>
    <w:rsid w:val="512D37EA"/>
    <w:rsid w:val="51383C97"/>
    <w:rsid w:val="51634B98"/>
    <w:rsid w:val="516C2222"/>
    <w:rsid w:val="5175128E"/>
    <w:rsid w:val="51796EDE"/>
    <w:rsid w:val="51867298"/>
    <w:rsid w:val="519439EB"/>
    <w:rsid w:val="51A754A4"/>
    <w:rsid w:val="51B56802"/>
    <w:rsid w:val="51BA1BD7"/>
    <w:rsid w:val="51C6376F"/>
    <w:rsid w:val="51C64AA7"/>
    <w:rsid w:val="51CA5AF8"/>
    <w:rsid w:val="51CE69CD"/>
    <w:rsid w:val="51D36BA1"/>
    <w:rsid w:val="52152F69"/>
    <w:rsid w:val="52195EDF"/>
    <w:rsid w:val="52313387"/>
    <w:rsid w:val="5234294D"/>
    <w:rsid w:val="527D50DB"/>
    <w:rsid w:val="52842FC4"/>
    <w:rsid w:val="52B70CE8"/>
    <w:rsid w:val="52C15317"/>
    <w:rsid w:val="52D043B2"/>
    <w:rsid w:val="52DC1ADB"/>
    <w:rsid w:val="52E04D27"/>
    <w:rsid w:val="52F21180"/>
    <w:rsid w:val="52FE706D"/>
    <w:rsid w:val="530D4118"/>
    <w:rsid w:val="530E3985"/>
    <w:rsid w:val="53133D7F"/>
    <w:rsid w:val="531F4DB7"/>
    <w:rsid w:val="532049AA"/>
    <w:rsid w:val="533A497A"/>
    <w:rsid w:val="534750B2"/>
    <w:rsid w:val="53561C56"/>
    <w:rsid w:val="535A4F60"/>
    <w:rsid w:val="537C393E"/>
    <w:rsid w:val="5389465B"/>
    <w:rsid w:val="539A390F"/>
    <w:rsid w:val="53C441B0"/>
    <w:rsid w:val="53CA1266"/>
    <w:rsid w:val="53CC2497"/>
    <w:rsid w:val="53DB3477"/>
    <w:rsid w:val="53F7289B"/>
    <w:rsid w:val="5418371F"/>
    <w:rsid w:val="547471FE"/>
    <w:rsid w:val="547E6147"/>
    <w:rsid w:val="548A16D1"/>
    <w:rsid w:val="549048B8"/>
    <w:rsid w:val="549710CF"/>
    <w:rsid w:val="54AF6B42"/>
    <w:rsid w:val="54CC1A43"/>
    <w:rsid w:val="54CD1541"/>
    <w:rsid w:val="54E85C46"/>
    <w:rsid w:val="54EE2B11"/>
    <w:rsid w:val="552C6CE5"/>
    <w:rsid w:val="553C373A"/>
    <w:rsid w:val="5543733F"/>
    <w:rsid w:val="5544700E"/>
    <w:rsid w:val="55612587"/>
    <w:rsid w:val="55671713"/>
    <w:rsid w:val="556903B3"/>
    <w:rsid w:val="55A54A6B"/>
    <w:rsid w:val="55C238E0"/>
    <w:rsid w:val="55DD6F2A"/>
    <w:rsid w:val="55EA6FB7"/>
    <w:rsid w:val="560038A7"/>
    <w:rsid w:val="5607675C"/>
    <w:rsid w:val="560F1962"/>
    <w:rsid w:val="5622308A"/>
    <w:rsid w:val="563B6259"/>
    <w:rsid w:val="563D2701"/>
    <w:rsid w:val="56486A48"/>
    <w:rsid w:val="564F1961"/>
    <w:rsid w:val="56654271"/>
    <w:rsid w:val="566711A4"/>
    <w:rsid w:val="566F49CD"/>
    <w:rsid w:val="569824BF"/>
    <w:rsid w:val="56AF0675"/>
    <w:rsid w:val="56B84A3B"/>
    <w:rsid w:val="56BA1F35"/>
    <w:rsid w:val="56BB1404"/>
    <w:rsid w:val="56E23970"/>
    <w:rsid w:val="56EC1AF6"/>
    <w:rsid w:val="56FA5CE9"/>
    <w:rsid w:val="571238D5"/>
    <w:rsid w:val="57133FBE"/>
    <w:rsid w:val="57264B5D"/>
    <w:rsid w:val="574B1D04"/>
    <w:rsid w:val="574F0776"/>
    <w:rsid w:val="575E1504"/>
    <w:rsid w:val="576066CB"/>
    <w:rsid w:val="576A7D0A"/>
    <w:rsid w:val="577A3C7D"/>
    <w:rsid w:val="578218F7"/>
    <w:rsid w:val="578A2CE2"/>
    <w:rsid w:val="578F220A"/>
    <w:rsid w:val="57975DAF"/>
    <w:rsid w:val="57B6013F"/>
    <w:rsid w:val="57D5313D"/>
    <w:rsid w:val="57DC7CC8"/>
    <w:rsid w:val="57EA1532"/>
    <w:rsid w:val="57F80414"/>
    <w:rsid w:val="57FC07D9"/>
    <w:rsid w:val="58104A79"/>
    <w:rsid w:val="581A6D0E"/>
    <w:rsid w:val="58500F22"/>
    <w:rsid w:val="58546326"/>
    <w:rsid w:val="58552662"/>
    <w:rsid w:val="58750BBA"/>
    <w:rsid w:val="588B6ED5"/>
    <w:rsid w:val="58963E76"/>
    <w:rsid w:val="589C7682"/>
    <w:rsid w:val="58D6067B"/>
    <w:rsid w:val="58D74CE8"/>
    <w:rsid w:val="58DD6594"/>
    <w:rsid w:val="591C0009"/>
    <w:rsid w:val="594C0799"/>
    <w:rsid w:val="59535E11"/>
    <w:rsid w:val="59653F72"/>
    <w:rsid w:val="596F537C"/>
    <w:rsid w:val="597467AF"/>
    <w:rsid w:val="597B53CB"/>
    <w:rsid w:val="59827129"/>
    <w:rsid w:val="59934D2B"/>
    <w:rsid w:val="5996164F"/>
    <w:rsid w:val="59A564C8"/>
    <w:rsid w:val="59A97FD2"/>
    <w:rsid w:val="59C64CD9"/>
    <w:rsid w:val="59D13F28"/>
    <w:rsid w:val="59D369B9"/>
    <w:rsid w:val="59E20335"/>
    <w:rsid w:val="59E55C05"/>
    <w:rsid w:val="59FC5F3C"/>
    <w:rsid w:val="5A195D50"/>
    <w:rsid w:val="5A207C3A"/>
    <w:rsid w:val="5A4C6435"/>
    <w:rsid w:val="5A6859E9"/>
    <w:rsid w:val="5A686A4F"/>
    <w:rsid w:val="5A7E35F5"/>
    <w:rsid w:val="5A8715C6"/>
    <w:rsid w:val="5A8772BF"/>
    <w:rsid w:val="5A97012B"/>
    <w:rsid w:val="5AB35369"/>
    <w:rsid w:val="5AB92CDE"/>
    <w:rsid w:val="5ABE7512"/>
    <w:rsid w:val="5ACF0F3A"/>
    <w:rsid w:val="5AF5506C"/>
    <w:rsid w:val="5AF77B9B"/>
    <w:rsid w:val="5B0E6543"/>
    <w:rsid w:val="5B0F5B78"/>
    <w:rsid w:val="5B317CFB"/>
    <w:rsid w:val="5B4D3894"/>
    <w:rsid w:val="5B50113C"/>
    <w:rsid w:val="5B544E3B"/>
    <w:rsid w:val="5B6F6842"/>
    <w:rsid w:val="5B84695F"/>
    <w:rsid w:val="5B8A3E97"/>
    <w:rsid w:val="5B967B3B"/>
    <w:rsid w:val="5B9A3CB5"/>
    <w:rsid w:val="5B9C77D4"/>
    <w:rsid w:val="5BBE5693"/>
    <w:rsid w:val="5BCC25C3"/>
    <w:rsid w:val="5BD956F6"/>
    <w:rsid w:val="5C4C7245"/>
    <w:rsid w:val="5C514478"/>
    <w:rsid w:val="5C65288C"/>
    <w:rsid w:val="5C6666E8"/>
    <w:rsid w:val="5C6B1600"/>
    <w:rsid w:val="5C74626A"/>
    <w:rsid w:val="5C921AD0"/>
    <w:rsid w:val="5C9D69BA"/>
    <w:rsid w:val="5CBC5C00"/>
    <w:rsid w:val="5CBD0902"/>
    <w:rsid w:val="5CC84336"/>
    <w:rsid w:val="5CCE33B6"/>
    <w:rsid w:val="5CCF59D5"/>
    <w:rsid w:val="5CD506FB"/>
    <w:rsid w:val="5CEC0852"/>
    <w:rsid w:val="5CF11F4D"/>
    <w:rsid w:val="5D066D1F"/>
    <w:rsid w:val="5D134559"/>
    <w:rsid w:val="5D203F7A"/>
    <w:rsid w:val="5D207B0F"/>
    <w:rsid w:val="5D285D09"/>
    <w:rsid w:val="5D3075C4"/>
    <w:rsid w:val="5D39279C"/>
    <w:rsid w:val="5D437858"/>
    <w:rsid w:val="5D5107F3"/>
    <w:rsid w:val="5D7C23B9"/>
    <w:rsid w:val="5D7F292D"/>
    <w:rsid w:val="5D932F89"/>
    <w:rsid w:val="5D9C5D46"/>
    <w:rsid w:val="5DC14B77"/>
    <w:rsid w:val="5DD42AD0"/>
    <w:rsid w:val="5DDE4F94"/>
    <w:rsid w:val="5DF07A97"/>
    <w:rsid w:val="5DF560E0"/>
    <w:rsid w:val="5DF73B4F"/>
    <w:rsid w:val="5DF91DE1"/>
    <w:rsid w:val="5DFD51DB"/>
    <w:rsid w:val="5E0C3B8C"/>
    <w:rsid w:val="5E0D36E5"/>
    <w:rsid w:val="5E0E3CD2"/>
    <w:rsid w:val="5E3F3062"/>
    <w:rsid w:val="5E546C81"/>
    <w:rsid w:val="5E9968F0"/>
    <w:rsid w:val="5EAE0AD0"/>
    <w:rsid w:val="5EC93EB0"/>
    <w:rsid w:val="5ED26EDC"/>
    <w:rsid w:val="5ED907FA"/>
    <w:rsid w:val="5EDC2CC4"/>
    <w:rsid w:val="5F0C163E"/>
    <w:rsid w:val="5F187C26"/>
    <w:rsid w:val="5F322C3C"/>
    <w:rsid w:val="5F530978"/>
    <w:rsid w:val="5F7E7711"/>
    <w:rsid w:val="5F952355"/>
    <w:rsid w:val="5F9C1FB9"/>
    <w:rsid w:val="5FA2234E"/>
    <w:rsid w:val="5FB63550"/>
    <w:rsid w:val="5FBF1522"/>
    <w:rsid w:val="5FC57511"/>
    <w:rsid w:val="5FC930FE"/>
    <w:rsid w:val="5FD21896"/>
    <w:rsid w:val="5FFB63BC"/>
    <w:rsid w:val="60046FC0"/>
    <w:rsid w:val="60056F5B"/>
    <w:rsid w:val="600C28B1"/>
    <w:rsid w:val="60210F40"/>
    <w:rsid w:val="602247F3"/>
    <w:rsid w:val="60290171"/>
    <w:rsid w:val="60311C0F"/>
    <w:rsid w:val="603C0C30"/>
    <w:rsid w:val="604743EF"/>
    <w:rsid w:val="604B29AE"/>
    <w:rsid w:val="604F434E"/>
    <w:rsid w:val="60537CF0"/>
    <w:rsid w:val="6058204E"/>
    <w:rsid w:val="605B76AF"/>
    <w:rsid w:val="60751866"/>
    <w:rsid w:val="607C3753"/>
    <w:rsid w:val="60833AD5"/>
    <w:rsid w:val="60884BAA"/>
    <w:rsid w:val="609524A2"/>
    <w:rsid w:val="609D66B7"/>
    <w:rsid w:val="60AB572C"/>
    <w:rsid w:val="60C17A6F"/>
    <w:rsid w:val="60C30855"/>
    <w:rsid w:val="60DC11BD"/>
    <w:rsid w:val="60E82D61"/>
    <w:rsid w:val="60FB7009"/>
    <w:rsid w:val="60FD6A8A"/>
    <w:rsid w:val="610A1A87"/>
    <w:rsid w:val="610A746C"/>
    <w:rsid w:val="611B643B"/>
    <w:rsid w:val="611E7A14"/>
    <w:rsid w:val="611F0AEA"/>
    <w:rsid w:val="61421EFD"/>
    <w:rsid w:val="615B5C49"/>
    <w:rsid w:val="615C5041"/>
    <w:rsid w:val="61701990"/>
    <w:rsid w:val="61774E66"/>
    <w:rsid w:val="61775C7A"/>
    <w:rsid w:val="617A7B9B"/>
    <w:rsid w:val="6185781D"/>
    <w:rsid w:val="61A114F4"/>
    <w:rsid w:val="61A35093"/>
    <w:rsid w:val="61F446AD"/>
    <w:rsid w:val="621606EA"/>
    <w:rsid w:val="624D3D13"/>
    <w:rsid w:val="62800DB8"/>
    <w:rsid w:val="62871256"/>
    <w:rsid w:val="62D95643"/>
    <w:rsid w:val="62FA658A"/>
    <w:rsid w:val="631E4ADB"/>
    <w:rsid w:val="63483DFC"/>
    <w:rsid w:val="634C10F1"/>
    <w:rsid w:val="634C2128"/>
    <w:rsid w:val="636D49EB"/>
    <w:rsid w:val="637B4FAA"/>
    <w:rsid w:val="63CD5B32"/>
    <w:rsid w:val="63EF611C"/>
    <w:rsid w:val="64283F1E"/>
    <w:rsid w:val="6430243A"/>
    <w:rsid w:val="644F1BEF"/>
    <w:rsid w:val="645E6098"/>
    <w:rsid w:val="64807DFF"/>
    <w:rsid w:val="64842805"/>
    <w:rsid w:val="64857194"/>
    <w:rsid w:val="648E6735"/>
    <w:rsid w:val="64A70841"/>
    <w:rsid w:val="64A932D9"/>
    <w:rsid w:val="64AA5B5E"/>
    <w:rsid w:val="64D160D4"/>
    <w:rsid w:val="64F72692"/>
    <w:rsid w:val="64F740A0"/>
    <w:rsid w:val="64F90E10"/>
    <w:rsid w:val="652416F2"/>
    <w:rsid w:val="652A51C3"/>
    <w:rsid w:val="652B4AE0"/>
    <w:rsid w:val="65602229"/>
    <w:rsid w:val="656D2999"/>
    <w:rsid w:val="65852DA9"/>
    <w:rsid w:val="65935921"/>
    <w:rsid w:val="659E0693"/>
    <w:rsid w:val="65E72847"/>
    <w:rsid w:val="66102965"/>
    <w:rsid w:val="661173A5"/>
    <w:rsid w:val="66142614"/>
    <w:rsid w:val="66210E38"/>
    <w:rsid w:val="662B5FED"/>
    <w:rsid w:val="663D17FB"/>
    <w:rsid w:val="664805B8"/>
    <w:rsid w:val="664F5AC6"/>
    <w:rsid w:val="66722FDA"/>
    <w:rsid w:val="669C7ACE"/>
    <w:rsid w:val="66AA236B"/>
    <w:rsid w:val="66AF2DA9"/>
    <w:rsid w:val="66B17833"/>
    <w:rsid w:val="66B25ED0"/>
    <w:rsid w:val="66C52CA9"/>
    <w:rsid w:val="66C61F93"/>
    <w:rsid w:val="66C97DE2"/>
    <w:rsid w:val="66CD16C2"/>
    <w:rsid w:val="66D508D3"/>
    <w:rsid w:val="66D77565"/>
    <w:rsid w:val="66D837EE"/>
    <w:rsid w:val="66DE161A"/>
    <w:rsid w:val="66DE3600"/>
    <w:rsid w:val="66E36CB3"/>
    <w:rsid w:val="66F107EF"/>
    <w:rsid w:val="66F76F7F"/>
    <w:rsid w:val="67097367"/>
    <w:rsid w:val="671647F0"/>
    <w:rsid w:val="671D1C28"/>
    <w:rsid w:val="67392B30"/>
    <w:rsid w:val="674E178E"/>
    <w:rsid w:val="67520E36"/>
    <w:rsid w:val="677E7790"/>
    <w:rsid w:val="67832303"/>
    <w:rsid w:val="67861B83"/>
    <w:rsid w:val="6786798A"/>
    <w:rsid w:val="678E43DB"/>
    <w:rsid w:val="67933837"/>
    <w:rsid w:val="67A80E85"/>
    <w:rsid w:val="67B346EE"/>
    <w:rsid w:val="67B71753"/>
    <w:rsid w:val="67B84889"/>
    <w:rsid w:val="67C15F14"/>
    <w:rsid w:val="67C80FE9"/>
    <w:rsid w:val="67C8561F"/>
    <w:rsid w:val="67CB73CE"/>
    <w:rsid w:val="67CE7B2D"/>
    <w:rsid w:val="67DA7BAF"/>
    <w:rsid w:val="67DE5128"/>
    <w:rsid w:val="67E26C11"/>
    <w:rsid w:val="68002D61"/>
    <w:rsid w:val="681B060F"/>
    <w:rsid w:val="68226A9C"/>
    <w:rsid w:val="682930E5"/>
    <w:rsid w:val="68CD2E64"/>
    <w:rsid w:val="68CE5E39"/>
    <w:rsid w:val="68DD2D2F"/>
    <w:rsid w:val="68DE1611"/>
    <w:rsid w:val="68E26EB0"/>
    <w:rsid w:val="68EF3F83"/>
    <w:rsid w:val="690F3E60"/>
    <w:rsid w:val="690F418B"/>
    <w:rsid w:val="694B6536"/>
    <w:rsid w:val="696D2FD1"/>
    <w:rsid w:val="699C063A"/>
    <w:rsid w:val="69BD0DA4"/>
    <w:rsid w:val="69C640E3"/>
    <w:rsid w:val="69CF5653"/>
    <w:rsid w:val="69E936D2"/>
    <w:rsid w:val="6A1E481C"/>
    <w:rsid w:val="6A2068B5"/>
    <w:rsid w:val="6A2451CA"/>
    <w:rsid w:val="6A2558BD"/>
    <w:rsid w:val="6A430ACC"/>
    <w:rsid w:val="6A453B2B"/>
    <w:rsid w:val="6A460340"/>
    <w:rsid w:val="6A4C71EC"/>
    <w:rsid w:val="6A565B23"/>
    <w:rsid w:val="6A7A2736"/>
    <w:rsid w:val="6A7B4B9C"/>
    <w:rsid w:val="6A84592E"/>
    <w:rsid w:val="6A865A9C"/>
    <w:rsid w:val="6AA03DCE"/>
    <w:rsid w:val="6AB75DB6"/>
    <w:rsid w:val="6ABD3008"/>
    <w:rsid w:val="6ABE33FF"/>
    <w:rsid w:val="6AC21F74"/>
    <w:rsid w:val="6AC64760"/>
    <w:rsid w:val="6AE043A0"/>
    <w:rsid w:val="6AE24669"/>
    <w:rsid w:val="6AFF1904"/>
    <w:rsid w:val="6B0B3D28"/>
    <w:rsid w:val="6B222A71"/>
    <w:rsid w:val="6B4B0939"/>
    <w:rsid w:val="6B852B82"/>
    <w:rsid w:val="6B8C7B08"/>
    <w:rsid w:val="6B8E644D"/>
    <w:rsid w:val="6B90417B"/>
    <w:rsid w:val="6B984555"/>
    <w:rsid w:val="6BA118CB"/>
    <w:rsid w:val="6BA32495"/>
    <w:rsid w:val="6BB575E0"/>
    <w:rsid w:val="6BC07BDD"/>
    <w:rsid w:val="6BDC41B8"/>
    <w:rsid w:val="6BE50618"/>
    <w:rsid w:val="6BFB2387"/>
    <w:rsid w:val="6C1F5441"/>
    <w:rsid w:val="6C2507CF"/>
    <w:rsid w:val="6C2C6374"/>
    <w:rsid w:val="6C4C16E1"/>
    <w:rsid w:val="6C6B2E5D"/>
    <w:rsid w:val="6C706368"/>
    <w:rsid w:val="6C89456C"/>
    <w:rsid w:val="6CA9489E"/>
    <w:rsid w:val="6CAF1D1B"/>
    <w:rsid w:val="6CC9334F"/>
    <w:rsid w:val="6CD93433"/>
    <w:rsid w:val="6CDC3BF5"/>
    <w:rsid w:val="6CDF685C"/>
    <w:rsid w:val="6CEE7EEA"/>
    <w:rsid w:val="6CFD1382"/>
    <w:rsid w:val="6D0E63FD"/>
    <w:rsid w:val="6D1608F9"/>
    <w:rsid w:val="6D1A69F7"/>
    <w:rsid w:val="6D1B6FEA"/>
    <w:rsid w:val="6D2C35A0"/>
    <w:rsid w:val="6D43317B"/>
    <w:rsid w:val="6D4E221F"/>
    <w:rsid w:val="6D526AEA"/>
    <w:rsid w:val="6D612F85"/>
    <w:rsid w:val="6D6353D3"/>
    <w:rsid w:val="6D6F47FD"/>
    <w:rsid w:val="6D763AB7"/>
    <w:rsid w:val="6D83784F"/>
    <w:rsid w:val="6D8555DF"/>
    <w:rsid w:val="6DA9560D"/>
    <w:rsid w:val="6DB371D6"/>
    <w:rsid w:val="6DB77EF3"/>
    <w:rsid w:val="6DBE08C8"/>
    <w:rsid w:val="6DDB16D3"/>
    <w:rsid w:val="6DE00F35"/>
    <w:rsid w:val="6DEF4204"/>
    <w:rsid w:val="6E007EEC"/>
    <w:rsid w:val="6E0C5549"/>
    <w:rsid w:val="6E234ADC"/>
    <w:rsid w:val="6E351FF2"/>
    <w:rsid w:val="6E370744"/>
    <w:rsid w:val="6E381F2C"/>
    <w:rsid w:val="6E910E63"/>
    <w:rsid w:val="6E965D7B"/>
    <w:rsid w:val="6EB60A57"/>
    <w:rsid w:val="6EC915AC"/>
    <w:rsid w:val="6ED7047B"/>
    <w:rsid w:val="6EE97079"/>
    <w:rsid w:val="6EEB786C"/>
    <w:rsid w:val="6F022B15"/>
    <w:rsid w:val="6F145A36"/>
    <w:rsid w:val="6F1A2493"/>
    <w:rsid w:val="6F2008A9"/>
    <w:rsid w:val="6F2150D5"/>
    <w:rsid w:val="6F24515E"/>
    <w:rsid w:val="6F335E7F"/>
    <w:rsid w:val="6F3535CE"/>
    <w:rsid w:val="6F370A3A"/>
    <w:rsid w:val="6F467914"/>
    <w:rsid w:val="6F4A774C"/>
    <w:rsid w:val="6F592CB0"/>
    <w:rsid w:val="6F5C4459"/>
    <w:rsid w:val="6F641FBE"/>
    <w:rsid w:val="6F752A52"/>
    <w:rsid w:val="6F8C0982"/>
    <w:rsid w:val="6F901B66"/>
    <w:rsid w:val="6F957829"/>
    <w:rsid w:val="6F971CA9"/>
    <w:rsid w:val="6F9D28F9"/>
    <w:rsid w:val="6FA629D4"/>
    <w:rsid w:val="6FD10552"/>
    <w:rsid w:val="6FD45B40"/>
    <w:rsid w:val="70244CBD"/>
    <w:rsid w:val="704522F9"/>
    <w:rsid w:val="704A0F91"/>
    <w:rsid w:val="70607A2E"/>
    <w:rsid w:val="706A0FBA"/>
    <w:rsid w:val="70B551C8"/>
    <w:rsid w:val="70B8093E"/>
    <w:rsid w:val="70B90E60"/>
    <w:rsid w:val="70BB2EF0"/>
    <w:rsid w:val="70BE5D64"/>
    <w:rsid w:val="70D016AF"/>
    <w:rsid w:val="70DC0AA4"/>
    <w:rsid w:val="70DE4403"/>
    <w:rsid w:val="70F01127"/>
    <w:rsid w:val="70F40EF3"/>
    <w:rsid w:val="71196CD2"/>
    <w:rsid w:val="711C79FD"/>
    <w:rsid w:val="712C7E41"/>
    <w:rsid w:val="714F2B10"/>
    <w:rsid w:val="717631D0"/>
    <w:rsid w:val="718B305D"/>
    <w:rsid w:val="719E73EB"/>
    <w:rsid w:val="71B557FA"/>
    <w:rsid w:val="71BA1A69"/>
    <w:rsid w:val="71D36091"/>
    <w:rsid w:val="72056B27"/>
    <w:rsid w:val="720A3E5D"/>
    <w:rsid w:val="720D0F5A"/>
    <w:rsid w:val="7231022E"/>
    <w:rsid w:val="7241154A"/>
    <w:rsid w:val="724C20E1"/>
    <w:rsid w:val="72520A5C"/>
    <w:rsid w:val="72650D2D"/>
    <w:rsid w:val="727964FE"/>
    <w:rsid w:val="72A90FF4"/>
    <w:rsid w:val="72B847CD"/>
    <w:rsid w:val="72C1546B"/>
    <w:rsid w:val="72C52C1F"/>
    <w:rsid w:val="72EB7520"/>
    <w:rsid w:val="72F67373"/>
    <w:rsid w:val="72FA46A1"/>
    <w:rsid w:val="72FC5649"/>
    <w:rsid w:val="730418F3"/>
    <w:rsid w:val="730D49C6"/>
    <w:rsid w:val="730D4F81"/>
    <w:rsid w:val="731176A5"/>
    <w:rsid w:val="73177F71"/>
    <w:rsid w:val="732C5792"/>
    <w:rsid w:val="734022C6"/>
    <w:rsid w:val="73455C21"/>
    <w:rsid w:val="734B447B"/>
    <w:rsid w:val="736432FA"/>
    <w:rsid w:val="73817121"/>
    <w:rsid w:val="7394450F"/>
    <w:rsid w:val="739756D4"/>
    <w:rsid w:val="73A44FF0"/>
    <w:rsid w:val="73BB1943"/>
    <w:rsid w:val="73BB76A6"/>
    <w:rsid w:val="73C16DC6"/>
    <w:rsid w:val="73D425F7"/>
    <w:rsid w:val="73D5727F"/>
    <w:rsid w:val="73DC3F3D"/>
    <w:rsid w:val="741D7214"/>
    <w:rsid w:val="74235503"/>
    <w:rsid w:val="743A1695"/>
    <w:rsid w:val="743A58C0"/>
    <w:rsid w:val="7444697F"/>
    <w:rsid w:val="74542A7F"/>
    <w:rsid w:val="74737FFD"/>
    <w:rsid w:val="74777AD6"/>
    <w:rsid w:val="747A0BEC"/>
    <w:rsid w:val="747A3DEE"/>
    <w:rsid w:val="747A5EA7"/>
    <w:rsid w:val="74A46546"/>
    <w:rsid w:val="74B10A6C"/>
    <w:rsid w:val="74E373ED"/>
    <w:rsid w:val="74EB1461"/>
    <w:rsid w:val="75021F46"/>
    <w:rsid w:val="7505476B"/>
    <w:rsid w:val="750A2023"/>
    <w:rsid w:val="75161558"/>
    <w:rsid w:val="75186425"/>
    <w:rsid w:val="75545E02"/>
    <w:rsid w:val="75546A24"/>
    <w:rsid w:val="755F747C"/>
    <w:rsid w:val="75634211"/>
    <w:rsid w:val="75672AFC"/>
    <w:rsid w:val="757E00B7"/>
    <w:rsid w:val="758519E9"/>
    <w:rsid w:val="75895838"/>
    <w:rsid w:val="759B118B"/>
    <w:rsid w:val="75C57CED"/>
    <w:rsid w:val="75CF1EFD"/>
    <w:rsid w:val="75E92500"/>
    <w:rsid w:val="75F50716"/>
    <w:rsid w:val="7601192A"/>
    <w:rsid w:val="76356303"/>
    <w:rsid w:val="763753C5"/>
    <w:rsid w:val="763E108B"/>
    <w:rsid w:val="76515E10"/>
    <w:rsid w:val="766679F1"/>
    <w:rsid w:val="766A278B"/>
    <w:rsid w:val="766E0562"/>
    <w:rsid w:val="767416C1"/>
    <w:rsid w:val="7676736A"/>
    <w:rsid w:val="767B0A8B"/>
    <w:rsid w:val="767B1D8E"/>
    <w:rsid w:val="767F7268"/>
    <w:rsid w:val="76933951"/>
    <w:rsid w:val="76A343AA"/>
    <w:rsid w:val="76B0156B"/>
    <w:rsid w:val="76C15E43"/>
    <w:rsid w:val="76CE5272"/>
    <w:rsid w:val="76D22801"/>
    <w:rsid w:val="76EA04FB"/>
    <w:rsid w:val="76F0204C"/>
    <w:rsid w:val="77026720"/>
    <w:rsid w:val="770F1241"/>
    <w:rsid w:val="7713316B"/>
    <w:rsid w:val="771D661B"/>
    <w:rsid w:val="771F7714"/>
    <w:rsid w:val="772F6F49"/>
    <w:rsid w:val="773858AE"/>
    <w:rsid w:val="77604BCB"/>
    <w:rsid w:val="776B23EC"/>
    <w:rsid w:val="776C17F1"/>
    <w:rsid w:val="778A0884"/>
    <w:rsid w:val="779448CC"/>
    <w:rsid w:val="77C01A62"/>
    <w:rsid w:val="77C47127"/>
    <w:rsid w:val="77C77827"/>
    <w:rsid w:val="77C931DD"/>
    <w:rsid w:val="77D25ABD"/>
    <w:rsid w:val="77D6598D"/>
    <w:rsid w:val="77F270AE"/>
    <w:rsid w:val="780C1FE1"/>
    <w:rsid w:val="78141F04"/>
    <w:rsid w:val="78323B18"/>
    <w:rsid w:val="78460C88"/>
    <w:rsid w:val="784E6ECB"/>
    <w:rsid w:val="786019DE"/>
    <w:rsid w:val="786862F1"/>
    <w:rsid w:val="786D5A24"/>
    <w:rsid w:val="7878243B"/>
    <w:rsid w:val="78782A0D"/>
    <w:rsid w:val="7883389A"/>
    <w:rsid w:val="7884239C"/>
    <w:rsid w:val="78D319C1"/>
    <w:rsid w:val="78D90469"/>
    <w:rsid w:val="78EA1020"/>
    <w:rsid w:val="78F92D89"/>
    <w:rsid w:val="78FB108A"/>
    <w:rsid w:val="790E76FB"/>
    <w:rsid w:val="791E3527"/>
    <w:rsid w:val="792C2671"/>
    <w:rsid w:val="793156E6"/>
    <w:rsid w:val="793A1E6E"/>
    <w:rsid w:val="793C4474"/>
    <w:rsid w:val="79632130"/>
    <w:rsid w:val="796F1495"/>
    <w:rsid w:val="79746717"/>
    <w:rsid w:val="79822D25"/>
    <w:rsid w:val="7991338C"/>
    <w:rsid w:val="79917105"/>
    <w:rsid w:val="79A2171F"/>
    <w:rsid w:val="79A252FF"/>
    <w:rsid w:val="79AB7A3D"/>
    <w:rsid w:val="79B61010"/>
    <w:rsid w:val="79B87B65"/>
    <w:rsid w:val="79B95530"/>
    <w:rsid w:val="79CE59E0"/>
    <w:rsid w:val="79CE6488"/>
    <w:rsid w:val="79D33056"/>
    <w:rsid w:val="79E1770B"/>
    <w:rsid w:val="79E30337"/>
    <w:rsid w:val="79E332AA"/>
    <w:rsid w:val="79F11422"/>
    <w:rsid w:val="79FE0955"/>
    <w:rsid w:val="7A0C3127"/>
    <w:rsid w:val="7A1537A0"/>
    <w:rsid w:val="7A3E0D3F"/>
    <w:rsid w:val="7A5D5C37"/>
    <w:rsid w:val="7A803312"/>
    <w:rsid w:val="7A8154E9"/>
    <w:rsid w:val="7A8C63E8"/>
    <w:rsid w:val="7A906CCD"/>
    <w:rsid w:val="7AAE0141"/>
    <w:rsid w:val="7AC64B17"/>
    <w:rsid w:val="7ACD61DC"/>
    <w:rsid w:val="7ADB2636"/>
    <w:rsid w:val="7AE206DA"/>
    <w:rsid w:val="7AE82AF6"/>
    <w:rsid w:val="7AF35686"/>
    <w:rsid w:val="7B065CDA"/>
    <w:rsid w:val="7B226C12"/>
    <w:rsid w:val="7B243496"/>
    <w:rsid w:val="7B2C38D3"/>
    <w:rsid w:val="7B420027"/>
    <w:rsid w:val="7B501FF0"/>
    <w:rsid w:val="7B6B27D9"/>
    <w:rsid w:val="7B74181A"/>
    <w:rsid w:val="7B84199A"/>
    <w:rsid w:val="7BB235DA"/>
    <w:rsid w:val="7BDD743A"/>
    <w:rsid w:val="7BED6CB5"/>
    <w:rsid w:val="7BF30AA2"/>
    <w:rsid w:val="7C26369C"/>
    <w:rsid w:val="7C396F20"/>
    <w:rsid w:val="7C805BA4"/>
    <w:rsid w:val="7C8868A5"/>
    <w:rsid w:val="7C934551"/>
    <w:rsid w:val="7C940F43"/>
    <w:rsid w:val="7C9E5A24"/>
    <w:rsid w:val="7CA31FF8"/>
    <w:rsid w:val="7CAA5930"/>
    <w:rsid w:val="7CAC00CB"/>
    <w:rsid w:val="7CC76BD4"/>
    <w:rsid w:val="7CCB1622"/>
    <w:rsid w:val="7CF03A72"/>
    <w:rsid w:val="7D022AC7"/>
    <w:rsid w:val="7D2D029F"/>
    <w:rsid w:val="7D551E35"/>
    <w:rsid w:val="7D575412"/>
    <w:rsid w:val="7D591D74"/>
    <w:rsid w:val="7D62117D"/>
    <w:rsid w:val="7D6B02A7"/>
    <w:rsid w:val="7DA30048"/>
    <w:rsid w:val="7DB54254"/>
    <w:rsid w:val="7DB5752C"/>
    <w:rsid w:val="7DB6724D"/>
    <w:rsid w:val="7DEC6235"/>
    <w:rsid w:val="7DF95E9C"/>
    <w:rsid w:val="7E03036B"/>
    <w:rsid w:val="7E053373"/>
    <w:rsid w:val="7E2042F7"/>
    <w:rsid w:val="7E334556"/>
    <w:rsid w:val="7E3E1EF2"/>
    <w:rsid w:val="7E4A1724"/>
    <w:rsid w:val="7E532923"/>
    <w:rsid w:val="7E951513"/>
    <w:rsid w:val="7EA11669"/>
    <w:rsid w:val="7EBC2810"/>
    <w:rsid w:val="7ECA5B8E"/>
    <w:rsid w:val="7EF6631E"/>
    <w:rsid w:val="7EF74FC9"/>
    <w:rsid w:val="7EFF7607"/>
    <w:rsid w:val="7F1B649D"/>
    <w:rsid w:val="7F2E5DCC"/>
    <w:rsid w:val="7F355D7B"/>
    <w:rsid w:val="7F40442A"/>
    <w:rsid w:val="7F5577B6"/>
    <w:rsid w:val="7F7339B4"/>
    <w:rsid w:val="7F78103F"/>
    <w:rsid w:val="7F91511A"/>
    <w:rsid w:val="7F98736F"/>
    <w:rsid w:val="7F9D0AE4"/>
    <w:rsid w:val="7FBB1557"/>
    <w:rsid w:val="7FBB2F58"/>
    <w:rsid w:val="7FD1130F"/>
    <w:rsid w:val="7FDF68AA"/>
    <w:rsid w:val="7FEA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name="header"/>
    <w:lsdException w:qFormat="1" w:uiPriority="99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7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38"/>
    <w:semiHidden/>
    <w:unhideWhenUsed/>
    <w:qFormat/>
    <w:uiPriority w:val="99"/>
    <w:pPr>
      <w:jc w:val="left"/>
    </w:p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9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semiHidden/>
    <w:qFormat/>
    <w:uiPriority w:val="0"/>
    <w:pPr>
      <w:tabs>
        <w:tab w:val="center" w:pos="4680"/>
        <w:tab w:val="right" w:pos="9360"/>
      </w:tabs>
    </w:pPr>
  </w:style>
  <w:style w:type="paragraph" w:styleId="12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3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4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16">
    <w:name w:val="annotation subject"/>
    <w:basedOn w:val="6"/>
    <w:next w:val="6"/>
    <w:link w:val="39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</w:rPr>
  </w:style>
  <w:style w:type="character" w:styleId="21">
    <w:name w:val="page number"/>
    <w:basedOn w:val="19"/>
    <w:semiHidden/>
    <w:qFormat/>
    <w:uiPriority w:val="0"/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qFormat/>
    <w:uiPriority w:val="99"/>
    <w:rPr>
      <w:sz w:val="16"/>
    </w:rPr>
  </w:style>
  <w:style w:type="character" w:customStyle="1" w:styleId="25">
    <w:name w:val="批注框文本 Char"/>
    <w:basedOn w:val="19"/>
    <w:link w:val="9"/>
    <w:semiHidden/>
    <w:qFormat/>
    <w:uiPriority w:val="99"/>
    <w:rPr>
      <w:kern w:val="2"/>
      <w:sz w:val="18"/>
      <w:szCs w:val="18"/>
    </w:rPr>
  </w:style>
  <w:style w:type="paragraph" w:customStyle="1" w:styleId="26">
    <w:name w:val="YJ-Proposal"/>
    <w:basedOn w:val="1"/>
    <w:qFormat/>
    <w:uiPriority w:val="0"/>
    <w:pPr>
      <w:numPr>
        <w:ilvl w:val="0"/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7">
    <w:name w:val="sub-proposal"/>
    <w:basedOn w:val="28"/>
    <w:next w:val="1"/>
    <w:qFormat/>
    <w:uiPriority w:val="0"/>
    <w:pPr>
      <w:numPr>
        <w:numId w:val="3"/>
      </w:numPr>
      <w:tabs>
        <w:tab w:val="left" w:pos="0"/>
        <w:tab w:val="left" w:pos="420"/>
        <w:tab w:val="left" w:pos="807"/>
      </w:tabs>
      <w:ind w:left="862" w:leftChars="200" w:hanging="442" w:hangingChars="200"/>
    </w:pPr>
  </w:style>
  <w:style w:type="paragraph" w:customStyle="1" w:styleId="28">
    <w:name w:val="ZTE-Proposal"/>
    <w:basedOn w:val="1"/>
    <w:qFormat/>
    <w:uiPriority w:val="0"/>
    <w:pPr>
      <w:numPr>
        <w:ilvl w:val="0"/>
        <w:numId w:val="4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9">
    <w:name w:val="ZTE-Observation"/>
    <w:basedOn w:val="28"/>
    <w:qFormat/>
    <w:uiPriority w:val="0"/>
    <w:pPr>
      <w:numPr>
        <w:ilvl w:val="0"/>
        <w:numId w:val="5"/>
      </w:numPr>
      <w:tabs>
        <w:tab w:val="left" w:pos="420"/>
      </w:tabs>
    </w:pPr>
  </w:style>
  <w:style w:type="paragraph" w:customStyle="1" w:styleId="30">
    <w:name w:val="sub-observation"/>
    <w:basedOn w:val="27"/>
    <w:next w:val="1"/>
    <w:qFormat/>
    <w:uiPriority w:val="0"/>
  </w:style>
  <w:style w:type="paragraph" w:customStyle="1" w:styleId="31">
    <w:name w:val="3rd level proposal"/>
    <w:basedOn w:val="27"/>
    <w:next w:val="1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2">
    <w:name w:val="3rd level observation"/>
    <w:basedOn w:val="30"/>
    <w:qFormat/>
    <w:uiPriority w:val="0"/>
    <w:pPr>
      <w:numPr>
        <w:ilvl w:val="0"/>
        <w:numId w:val="7"/>
      </w:numPr>
      <w:ind w:left="1282" w:leftChars="400" w:hanging="442"/>
    </w:pPr>
  </w:style>
  <w:style w:type="paragraph" w:customStyle="1" w:styleId="33">
    <w:name w:val="References"/>
    <w:basedOn w:val="1"/>
    <w:qFormat/>
    <w:uiPriority w:val="0"/>
    <w:pPr>
      <w:numPr>
        <w:ilvl w:val="0"/>
        <w:numId w:val="8"/>
      </w:numPr>
      <w:spacing w:after="60"/>
    </w:pPr>
    <w:rPr>
      <w:szCs w:val="16"/>
    </w:rPr>
  </w:style>
  <w:style w:type="paragraph" w:styleId="34">
    <w:name w:val="List Paragraph"/>
    <w:basedOn w:val="1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样式2"/>
    <w:basedOn w:val="1"/>
    <w:qFormat/>
    <w:uiPriority w:val="0"/>
  </w:style>
  <w:style w:type="character" w:customStyle="1" w:styleId="37">
    <w:name w:val="文档结构图 Char"/>
    <w:basedOn w:val="19"/>
    <w:link w:val="5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8">
    <w:name w:val="批注文字 Char"/>
    <w:basedOn w:val="19"/>
    <w:link w:val="6"/>
    <w:semiHidden/>
    <w:qFormat/>
    <w:uiPriority w:val="99"/>
    <w:rPr>
      <w:kern w:val="2"/>
      <w:sz w:val="21"/>
    </w:rPr>
  </w:style>
  <w:style w:type="character" w:customStyle="1" w:styleId="39">
    <w:name w:val="批注主题 Char"/>
    <w:basedOn w:val="38"/>
    <w:link w:val="16"/>
    <w:qFormat/>
    <w:uiPriority w:val="0"/>
    <w:rPr>
      <w:kern w:val="2"/>
      <w:sz w:val="21"/>
    </w:rPr>
  </w:style>
  <w:style w:type="paragraph" w:customStyle="1" w:styleId="40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41">
    <w:name w:val="main text"/>
    <w:basedOn w:val="1"/>
    <w:qFormat/>
    <w:uiPriority w:val="0"/>
    <w:pPr>
      <w:spacing w:before="60" w:after="60" w:line="288" w:lineRule="auto"/>
      <w:ind w:firstLine="200" w:firstLineChars="200"/>
    </w:pPr>
    <w:rPr>
      <w:rFonts w:eastAsia="Malgun Gothic"/>
      <w:lang w:eastAsia="ko-KR"/>
    </w:rPr>
  </w:style>
  <w:style w:type="character" w:customStyle="1" w:styleId="42">
    <w:name w:val="apple-converted-space"/>
    <w:qFormat/>
    <w:uiPriority w:val="0"/>
  </w:style>
  <w:style w:type="paragraph" w:customStyle="1" w:styleId="4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4">
    <w:name w:val="fontstyle01"/>
    <w:basedOn w:val="19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8">
    <w:name w:val="B2"/>
    <w:basedOn w:val="1"/>
    <w:qFormat/>
    <w:uiPriority w:val="0"/>
    <w:pPr>
      <w:ind w:left="851" w:hanging="284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929</Words>
  <Characters>5301</Characters>
  <Lines>44</Lines>
  <Paragraphs>12</Paragraphs>
  <TotalTime>1</TotalTime>
  <ScaleCrop>false</ScaleCrop>
  <LinksUpToDate>false</LinksUpToDate>
  <CharactersWithSpaces>6218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2021-01-17T13:40:00Z</dcterms:created>
  <dc:creator>ZTE</dc:creator>
  <cp:lastModifiedBy>Administrator</cp:lastModifiedBy>
  <dcterms:modified xsi:type="dcterms:W3CDTF">2022-02-10T06:44:15Z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