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FD26" w14:textId="77777777" w:rsidR="002E16EB" w:rsidRDefault="00273202">
      <w:pPr>
        <w:pStyle w:val="3GPPHeader"/>
        <w:spacing w:after="60"/>
        <w:rPr>
          <w:sz w:val="32"/>
          <w:szCs w:val="32"/>
        </w:rPr>
      </w:pPr>
      <w:r>
        <w:t>3GPP TSG-RAN WG1 Meeting #108-e</w:t>
      </w:r>
      <w:r>
        <w:tab/>
        <w:t>Draft R1-2202533</w:t>
      </w:r>
    </w:p>
    <w:p w14:paraId="1E1780DC" w14:textId="77777777" w:rsidR="002E16EB" w:rsidRDefault="00273202">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06B73A89" w14:textId="77777777" w:rsidR="002E16EB" w:rsidRDefault="002E16EB">
      <w:pPr>
        <w:pStyle w:val="3GPPHeader"/>
        <w:rPr>
          <w:sz w:val="22"/>
          <w:szCs w:val="20"/>
        </w:rPr>
      </w:pPr>
    </w:p>
    <w:p w14:paraId="3E4D5F9A" w14:textId="77777777" w:rsidR="002E16EB" w:rsidRDefault="00273202">
      <w:pPr>
        <w:pStyle w:val="3GPPHeader"/>
        <w:rPr>
          <w:sz w:val="20"/>
          <w:szCs w:val="20"/>
        </w:rPr>
      </w:pPr>
      <w:r>
        <w:rPr>
          <w:sz w:val="20"/>
          <w:szCs w:val="20"/>
        </w:rPr>
        <w:t>Agenda Item:</w:t>
      </w:r>
      <w:r>
        <w:rPr>
          <w:sz w:val="20"/>
          <w:szCs w:val="20"/>
        </w:rPr>
        <w:tab/>
        <w:t>8.6</w:t>
      </w:r>
    </w:p>
    <w:p w14:paraId="39597BE0" w14:textId="77777777" w:rsidR="002E16EB" w:rsidRDefault="00273202">
      <w:pPr>
        <w:pStyle w:val="3GPPHeader"/>
        <w:rPr>
          <w:sz w:val="20"/>
          <w:szCs w:val="20"/>
        </w:rPr>
      </w:pPr>
      <w:r>
        <w:rPr>
          <w:sz w:val="20"/>
          <w:szCs w:val="20"/>
        </w:rPr>
        <w:t>Title:</w:t>
      </w:r>
      <w:r>
        <w:rPr>
          <w:sz w:val="20"/>
          <w:szCs w:val="20"/>
        </w:rPr>
        <w:tab/>
        <w:t>FL summary on RAN1 RRC parameter list for Rel-17 NR RedCap</w:t>
      </w:r>
    </w:p>
    <w:p w14:paraId="38F20D8D" w14:textId="77777777" w:rsidR="002E16EB" w:rsidRDefault="00273202">
      <w:pPr>
        <w:pStyle w:val="3GPPHeader"/>
        <w:rPr>
          <w:sz w:val="20"/>
          <w:szCs w:val="20"/>
        </w:rPr>
      </w:pPr>
      <w:r>
        <w:rPr>
          <w:sz w:val="20"/>
          <w:szCs w:val="20"/>
        </w:rPr>
        <w:t>Source:</w:t>
      </w:r>
      <w:r>
        <w:rPr>
          <w:sz w:val="20"/>
          <w:szCs w:val="20"/>
        </w:rPr>
        <w:tab/>
        <w:t>Moderator (Ericsson)</w:t>
      </w:r>
    </w:p>
    <w:p w14:paraId="38FEB782" w14:textId="77777777" w:rsidR="002E16EB" w:rsidRDefault="00273202">
      <w:pPr>
        <w:pStyle w:val="3GPPHeader"/>
        <w:rPr>
          <w:sz w:val="20"/>
          <w:szCs w:val="20"/>
        </w:rPr>
      </w:pPr>
      <w:r>
        <w:rPr>
          <w:sz w:val="20"/>
          <w:szCs w:val="20"/>
        </w:rPr>
        <w:t>Document for:</w:t>
      </w:r>
      <w:r>
        <w:rPr>
          <w:sz w:val="20"/>
          <w:szCs w:val="20"/>
        </w:rPr>
        <w:tab/>
        <w:t>Discussion, Decision</w:t>
      </w:r>
    </w:p>
    <w:p w14:paraId="1ED2D58A" w14:textId="77777777" w:rsidR="002E16EB" w:rsidRDefault="00273202">
      <w:pPr>
        <w:pStyle w:val="Heading1"/>
      </w:pPr>
      <w:r>
        <w:t>1</w:t>
      </w:r>
      <w:r>
        <w:tab/>
        <w:t>Introduction</w:t>
      </w:r>
    </w:p>
    <w:p w14:paraId="1956C469" w14:textId="77777777" w:rsidR="002E16EB" w:rsidRDefault="0027320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2E16EB" w14:paraId="3536F52F" w14:textId="77777777">
        <w:tc>
          <w:tcPr>
            <w:tcW w:w="9630" w:type="dxa"/>
            <w:tcBorders>
              <w:top w:val="single" w:sz="4" w:space="0" w:color="auto"/>
              <w:left w:val="single" w:sz="4" w:space="0" w:color="auto"/>
              <w:bottom w:val="single" w:sz="4" w:space="0" w:color="auto"/>
              <w:right w:val="single" w:sz="4" w:space="0" w:color="auto"/>
            </w:tcBorders>
          </w:tcPr>
          <w:p w14:paraId="30B9A93E" w14:textId="77777777" w:rsidR="002E16EB" w:rsidRDefault="00273202">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D9E72BC"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22A46D84"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190A24EA" w14:textId="77777777" w:rsidR="002E16EB" w:rsidRDefault="002E16EB">
            <w:pPr>
              <w:spacing w:after="0" w:line="240" w:lineRule="auto"/>
              <w:rPr>
                <w:rFonts w:ascii="Times" w:eastAsia="Batang" w:hAnsi="Times" w:cs="Times New Roman"/>
                <w:szCs w:val="24"/>
                <w:highlight w:val="cyan"/>
                <w:lang w:val="en-GB"/>
              </w:rPr>
            </w:pPr>
          </w:p>
        </w:tc>
      </w:tr>
    </w:tbl>
    <w:p w14:paraId="1868CD31" w14:textId="77777777" w:rsidR="002E16EB" w:rsidRDefault="00273202">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07947E5C" w14:textId="77777777" w:rsidR="002E16EB" w:rsidRDefault="0027320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The issues that are in the focus of this round of the discussion are tagged </w:t>
      </w:r>
      <w:r>
        <w:rPr>
          <w:rFonts w:ascii="Times New Roman" w:eastAsia="Batang" w:hAnsi="Times New Roman" w:cs="Times New Roman"/>
          <w:color w:val="FF0000"/>
          <w:szCs w:val="20"/>
        </w:rPr>
        <w:t>FL2</w:t>
      </w:r>
      <w:r>
        <w:rPr>
          <w:rFonts w:ascii="Times New Roman" w:eastAsia="Batang" w:hAnsi="Times New Roman" w:cs="Times New Roman"/>
          <w:szCs w:val="20"/>
        </w:rPr>
        <w:t>.</w:t>
      </w:r>
    </w:p>
    <w:p w14:paraId="66C053AE" w14:textId="77777777" w:rsidR="002E16EB" w:rsidRDefault="0027320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B572641"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596388F8"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A8A6796"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0AB4C900"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48FC0DE" w14:textId="77777777" w:rsidR="002E16EB" w:rsidRDefault="0027320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9E6E382"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9B2CA6B"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B0C3CB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F8139A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B8C9B8C"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381D55"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FCA06B1" w14:textId="77777777" w:rsidR="002E16EB" w:rsidRDefault="0027320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746F92B5" w14:textId="77777777" w:rsidR="002E16EB" w:rsidRDefault="0027320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75C24DC" w14:textId="77777777" w:rsidR="002E16EB" w:rsidRDefault="00273202">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E16EB" w14:paraId="076DA7B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EF68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51E9E"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B4715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2E16EB" w14:paraId="510C4255" w14:textId="77777777">
        <w:tc>
          <w:tcPr>
            <w:tcW w:w="2263" w:type="dxa"/>
            <w:tcBorders>
              <w:top w:val="single" w:sz="4" w:space="0" w:color="auto"/>
              <w:left w:val="single" w:sz="4" w:space="0" w:color="auto"/>
              <w:bottom w:val="single" w:sz="4" w:space="0" w:color="auto"/>
              <w:right w:val="single" w:sz="4" w:space="0" w:color="auto"/>
            </w:tcBorders>
          </w:tcPr>
          <w:p w14:paraId="14C81AC2" w14:textId="77777777"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5BB740F1" w14:textId="77777777"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20434DCC" w14:textId="77777777"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debdeep.chatterjee@intel.com</w:t>
            </w:r>
          </w:p>
        </w:tc>
      </w:tr>
      <w:tr w:rsidR="002E16EB" w14:paraId="31ABD19C" w14:textId="77777777">
        <w:tc>
          <w:tcPr>
            <w:tcW w:w="2263" w:type="dxa"/>
            <w:tcBorders>
              <w:top w:val="single" w:sz="4" w:space="0" w:color="auto"/>
              <w:left w:val="single" w:sz="4" w:space="0" w:color="auto"/>
              <w:bottom w:val="single" w:sz="4" w:space="0" w:color="auto"/>
              <w:right w:val="single" w:sz="4" w:space="0" w:color="auto"/>
            </w:tcBorders>
          </w:tcPr>
          <w:p w14:paraId="5E598BB2"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C511D2F"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D94EAB"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feiyongqiang@catt.cn</w:t>
            </w:r>
          </w:p>
        </w:tc>
      </w:tr>
      <w:tr w:rsidR="002E16EB" w14:paraId="69D792A6" w14:textId="77777777">
        <w:tc>
          <w:tcPr>
            <w:tcW w:w="2263" w:type="dxa"/>
            <w:tcBorders>
              <w:top w:val="single" w:sz="4" w:space="0" w:color="auto"/>
              <w:left w:val="single" w:sz="4" w:space="0" w:color="auto"/>
              <w:bottom w:val="single" w:sz="4" w:space="0" w:color="auto"/>
              <w:right w:val="single" w:sz="4" w:space="0" w:color="auto"/>
            </w:tcBorders>
          </w:tcPr>
          <w:p w14:paraId="27951F32"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1EDA8C9F"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1515FDE"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huayu.zhou@unisoc.com</w:t>
            </w:r>
          </w:p>
        </w:tc>
      </w:tr>
      <w:tr w:rsidR="002E16EB" w14:paraId="5111DDB0" w14:textId="77777777">
        <w:tc>
          <w:tcPr>
            <w:tcW w:w="2263" w:type="dxa"/>
            <w:tcBorders>
              <w:top w:val="single" w:sz="4" w:space="0" w:color="auto"/>
              <w:left w:val="single" w:sz="4" w:space="0" w:color="auto"/>
              <w:bottom w:val="single" w:sz="4" w:space="0" w:color="auto"/>
              <w:right w:val="single" w:sz="4" w:space="0" w:color="auto"/>
            </w:tcBorders>
          </w:tcPr>
          <w:p w14:paraId="0E21E3B1" w14:textId="77777777"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528BAAB" w14:textId="77777777"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68E02E5" w14:textId="77777777"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vipul.desai@futurewei.com</w:t>
            </w:r>
          </w:p>
        </w:tc>
      </w:tr>
      <w:tr w:rsidR="002E16EB" w14:paraId="5E841011" w14:textId="77777777">
        <w:tc>
          <w:tcPr>
            <w:tcW w:w="2263" w:type="dxa"/>
            <w:tcBorders>
              <w:top w:val="single" w:sz="4" w:space="0" w:color="auto"/>
              <w:left w:val="single" w:sz="4" w:space="0" w:color="auto"/>
              <w:bottom w:val="single" w:sz="4" w:space="0" w:color="auto"/>
              <w:right w:val="single" w:sz="4" w:space="0" w:color="auto"/>
            </w:tcBorders>
          </w:tcPr>
          <w:p w14:paraId="35728241"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FBBEE0"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D640E3"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p</w:t>
            </w:r>
            <w:r>
              <w:rPr>
                <w:rFonts w:ascii="Times New Roman" w:eastAsia="DengXian" w:hAnsi="Times New Roman" w:cs="Times New Roman"/>
                <w:sz w:val="20"/>
                <w:szCs w:val="20"/>
                <w:lang w:eastAsia="zh-CN"/>
              </w:rPr>
              <w:t>anxueming@vivo.com</w:t>
            </w:r>
          </w:p>
        </w:tc>
      </w:tr>
      <w:tr w:rsidR="002E16EB" w14:paraId="47C29645" w14:textId="77777777">
        <w:tc>
          <w:tcPr>
            <w:tcW w:w="2263" w:type="dxa"/>
            <w:tcBorders>
              <w:top w:val="single" w:sz="4" w:space="0" w:color="auto"/>
              <w:left w:val="single" w:sz="4" w:space="0" w:color="auto"/>
              <w:bottom w:val="single" w:sz="4" w:space="0" w:color="auto"/>
              <w:right w:val="single" w:sz="4" w:space="0" w:color="auto"/>
            </w:tcBorders>
          </w:tcPr>
          <w:p w14:paraId="0B694095" w14:textId="77777777" w:rsidR="002E16EB" w:rsidRDefault="00273202">
            <w:pPr>
              <w:tabs>
                <w:tab w:val="left" w:pos="1830"/>
              </w:tabs>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FDF56E3" w14:textId="77777777" w:rsidR="002E16EB" w:rsidRDefault="00273202">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6153C9A" w14:textId="77777777" w:rsidR="002E16EB" w:rsidRDefault="00273202">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w:t>
            </w:r>
            <w:r>
              <w:rPr>
                <w:rFonts w:ascii="Times New Roman" w:eastAsia="Malgun Gothic" w:hAnsi="Times New Roman" w:cs="Times New Roman" w:hint="eastAsia"/>
                <w:sz w:val="20"/>
                <w:szCs w:val="20"/>
                <w:lang w:eastAsia="ko-KR"/>
              </w:rPr>
              <w:t>aehyung.</w:t>
            </w:r>
            <w:r>
              <w:rPr>
                <w:rFonts w:ascii="Times New Roman" w:eastAsia="Malgun Gothic" w:hAnsi="Times New Roman" w:cs="Times New Roman"/>
                <w:sz w:val="20"/>
                <w:szCs w:val="20"/>
                <w:lang w:eastAsia="ko-KR"/>
              </w:rPr>
              <w:t>kim@lge.com</w:t>
            </w:r>
          </w:p>
        </w:tc>
      </w:tr>
      <w:tr w:rsidR="002E16EB" w14:paraId="3EDF15E4" w14:textId="77777777">
        <w:tc>
          <w:tcPr>
            <w:tcW w:w="2263" w:type="dxa"/>
            <w:tcBorders>
              <w:top w:val="single" w:sz="4" w:space="0" w:color="auto"/>
              <w:left w:val="single" w:sz="4" w:space="0" w:color="auto"/>
              <w:bottom w:val="single" w:sz="4" w:space="0" w:color="auto"/>
              <w:right w:val="single" w:sz="4" w:space="0" w:color="auto"/>
            </w:tcBorders>
          </w:tcPr>
          <w:p w14:paraId="0F0BA2FF" w14:textId="77777777" w:rsidR="002E16EB" w:rsidRDefault="00273202">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4C78C084" w14:textId="77777777" w:rsidR="002E16EB" w:rsidRDefault="00273202">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F7E646A" w14:textId="77777777" w:rsidR="002E16EB" w:rsidRDefault="00273202">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hu.youjun1@zte.com.cn</w:t>
            </w:r>
          </w:p>
        </w:tc>
      </w:tr>
      <w:tr w:rsidR="002E16EB" w14:paraId="2E22B7AA" w14:textId="77777777">
        <w:tc>
          <w:tcPr>
            <w:tcW w:w="2263" w:type="dxa"/>
            <w:tcBorders>
              <w:top w:val="single" w:sz="4" w:space="0" w:color="auto"/>
              <w:left w:val="single" w:sz="4" w:space="0" w:color="auto"/>
              <w:bottom w:val="single" w:sz="4" w:space="0" w:color="auto"/>
              <w:right w:val="single" w:sz="4" w:space="0" w:color="auto"/>
            </w:tcBorders>
          </w:tcPr>
          <w:p w14:paraId="0F57AE70" w14:textId="77777777" w:rsidR="002E16EB" w:rsidRDefault="00273202">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31CBB3AA" w14:textId="77777777" w:rsidR="002E16EB" w:rsidRDefault="00273202">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B84457" w14:textId="77777777" w:rsidR="002E16EB" w:rsidRDefault="00273202">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Feifei.sun@samsung.com</w:t>
            </w:r>
          </w:p>
        </w:tc>
      </w:tr>
    </w:tbl>
    <w:p w14:paraId="04ECCA8E" w14:textId="77777777" w:rsidR="002E16EB" w:rsidRDefault="002E16EB">
      <w:pPr>
        <w:spacing w:after="100" w:afterAutospacing="1"/>
        <w:jc w:val="both"/>
        <w:rPr>
          <w:rFonts w:ascii="Times New Roman" w:eastAsia="Batang" w:hAnsi="Times New Roman" w:cs="Times New Roman"/>
          <w:szCs w:val="20"/>
        </w:rPr>
      </w:pPr>
    </w:p>
    <w:p w14:paraId="0B235C3E" w14:textId="77777777" w:rsidR="002E16EB" w:rsidRDefault="00273202">
      <w:pPr>
        <w:pStyle w:val="Heading1"/>
      </w:pPr>
      <w:r>
        <w:t>2</w:t>
      </w:r>
      <w:r>
        <w:tab/>
        <w:t>Initial round</w:t>
      </w:r>
    </w:p>
    <w:p w14:paraId="669661E8" w14:textId="77777777" w:rsidR="002E16EB" w:rsidRDefault="0027320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9631" w:type="dxa"/>
        <w:tblLook w:val="04A0" w:firstRow="1" w:lastRow="0" w:firstColumn="1" w:lastColumn="0" w:noHBand="0" w:noVBand="1"/>
      </w:tblPr>
      <w:tblGrid>
        <w:gridCol w:w="1696"/>
        <w:gridCol w:w="7935"/>
      </w:tblGrid>
      <w:tr w:rsidR="002E16EB" w14:paraId="53BB77B3" w14:textId="77777777">
        <w:trPr>
          <w:trHeight w:val="268"/>
        </w:trPr>
        <w:tc>
          <w:tcPr>
            <w:tcW w:w="1696" w:type="dxa"/>
            <w:shd w:val="clear" w:color="auto" w:fill="D9D9D9" w:themeFill="background1" w:themeFillShade="D9"/>
          </w:tcPr>
          <w:p w14:paraId="3236E1A4" w14:textId="77777777" w:rsidR="002E16EB" w:rsidRDefault="0027320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7935" w:type="dxa"/>
            <w:shd w:val="clear" w:color="auto" w:fill="D9D9D9" w:themeFill="background1" w:themeFillShade="D9"/>
          </w:tcPr>
          <w:p w14:paraId="7E7B1AAE" w14:textId="77777777" w:rsidR="002E16EB" w:rsidRDefault="0027320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2E16EB" w14:paraId="6EE27C42" w14:textId="77777777">
        <w:tc>
          <w:tcPr>
            <w:tcW w:w="1696" w:type="dxa"/>
          </w:tcPr>
          <w:p w14:paraId="59EBFCD8" w14:textId="77777777" w:rsidR="002E16EB" w:rsidRDefault="00273202">
            <w:pPr>
              <w:rPr>
                <w:rFonts w:ascii="Times New Roman" w:hAnsi="Times New Roman" w:cs="Times New Roman"/>
                <w:sz w:val="20"/>
                <w:szCs w:val="20"/>
                <w:lang w:eastAsia="ko-KR"/>
              </w:rPr>
            </w:pPr>
            <w:r>
              <w:rPr>
                <w:rFonts w:ascii="Times New Roman" w:hAnsi="Times New Roman" w:cs="Times New Roman"/>
                <w:sz w:val="20"/>
                <w:szCs w:val="20"/>
                <w:lang w:eastAsia="ko-KR"/>
              </w:rPr>
              <w:t>Intel</w:t>
            </w:r>
          </w:p>
        </w:tc>
        <w:tc>
          <w:tcPr>
            <w:tcW w:w="7935" w:type="dxa"/>
          </w:tcPr>
          <w:p w14:paraId="4D4FDD1C" w14:textId="77777777" w:rsidR="002E16EB" w:rsidRDefault="00273202">
            <w:pPr>
              <w:rPr>
                <w:rFonts w:ascii="Times New Roman" w:hAnsi="Times New Roman" w:cs="Times New Roman"/>
                <w:sz w:val="20"/>
                <w:szCs w:val="20"/>
                <w:lang w:eastAsia="ko-KR"/>
              </w:rPr>
            </w:pPr>
            <w:r>
              <w:rPr>
                <w:rFonts w:ascii="Times New Roman" w:hAnsi="Times New Roman" w:cs="Times New Roman"/>
                <w:sz w:val="20"/>
                <w:szCs w:val="20"/>
                <w:lang w:eastAsia="ko-KR"/>
              </w:rPr>
              <w:t>We are wondering if the details of the following configurations can be discussed here or as part of AI 8.6.1.1:</w:t>
            </w:r>
          </w:p>
          <w:p w14:paraId="0BE25191" w14:textId="77777777" w:rsidR="002E16EB" w:rsidRDefault="00273202">
            <w:pPr>
              <w:pStyle w:val="ListParagraph"/>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Details of NCD-SSB following the feedback from RAN2/RAN4.</w:t>
            </w:r>
          </w:p>
          <w:p w14:paraId="045FEBB7" w14:textId="77777777" w:rsidR="002E16EB" w:rsidRDefault="00273202">
            <w:pPr>
              <w:pStyle w:val="ListParagraph"/>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highlight w:val="yellow"/>
                <w:lang w:val="de-DE" w:eastAsia="ko-KR"/>
              </w:rPr>
              <w:t>Details of configuration of CORESET in separate initial DL BWP.</w:t>
            </w:r>
          </w:p>
        </w:tc>
      </w:tr>
      <w:tr w:rsidR="002E16EB" w14:paraId="1D0296D5" w14:textId="77777777">
        <w:tc>
          <w:tcPr>
            <w:tcW w:w="1696" w:type="dxa"/>
          </w:tcPr>
          <w:p w14:paraId="01C5D356"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935" w:type="dxa"/>
          </w:tcPr>
          <w:p w14:paraId="1D493853"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For </w:t>
            </w:r>
            <w:r>
              <w:rPr>
                <w:rFonts w:ascii="Times New Roman" w:eastAsia="DengXian" w:hAnsi="Times New Roman" w:cs="Times New Roman"/>
                <w:sz w:val="20"/>
                <w:szCs w:val="20"/>
                <w:lang w:eastAsia="zh-CN"/>
              </w:rPr>
              <w:t>[RedCap-specific initial DL BWP configuration]</w:t>
            </w:r>
            <w:r>
              <w:rPr>
                <w:rFonts w:ascii="Times New Roman" w:eastAsia="DengXian"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must be configured</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 or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may or may not be configured, if not, continue reusing CORESET#0</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w:t>
            </w:r>
          </w:p>
        </w:tc>
      </w:tr>
      <w:tr w:rsidR="002E16EB" w14:paraId="352923C9" w14:textId="77777777">
        <w:tc>
          <w:tcPr>
            <w:tcW w:w="1696" w:type="dxa"/>
          </w:tcPr>
          <w:p w14:paraId="07612939"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935" w:type="dxa"/>
          </w:tcPr>
          <w:p w14:paraId="357719E5"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 descriptions of the separat initial DL BWP may be updated.</w:t>
            </w:r>
          </w:p>
        </w:tc>
      </w:tr>
      <w:tr w:rsidR="002E16EB" w14:paraId="4E6994AF" w14:textId="77777777">
        <w:tc>
          <w:tcPr>
            <w:tcW w:w="1696" w:type="dxa"/>
          </w:tcPr>
          <w:p w14:paraId="064E9556"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w:t>
            </w:r>
          </w:p>
        </w:tc>
        <w:tc>
          <w:tcPr>
            <w:tcW w:w="7935" w:type="dxa"/>
          </w:tcPr>
          <w:p w14:paraId="0FC3CA61"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The description of [RedCap-specific initial DL BWP configuration] may need to be updated to reflect agreements in 8.6.1.1 (e.g. agreement of some variation of 2-1)</w:t>
            </w:r>
          </w:p>
          <w:p w14:paraId="65379F50"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b. The description of [Common PUCCH configuration for RedCap-specific initial UL BWP] and values (which are FFS) may need to be updated to reflect agreements in 8.6.1.1</w:t>
            </w:r>
          </w:p>
          <w:p w14:paraId="21E7A31F" w14:textId="77777777" w:rsidR="002E16EB" w:rsidRDefault="002E16EB">
            <w:pPr>
              <w:spacing w:after="120" w:line="240" w:lineRule="auto"/>
              <w:rPr>
                <w:rFonts w:ascii="Times New Roman" w:eastAsia="DengXian" w:hAnsi="Times New Roman" w:cs="Times New Roman"/>
                <w:sz w:val="20"/>
                <w:szCs w:val="20"/>
                <w:lang w:eastAsia="zh-CN"/>
              </w:rPr>
            </w:pPr>
          </w:p>
        </w:tc>
      </w:tr>
      <w:tr w:rsidR="002E16EB" w14:paraId="60EF395A" w14:textId="77777777">
        <w:tc>
          <w:tcPr>
            <w:tcW w:w="1696" w:type="dxa"/>
          </w:tcPr>
          <w:p w14:paraId="4379CECC"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7935" w:type="dxa"/>
          </w:tcPr>
          <w:p w14:paraId="32FF3E0E"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04FC5FAE"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R</w:t>
            </w:r>
            <w:r>
              <w:rPr>
                <w:rFonts w:ascii="Times New Roman" w:eastAsia="DengXian" w:hAnsi="Times New Roman" w:cs="Times New Roman"/>
                <w:sz w:val="20"/>
                <w:szCs w:val="20"/>
                <w:lang w:eastAsia="zh-CN"/>
              </w:rPr>
              <w:t>egarding initial DL BWP configuration, we agree with CATT/Spreadtrum/FUTUREWEI that the decription may need to be updated based on the outcome of ongoing discussion (i.e. whether the seperate initial DL BWP shall be always configured)</w:t>
            </w:r>
          </w:p>
        </w:tc>
      </w:tr>
      <w:tr w:rsidR="002E16EB" w14:paraId="735DE0F1" w14:textId="77777777">
        <w:tc>
          <w:tcPr>
            <w:tcW w:w="1696" w:type="dxa"/>
          </w:tcPr>
          <w:p w14:paraId="547812CD"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935" w:type="dxa"/>
          </w:tcPr>
          <w:p w14:paraId="1D762BE6" w14:textId="77777777" w:rsidR="002E16EB"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Pr>
                <w:rFonts w:ascii="Times New Roman" w:eastAsia="DengXian" w:hAnsi="Times New Roman" w:cs="Times New Roman"/>
                <w:sz w:val="20"/>
                <w:szCs w:val="20"/>
                <w:lang w:val="de-DE" w:eastAsia="zh-CN"/>
              </w:rPr>
              <w:t>We share the feeling of Intel and vivo and agree with CATT/SPD/FW.</w:t>
            </w:r>
          </w:p>
          <w:p w14:paraId="597EDFD5" w14:textId="77777777" w:rsidR="002E16EB"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Pr>
                <w:rFonts w:ascii="Times New Roman" w:eastAsia="DengXian"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Pr>
                <w:rFonts w:ascii="Times New Roman" w:eastAsia="DengXian" w:hAnsi="Times New Roman" w:cs="Times New Roman"/>
                <w:i/>
                <w:sz w:val="20"/>
                <w:szCs w:val="20"/>
                <w:lang w:val="de-DE" w:eastAsia="zh-CN"/>
              </w:rPr>
              <w:t>[Intra-slot PUCCH frequency hopping within RedCap-specific initial UL BWP enabled/disabled]</w:t>
            </w:r>
            <w:r>
              <w:rPr>
                <w:rFonts w:ascii="Times New Roman" w:eastAsia="DengXian" w:hAnsi="Times New Roman" w:cs="Times New Roman"/>
                <w:sz w:val="20"/>
                <w:szCs w:val="20"/>
                <w:lang w:val="de-DE" w:eastAsia="zh-CN"/>
              </w:rPr>
              <w:t>, the ‚‘value range‘ can be modified as {Enabled, Disabled</w:t>
            </w:r>
            <w:r>
              <w:rPr>
                <w:rFonts w:ascii="Times New Roman" w:eastAsia="DengXian" w:hAnsi="Times New Roman" w:cs="Times New Roman"/>
                <w:color w:val="FF0000"/>
                <w:sz w:val="20"/>
                <w:szCs w:val="20"/>
                <w:lang w:val="de-DE" w:eastAsia="zh-CN"/>
              </w:rPr>
              <w:t>LowerEdge</w:t>
            </w:r>
            <w:r>
              <w:rPr>
                <w:rFonts w:ascii="Times New Roman" w:eastAsia="DengXian" w:hAnsi="Times New Roman" w:cs="Times New Roman"/>
                <w:sz w:val="20"/>
                <w:szCs w:val="20"/>
                <w:lang w:val="de-DE" w:eastAsia="zh-CN"/>
              </w:rPr>
              <w:t xml:space="preserve">, </w:t>
            </w:r>
            <w:r>
              <w:rPr>
                <w:rFonts w:ascii="Times New Roman" w:eastAsia="DengXian" w:hAnsi="Times New Roman" w:cs="Times New Roman"/>
                <w:color w:val="FF0000"/>
                <w:sz w:val="20"/>
                <w:szCs w:val="20"/>
                <w:lang w:val="de-DE" w:eastAsia="zh-CN"/>
              </w:rPr>
              <w:t>DisabledUpperEdge</w:t>
            </w:r>
            <w:r>
              <w:rPr>
                <w:rFonts w:ascii="Times New Roman" w:eastAsia="DengXian" w:hAnsi="Times New Roman" w:cs="Times New Roman"/>
                <w:sz w:val="20"/>
                <w:szCs w:val="20"/>
                <w:lang w:val="de-DE" w:eastAsia="zh-CN"/>
              </w:rPr>
              <w:t>}.</w:t>
            </w:r>
          </w:p>
        </w:tc>
      </w:tr>
      <w:tr w:rsidR="002E16EB" w14:paraId="79CBCC0D" w14:textId="77777777">
        <w:tc>
          <w:tcPr>
            <w:tcW w:w="1696" w:type="dxa"/>
          </w:tcPr>
          <w:p w14:paraId="738B7356" w14:textId="77777777" w:rsidR="002E16EB" w:rsidRDefault="00273202">
            <w:pP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w:t>
            </w:r>
            <w:r>
              <w:rPr>
                <w:rFonts w:ascii="Times New Roman" w:eastAsia="Malgun Gothic" w:hAnsi="Times New Roman" w:cs="Times New Roman"/>
                <w:sz w:val="20"/>
                <w:szCs w:val="20"/>
                <w:lang w:eastAsia="ko-KR"/>
              </w:rPr>
              <w:t>GE</w:t>
            </w:r>
          </w:p>
        </w:tc>
        <w:tc>
          <w:tcPr>
            <w:tcW w:w="7935" w:type="dxa"/>
          </w:tcPr>
          <w:p w14:paraId="47D498C3" w14:textId="77777777" w:rsidR="002E16EB" w:rsidRDefault="00273202">
            <w:pPr>
              <w:spacing w:after="120" w:line="240" w:lineRule="auto"/>
              <w:ind w:leftChars="-1" w:left="-2" w:firstLine="1"/>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We agree with </w:t>
            </w:r>
            <w:r>
              <w:rPr>
                <w:rFonts w:ascii="Times New Roman" w:eastAsia="Malgun Gothic" w:hAnsi="Times New Roman" w:cs="Times New Roman"/>
                <w:sz w:val="20"/>
                <w:szCs w:val="20"/>
                <w:lang w:eastAsia="ko-KR"/>
              </w:rPr>
              <w:t xml:space="preserve">most of </w:t>
            </w:r>
            <w:r>
              <w:rPr>
                <w:rFonts w:ascii="Times New Roman" w:eastAsia="Malgun Gothic" w:hAnsi="Times New Roman" w:cs="Times New Roman" w:hint="eastAsia"/>
                <w:sz w:val="20"/>
                <w:szCs w:val="20"/>
                <w:lang w:eastAsia="ko-KR"/>
              </w:rPr>
              <w:t xml:space="preserve">the comments above that </w:t>
            </w:r>
            <w:r>
              <w:rPr>
                <w:rFonts w:ascii="Times New Roman" w:eastAsia="Malgun Gothic" w:hAnsi="Times New Roman" w:cs="Times New Roman"/>
                <w:sz w:val="20"/>
                <w:szCs w:val="20"/>
                <w:lang w:eastAsia="ko-KR"/>
              </w:rPr>
              <w:t xml:space="preserve">the descriptions of [RedCap-specific initial DL BWP configuration] and [Common PUCCH configuration for RedCap-specific initial UL BWP] need to be updated along with the agreements to be made in AI 8.6.1.1. </w:t>
            </w:r>
          </w:p>
          <w:p w14:paraId="41F547AF" w14:textId="77777777" w:rsidR="002E16EB" w:rsidRDefault="00273202">
            <w:pPr>
              <w:spacing w:after="120" w:line="240" w:lineRule="auto"/>
              <w:ind w:leftChars="-1" w:left="-2" w:firstLine="1"/>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Especially for the [Common PUCCH configuration for RedCap-specific initial UL BWP], it may need to be divided into a few parameters including e.g., additional PRB offset and upper/lower edge indication.</w:t>
            </w:r>
          </w:p>
        </w:tc>
      </w:tr>
      <w:tr w:rsidR="002E16EB" w14:paraId="7648D21F" w14:textId="77777777">
        <w:tc>
          <w:tcPr>
            <w:tcW w:w="1696" w:type="dxa"/>
          </w:tcPr>
          <w:p w14:paraId="1A6019DE" w14:textId="77777777" w:rsidR="002E16EB" w:rsidRDefault="00273202">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Intel2</w:t>
            </w:r>
          </w:p>
        </w:tc>
        <w:tc>
          <w:tcPr>
            <w:tcW w:w="7935" w:type="dxa"/>
          </w:tcPr>
          <w:p w14:paraId="73CD18F6" w14:textId="77777777" w:rsidR="002E16EB" w:rsidRDefault="00273202">
            <w:pPr>
              <w:spacing w:after="120" w:line="240" w:lineRule="auto"/>
              <w:ind w:leftChars="-1" w:left="-2" w:firstLine="1"/>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We’d like to take this opportunity to clarify our earlier comment on CORESET configuration:</w:t>
            </w:r>
          </w:p>
          <w:p w14:paraId="1E4381DE" w14:textId="77777777" w:rsidR="002E16EB" w:rsidRDefault="00273202">
            <w:pPr>
              <w:spacing w:after="120" w:line="240" w:lineRule="auto"/>
              <w:ind w:leftChars="-1" w:left="-2" w:firstLine="1"/>
              <w:rPr>
                <w:rFonts w:ascii="Times New Roman" w:hAnsi="Times New Roman" w:cs="Times New Roman"/>
                <w:sz w:val="20"/>
                <w:szCs w:val="20"/>
                <w:lang w:eastAsia="ko-KR"/>
              </w:rPr>
            </w:pPr>
            <w:r>
              <w:rPr>
                <w:rFonts w:ascii="Times New Roman" w:hAnsi="Times New Roman" w:cs="Times New Roman"/>
                <w:sz w:val="20"/>
                <w:szCs w:val="20"/>
                <w:lang w:eastAsia="ko-KR"/>
              </w:rPr>
              <w:t>Details of configuration of CORESET in separate initial DL BWP.</w:t>
            </w:r>
          </w:p>
          <w:p w14:paraId="1ED9D5BA" w14:textId="77777777" w:rsidR="002E16EB" w:rsidRDefault="00273202">
            <w:pPr>
              <w:spacing w:after="12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This is referring to the details of how the CORESET in separate initial DL BWP is to be configured in SIB1 – if can be sigalled like any other CORESET or should follow CORESET#0 signalling mechanisms (using up to 4 bits), etc.</w:t>
            </w:r>
          </w:p>
          <w:p w14:paraId="25E8FD44" w14:textId="77777777" w:rsidR="002E16EB" w:rsidRDefault="00273202">
            <w:pPr>
              <w:spacing w:after="12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eastAsia="ko-KR"/>
              </w:rPr>
              <w:t>We think this information still needs to be conveyed to RAN2.</w:t>
            </w:r>
          </w:p>
        </w:tc>
      </w:tr>
      <w:tr w:rsidR="002E16EB" w14:paraId="247BDAE2" w14:textId="77777777">
        <w:tc>
          <w:tcPr>
            <w:tcW w:w="1696" w:type="dxa"/>
          </w:tcPr>
          <w:p w14:paraId="62B1E6D8" w14:textId="77777777" w:rsidR="002E16EB" w:rsidRDefault="00273202">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7935" w:type="dxa"/>
          </w:tcPr>
          <w:p w14:paraId="5DF1E8C6" w14:textId="77777777" w:rsidR="002E16EB" w:rsidRDefault="00273202">
            <w:pPr>
              <w:spacing w:after="120" w:line="240" w:lineRule="auto"/>
              <w:rPr>
                <w:rFonts w:ascii="Times New Roman" w:eastAsia="SimSun" w:hAnsi="Times New Roman" w:cs="Times New Roman"/>
                <w:sz w:val="20"/>
                <w:szCs w:val="20"/>
                <w:lang w:eastAsia="zh-CN"/>
              </w:rPr>
            </w:pPr>
            <w:r>
              <w:rPr>
                <w:rFonts w:ascii="Times New Roman" w:eastAsia="Malgun Gothic" w:hAnsi="Times New Roman" w:cs="Times New Roman" w:hint="eastAsia"/>
                <w:sz w:val="20"/>
                <w:szCs w:val="20"/>
                <w:lang w:eastAsia="ko-KR"/>
              </w:rPr>
              <w:t xml:space="preserve">We agree </w:t>
            </w:r>
            <w:r>
              <w:rPr>
                <w:rFonts w:ascii="Times New Roman" w:eastAsia="SimSun" w:hAnsi="Times New Roman" w:cs="Times New Roman" w:hint="eastAsia"/>
                <w:sz w:val="20"/>
                <w:szCs w:val="20"/>
                <w:lang w:eastAsia="zh-CN"/>
              </w:rPr>
              <w:t xml:space="preserve">to make some modifications for </w:t>
            </w:r>
            <w:r>
              <w:rPr>
                <w:rFonts w:ascii="Times New Roman" w:eastAsia="Malgun Gothic" w:hAnsi="Times New Roman" w:cs="Times New Roman"/>
                <w:sz w:val="20"/>
                <w:szCs w:val="20"/>
                <w:lang w:eastAsia="ko-KR"/>
              </w:rPr>
              <w:t>the descriptions of [RedCap-specific initial DL BWP configuration] and [Common PUCCH configuration for RedCap-specific initial UL BWP</w:t>
            </w:r>
            <w:r>
              <w:rPr>
                <w:rFonts w:ascii="Times New Roman" w:eastAsia="SimSun"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2E16EB" w14:paraId="5444C91A" w14:textId="77777777">
        <w:tc>
          <w:tcPr>
            <w:tcW w:w="1696" w:type="dxa"/>
          </w:tcPr>
          <w:p w14:paraId="3E88D99B" w14:textId="77777777" w:rsidR="002E16EB" w:rsidRDefault="00273202">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FL2</w:t>
            </w:r>
          </w:p>
        </w:tc>
        <w:tc>
          <w:tcPr>
            <w:tcW w:w="7935" w:type="dxa"/>
          </w:tcPr>
          <w:p w14:paraId="2310F06B" w14:textId="77777777" w:rsidR="002E16EB" w:rsidRDefault="00273202">
            <w:pPr>
              <w:spacing w:afterLines="50" w:after="120" w:line="240" w:lineRule="auto"/>
              <w:jc w:val="both"/>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Question 2-1b:</w:t>
            </w:r>
          </w:p>
          <w:p w14:paraId="5BE3FBEE" w14:textId="77777777" w:rsidR="002E16EB" w:rsidRDefault="00273202">
            <w:pPr>
              <w:pStyle w:val="ListParagraph"/>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 xml:space="preserve">Companies are invited to comment on parameters in </w:t>
            </w:r>
            <w:hyperlink r:id="rId14"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MS Mincho" w:hAnsi="Times New Roman" w:cs="Times New Roman"/>
                <w:b/>
                <w:bCs/>
                <w:sz w:val="20"/>
                <w:szCs w:val="20"/>
                <w:lang w:val="en-GB" w:eastAsia="ja-JP"/>
              </w:rPr>
              <w:t>.</w:t>
            </w:r>
          </w:p>
        </w:tc>
      </w:tr>
      <w:tr w:rsidR="002E16EB" w14:paraId="0C368D11" w14:textId="77777777">
        <w:tc>
          <w:tcPr>
            <w:tcW w:w="1696" w:type="dxa"/>
          </w:tcPr>
          <w:p w14:paraId="6DE3DD02" w14:textId="77777777" w:rsidR="002E16EB" w:rsidRDefault="00273202">
            <w:pPr>
              <w:spacing w:after="12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Samsung</w:t>
            </w:r>
          </w:p>
        </w:tc>
        <w:tc>
          <w:tcPr>
            <w:tcW w:w="7935" w:type="dxa"/>
          </w:tcPr>
          <w:p w14:paraId="59A28B83" w14:textId="77777777" w:rsidR="002E16EB" w:rsidRDefault="00273202">
            <w:pPr>
              <w:spacing w:afterLines="50"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Fine with the newly added NCD-SSB configuration, detail can be left to RAN 2. </w:t>
            </w:r>
          </w:p>
          <w:p w14:paraId="4BCF0F1C" w14:textId="77777777" w:rsidR="002E16EB" w:rsidRDefault="00273202">
            <w:pPr>
              <w:spacing w:afterLines="50"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Support Intel’s comment on the signaling of CORESET in separate iDL BWP. In our view, other CORESET like is enough. </w:t>
            </w:r>
          </w:p>
          <w:p w14:paraId="61837BF0" w14:textId="77777777" w:rsidR="002E16EB" w:rsidRDefault="002E16EB">
            <w:pPr>
              <w:spacing w:afterLines="50" w:after="120" w:line="240" w:lineRule="auto"/>
              <w:jc w:val="both"/>
              <w:rPr>
                <w:rFonts w:ascii="Times New Roman" w:eastAsia="SimSun" w:hAnsi="Times New Roman" w:cs="Times New Roman"/>
                <w:sz w:val="20"/>
                <w:szCs w:val="20"/>
                <w:lang w:eastAsia="zh-CN"/>
              </w:rPr>
            </w:pPr>
          </w:p>
        </w:tc>
      </w:tr>
      <w:tr w:rsidR="002E16EB" w14:paraId="33191935" w14:textId="77777777">
        <w:tc>
          <w:tcPr>
            <w:tcW w:w="1696" w:type="dxa"/>
          </w:tcPr>
          <w:p w14:paraId="23CE87B7" w14:textId="77777777" w:rsidR="002E16EB" w:rsidRDefault="0027320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w:t>
            </w:r>
            <w:r>
              <w:rPr>
                <w:rFonts w:ascii="Times New Roman" w:eastAsia="Malgun Gothic" w:hAnsi="Times New Roman" w:cs="Times New Roman"/>
                <w:sz w:val="20"/>
                <w:szCs w:val="20"/>
                <w:lang w:eastAsia="ko-KR"/>
              </w:rPr>
              <w:t>GE</w:t>
            </w:r>
          </w:p>
        </w:tc>
        <w:tc>
          <w:tcPr>
            <w:tcW w:w="7935" w:type="dxa"/>
          </w:tcPr>
          <w:p w14:paraId="45393658"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Okay with most of the updates. </w:t>
            </w:r>
          </w:p>
          <w:p w14:paraId="3EE6B705"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Just a minor comment on the value range of the additional PRB offset which is {0, 2, 3, 4, 6, 8, 9, 10, 12}. We wonder if the 0 needs to be included in the value range when there is 0 in the column called Default value aspect.</w:t>
            </w:r>
          </w:p>
          <w:p w14:paraId="3408079E"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Regarding the question from Intel on the CORESET configuration in the separate initial DL BWP, we slightly prefer to signal it as any other CORESET for flexibility.</w:t>
            </w:r>
          </w:p>
        </w:tc>
      </w:tr>
      <w:tr w:rsidR="002E16EB" w14:paraId="02EA61A7" w14:textId="77777777">
        <w:tc>
          <w:tcPr>
            <w:tcW w:w="1696" w:type="dxa"/>
          </w:tcPr>
          <w:p w14:paraId="64E8D3CE" w14:textId="77777777" w:rsidR="002E16EB" w:rsidRDefault="0027320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CMCC</w:t>
            </w:r>
          </w:p>
        </w:tc>
        <w:tc>
          <w:tcPr>
            <w:tcW w:w="7935" w:type="dxa"/>
          </w:tcPr>
          <w:p w14:paraId="53125F99"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Fine with the newly added parameters. And for the description of </w:t>
            </w:r>
            <w:r>
              <w:rPr>
                <w:rFonts w:ascii="Times New Roman" w:eastAsia="Malgun Gothic" w:hAnsi="Times New Roman" w:cs="Times New Roman"/>
                <w:i/>
                <w:iCs/>
                <w:sz w:val="20"/>
                <w:szCs w:val="20"/>
                <w:lang w:eastAsia="ko-KR"/>
              </w:rPr>
              <w:t>RedCap-specific initial DL BWP configuration,</w:t>
            </w:r>
            <w:r>
              <w:rPr>
                <w:rFonts w:ascii="Times New Roman" w:eastAsia="Malgun Gothic" w:hAnsi="Times New Roman" w:cs="Times New Roman"/>
                <w:sz w:val="20"/>
                <w:szCs w:val="20"/>
                <w:lang w:eastAsia="ko-KR"/>
              </w:rPr>
              <w:t xml:space="preserve"> we share similar view with other companies that it may further be updated depending on the outcome of discussion in </w:t>
            </w:r>
            <w:r>
              <w:rPr>
                <w:rFonts w:ascii="Times New Roman" w:eastAsia="DengXian" w:hAnsi="Times New Roman" w:cs="Times New Roman" w:hint="eastAsia"/>
                <w:sz w:val="20"/>
                <w:szCs w:val="20"/>
                <w:lang w:eastAsia="zh-CN"/>
              </w:rPr>
              <w:t>AI 8.6.1.1</w:t>
            </w:r>
            <w:r>
              <w:rPr>
                <w:rFonts w:ascii="Times New Roman" w:eastAsia="DengXian" w:hAnsi="Times New Roman" w:cs="Times New Roman"/>
                <w:sz w:val="20"/>
                <w:szCs w:val="20"/>
                <w:lang w:eastAsia="zh-CN"/>
              </w:rPr>
              <w:t xml:space="preserve">, in case that CORESET#0 can be reused as initial DL BWP when </w:t>
            </w:r>
            <w:r>
              <w:rPr>
                <w:rFonts w:ascii="Times New Roman" w:eastAsia="Malgun Gothic" w:hAnsi="Times New Roman" w:cs="Times New Roman"/>
                <w:sz w:val="20"/>
                <w:szCs w:val="20"/>
                <w:lang w:eastAsia="ko-KR"/>
              </w:rPr>
              <w:t>the initial DL BWP for non-RedCap UEs is wider than the maximum RedCap UE bandwidth.</w:t>
            </w:r>
          </w:p>
        </w:tc>
      </w:tr>
      <w:tr w:rsidR="007E5E49" w14:paraId="0A982C6C" w14:textId="77777777">
        <w:tc>
          <w:tcPr>
            <w:tcW w:w="1696" w:type="dxa"/>
          </w:tcPr>
          <w:p w14:paraId="74B0FAD0" w14:textId="77777777" w:rsidR="007E5E49" w:rsidRDefault="007E5E49">
            <w:pPr>
              <w:spacing w:after="120" w:line="240" w:lineRule="auto"/>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Huawei, HiSilicon</w:t>
            </w:r>
          </w:p>
        </w:tc>
        <w:tc>
          <w:tcPr>
            <w:tcW w:w="7935" w:type="dxa"/>
          </w:tcPr>
          <w:p w14:paraId="4492F1C7" w14:textId="77777777" w:rsidR="007E5E49" w:rsidRDefault="007E5E49" w:rsidP="007E5E49">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7E5E49">
              <w:rPr>
                <w:rFonts w:ascii="Times New Roman" w:eastAsia="DengXian" w:hAnsi="Times New Roman" w:cs="Times New Roman"/>
                <w:sz w:val="20"/>
                <w:szCs w:val="20"/>
                <w:lang w:val="de-DE" w:eastAsia="zh-CN"/>
              </w:rPr>
              <w:t>We understand the NCD-SSB is configured after RRC connected mode however it still be possible in a cell specific manner?</w:t>
            </w:r>
          </w:p>
          <w:p w14:paraId="54524592" w14:textId="77777777" w:rsidR="00CF4CB8" w:rsidRDefault="007E5E49" w:rsidP="00CF4CB8">
            <w:pPr>
              <w:pStyle w:val="ListParagraph"/>
              <w:numPr>
                <w:ilvl w:val="0"/>
                <w:numId w:val="18"/>
              </w:numPr>
              <w:spacing w:after="120" w:line="240" w:lineRule="auto"/>
              <w:rPr>
                <w:rFonts w:ascii="Times New Roman" w:eastAsia="DengXian" w:hAnsi="Times New Roman" w:cs="Times New Roman"/>
                <w:sz w:val="20"/>
                <w:szCs w:val="20"/>
                <w:lang w:val="de-DE" w:eastAsia="zh-CN"/>
              </w:rPr>
            </w:pPr>
            <w:r>
              <w:rPr>
                <w:rFonts w:ascii="Times New Roman" w:eastAsia="DengXian" w:hAnsi="Times New Roman" w:cs="Times New Roman"/>
                <w:sz w:val="20"/>
                <w:szCs w:val="20"/>
                <w:lang w:val="de-DE" w:eastAsia="zh-CN"/>
              </w:rPr>
              <w:t>We think it is possible to joint configure PUCCH FH and the</w:t>
            </w:r>
            <w:r w:rsidR="00CF4CB8">
              <w:rPr>
                <w:rFonts w:ascii="Times New Roman" w:eastAsia="DengXian" w:hAnsi="Times New Roman" w:cs="Times New Roman"/>
                <w:sz w:val="20"/>
                <w:szCs w:val="20"/>
                <w:lang w:val="de-DE" w:eastAsia="zh-CN"/>
              </w:rPr>
              <w:t xml:space="preserve"> mapping</w:t>
            </w:r>
            <w:r>
              <w:rPr>
                <w:rFonts w:ascii="Times New Roman" w:eastAsia="DengXian" w:hAnsi="Times New Roman" w:cs="Times New Roman"/>
                <w:sz w:val="20"/>
                <w:szCs w:val="20"/>
                <w:lang w:val="de-DE" w:eastAsia="zh-CN"/>
              </w:rPr>
              <w:t xml:space="preserve"> sides, by combining the parameter in </w:t>
            </w:r>
            <w:r w:rsidR="00CF4CB8">
              <w:rPr>
                <w:rFonts w:ascii="Times New Roman" w:eastAsia="DengXian" w:hAnsi="Times New Roman" w:cs="Times New Roman"/>
                <w:sz w:val="20"/>
                <w:szCs w:val="20"/>
                <w:lang w:val="de-DE" w:eastAsia="zh-CN"/>
              </w:rPr>
              <w:t>R</w:t>
            </w:r>
            <w:r>
              <w:rPr>
                <w:rFonts w:ascii="Times New Roman" w:eastAsia="DengXian" w:hAnsi="Times New Roman" w:cs="Times New Roman"/>
                <w:sz w:val="20"/>
                <w:szCs w:val="20"/>
                <w:lang w:val="de-DE" w:eastAsia="zh-CN"/>
              </w:rPr>
              <w:t xml:space="preserve">ow8 and </w:t>
            </w:r>
            <w:r w:rsidR="00CF4CB8">
              <w:rPr>
                <w:rFonts w:ascii="Times New Roman" w:eastAsia="DengXian" w:hAnsi="Times New Roman" w:cs="Times New Roman"/>
                <w:sz w:val="20"/>
                <w:szCs w:val="20"/>
                <w:lang w:val="de-DE" w:eastAsia="zh-CN"/>
              </w:rPr>
              <w:t>R</w:t>
            </w:r>
            <w:r>
              <w:rPr>
                <w:rFonts w:ascii="Times New Roman" w:eastAsia="DengXian" w:hAnsi="Times New Roman" w:cs="Times New Roman"/>
                <w:sz w:val="20"/>
                <w:szCs w:val="20"/>
                <w:lang w:val="de-DE" w:eastAsia="zh-CN"/>
              </w:rPr>
              <w:t>ow11 ‚</w:t>
            </w:r>
            <w:r w:rsidR="00CF4CB8">
              <w:rPr>
                <w:rFonts w:ascii="Times New Roman" w:eastAsia="DengXian" w:hAnsi="Times New Roman" w:cs="Times New Roman"/>
                <w:sz w:val="20"/>
                <w:szCs w:val="20"/>
                <w:lang w:val="de-DE" w:eastAsia="zh-CN"/>
              </w:rPr>
              <w:t xml:space="preserve"> with</w:t>
            </w:r>
            <w:r>
              <w:rPr>
                <w:rFonts w:ascii="Times New Roman" w:eastAsia="DengXian" w:hAnsi="Times New Roman" w:cs="Times New Roman"/>
                <w:sz w:val="20"/>
                <w:szCs w:val="20"/>
                <w:lang w:val="de-DE" w:eastAsia="zh-CN"/>
              </w:rPr>
              <w:t>‘value range‘</w:t>
            </w:r>
            <w:r w:rsidR="00CF4CB8">
              <w:rPr>
                <w:rFonts w:ascii="Times New Roman" w:eastAsia="DengXian" w:hAnsi="Times New Roman" w:cs="Times New Roman"/>
                <w:sz w:val="20"/>
                <w:szCs w:val="20"/>
                <w:lang w:val="de-DE" w:eastAsia="zh-CN"/>
              </w:rPr>
              <w:t xml:space="preserve"> </w:t>
            </w:r>
            <w:r>
              <w:rPr>
                <w:rFonts w:ascii="Times New Roman" w:eastAsia="DengXian" w:hAnsi="Times New Roman" w:cs="Times New Roman"/>
                <w:sz w:val="20"/>
                <w:szCs w:val="20"/>
                <w:lang w:val="de-DE" w:eastAsia="zh-CN"/>
              </w:rPr>
              <w:t>modified as {Enabled, Disabled</w:t>
            </w:r>
            <w:r>
              <w:rPr>
                <w:rFonts w:ascii="Times New Roman" w:eastAsia="DengXian" w:hAnsi="Times New Roman" w:cs="Times New Roman"/>
                <w:color w:val="FF0000"/>
                <w:sz w:val="20"/>
                <w:szCs w:val="20"/>
                <w:lang w:val="de-DE" w:eastAsia="zh-CN"/>
              </w:rPr>
              <w:t>LowerEdge</w:t>
            </w:r>
            <w:r>
              <w:rPr>
                <w:rFonts w:ascii="Times New Roman" w:eastAsia="DengXian" w:hAnsi="Times New Roman" w:cs="Times New Roman"/>
                <w:sz w:val="20"/>
                <w:szCs w:val="20"/>
                <w:lang w:val="de-DE" w:eastAsia="zh-CN"/>
              </w:rPr>
              <w:t xml:space="preserve">, </w:t>
            </w:r>
            <w:r>
              <w:rPr>
                <w:rFonts w:ascii="Times New Roman" w:eastAsia="DengXian" w:hAnsi="Times New Roman" w:cs="Times New Roman"/>
                <w:color w:val="FF0000"/>
                <w:sz w:val="20"/>
                <w:szCs w:val="20"/>
                <w:lang w:val="de-DE" w:eastAsia="zh-CN"/>
              </w:rPr>
              <w:t>DisabledUpperEdge</w:t>
            </w:r>
            <w:r>
              <w:rPr>
                <w:rFonts w:ascii="Times New Roman" w:eastAsia="DengXian" w:hAnsi="Times New Roman" w:cs="Times New Roman"/>
                <w:sz w:val="20"/>
                <w:szCs w:val="20"/>
                <w:lang w:val="de-DE" w:eastAsia="zh-CN"/>
              </w:rPr>
              <w:t>}.</w:t>
            </w:r>
            <w:r w:rsidR="00CF4CB8">
              <w:rPr>
                <w:rFonts w:ascii="Times New Roman" w:eastAsia="DengXian" w:hAnsi="Times New Roman" w:cs="Times New Roman"/>
                <w:sz w:val="20"/>
                <w:szCs w:val="20"/>
                <w:lang w:val="de-DE" w:eastAsia="zh-CN"/>
              </w:rPr>
              <w:t xml:space="preserve"> The potential benefit is there could be one state reserved within 2-bit indication, for potential future use e.g. mapping to two sides. Since we are lack of discussion and signalling can be up to RAN2, we think at least a note can be captured in both Row8 and Row11:</w:t>
            </w:r>
          </w:p>
          <w:p w14:paraId="7343C98D" w14:textId="77777777" w:rsidR="007E5E49" w:rsidRPr="00CF4CB8" w:rsidRDefault="00CF4CB8" w:rsidP="00CF4CB8">
            <w:pPr>
              <w:pStyle w:val="ListParagraph"/>
              <w:spacing w:after="120" w:line="240" w:lineRule="auto"/>
              <w:rPr>
                <w:rFonts w:ascii="Times New Roman" w:eastAsia="DengXian" w:hAnsi="Times New Roman" w:cs="Times New Roman"/>
                <w:b/>
                <w:sz w:val="20"/>
                <w:szCs w:val="20"/>
                <w:lang w:val="de-DE" w:eastAsia="zh-CN"/>
              </w:rPr>
            </w:pPr>
            <w:r w:rsidRPr="00CF4CB8">
              <w:rPr>
                <w:rFonts w:ascii="Times New Roman" w:eastAsia="DengXian" w:hAnsi="Times New Roman" w:cs="Times New Roman"/>
                <w:b/>
                <w:sz w:val="20"/>
                <w:szCs w:val="20"/>
                <w:lang w:val="de-DE" w:eastAsia="zh-CN"/>
              </w:rPr>
              <w:t>RAN1 has not discussed the singalling details e.g. whether to joint signal the configuration of PUCCH FH and mapping sides, which can be up to RAN2.</w:t>
            </w:r>
          </w:p>
        </w:tc>
      </w:tr>
      <w:tr w:rsidR="001A22B9" w14:paraId="2EB30CAB" w14:textId="77777777">
        <w:tc>
          <w:tcPr>
            <w:tcW w:w="1696" w:type="dxa"/>
          </w:tcPr>
          <w:p w14:paraId="1E174D5D" w14:textId="3DBEA7CD" w:rsidR="001A22B9" w:rsidRDefault="001A22B9">
            <w:pPr>
              <w:spacing w:after="120" w:line="240" w:lineRule="auto"/>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FUTUREWEI2</w:t>
            </w:r>
          </w:p>
        </w:tc>
        <w:tc>
          <w:tcPr>
            <w:tcW w:w="7935" w:type="dxa"/>
          </w:tcPr>
          <w:p w14:paraId="711E2CE2" w14:textId="39D97B07" w:rsidR="001A22B9" w:rsidRDefault="0016779A" w:rsidP="001A22B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For the des</w:t>
            </w:r>
            <w:r w:rsidR="00C8161E">
              <w:rPr>
                <w:rFonts w:ascii="Times New Roman" w:eastAsia="Malgun Gothic" w:hAnsi="Times New Roman" w:cs="Times New Roman"/>
                <w:sz w:val="20"/>
                <w:szCs w:val="20"/>
                <w:lang w:eastAsia="ko-KR"/>
              </w:rPr>
              <w:t>c</w:t>
            </w:r>
            <w:r>
              <w:rPr>
                <w:rFonts w:ascii="Times New Roman" w:eastAsia="Malgun Gothic" w:hAnsi="Times New Roman" w:cs="Times New Roman"/>
                <w:sz w:val="20"/>
                <w:szCs w:val="20"/>
                <w:lang w:eastAsia="ko-KR"/>
              </w:rPr>
              <w:t xml:space="preserve">ription of "RedCap-specific initial DL BWP configuration", </w:t>
            </w:r>
            <w:r w:rsidR="00AF3F49">
              <w:rPr>
                <w:rFonts w:ascii="Times New Roman" w:eastAsia="Malgun Gothic" w:hAnsi="Times New Roman" w:cs="Times New Roman"/>
                <w:sz w:val="20"/>
                <w:szCs w:val="20"/>
                <w:lang w:eastAsia="ko-KR"/>
              </w:rPr>
              <w:t>the sentence "</w:t>
            </w:r>
            <w:r w:rsidR="00AF3F49">
              <w:t xml:space="preserve"> </w:t>
            </w:r>
            <w:r w:rsidR="00AF3F49" w:rsidRPr="00AF3F49">
              <w:rPr>
                <w:rFonts w:ascii="Times New Roman" w:eastAsia="Malgun Gothic" w:hAnsi="Times New Roman" w:cs="Times New Roman"/>
                <w:sz w:val="20"/>
                <w:szCs w:val="20"/>
                <w:lang w:eastAsia="ko-KR"/>
              </w:rPr>
              <w:t>When the parameter is not present, RedCap UEs use the same SIB-configured initial DL BWP as non-RedCap UEs if it does not exceed the RedCap UE maximum bandwidth</w:t>
            </w:r>
            <w:r w:rsidR="00AF3F49">
              <w:rPr>
                <w:rFonts w:ascii="Times New Roman" w:eastAsia="Malgun Gothic" w:hAnsi="Times New Roman" w:cs="Times New Roman"/>
                <w:sz w:val="20"/>
                <w:szCs w:val="20"/>
                <w:lang w:eastAsia="ko-KR"/>
              </w:rPr>
              <w:t>" is not in line with 8.6.1.1. discussions.</w:t>
            </w:r>
          </w:p>
          <w:p w14:paraId="4B4EDF1C" w14:textId="67518F9C" w:rsidR="00AF3F49" w:rsidRDefault="00AF3F49" w:rsidP="001A22B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For the note /description of "</w:t>
            </w:r>
            <w:r w:rsidRPr="00AF3F49">
              <w:rPr>
                <w:rFonts w:ascii="Times New Roman" w:eastAsia="Malgun Gothic" w:hAnsi="Times New Roman" w:cs="Times New Roman"/>
                <w:sz w:val="20"/>
                <w:szCs w:val="20"/>
                <w:lang w:eastAsia="ko-KR"/>
              </w:rPr>
              <w:t>RedCap-specific PUCCH resource set index</w:t>
            </w:r>
            <w:r>
              <w:rPr>
                <w:rFonts w:ascii="Times New Roman" w:eastAsia="Malgun Gothic" w:hAnsi="Times New Roman" w:cs="Times New Roman"/>
                <w:sz w:val="20"/>
                <w:szCs w:val="20"/>
                <w:lang w:eastAsia="ko-KR"/>
              </w:rPr>
              <w:t>", should it be stated that it can be a different than the legacy parameter pucch-ResourceCommon</w:t>
            </w:r>
            <w:r w:rsidR="00C8161E">
              <w:rPr>
                <w:rFonts w:ascii="Times New Roman" w:eastAsia="Malgun Gothic" w:hAnsi="Times New Roman" w:cs="Times New Roman"/>
                <w:sz w:val="20"/>
                <w:szCs w:val="20"/>
                <w:lang w:eastAsia="ko-KR"/>
              </w:rPr>
              <w:t>?</w:t>
            </w:r>
          </w:p>
          <w:p w14:paraId="7EFF998F" w14:textId="12F76F6D" w:rsidR="006C6B53" w:rsidRPr="001A22B9" w:rsidRDefault="006C6B53" w:rsidP="001A22B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In the underlying agreement for "</w:t>
            </w:r>
            <w:r w:rsidRPr="006C6B53">
              <w:rPr>
                <w:rFonts w:ascii="Times New Roman" w:eastAsia="Malgun Gothic" w:hAnsi="Times New Roman" w:cs="Times New Roman"/>
                <w:sz w:val="20"/>
                <w:szCs w:val="20"/>
                <w:lang w:eastAsia="ko-KR"/>
              </w:rPr>
              <w:t>Additional PRB offset for common PUCCH configuration for RedCap-specific initial UL BWP</w:t>
            </w:r>
            <w:r>
              <w:rPr>
                <w:rFonts w:ascii="Times New Roman" w:eastAsia="Malgun Gothic" w:hAnsi="Times New Roman" w:cs="Times New Roman"/>
                <w:sz w:val="20"/>
                <w:szCs w:val="20"/>
                <w:lang w:eastAsia="ko-KR"/>
              </w:rPr>
              <w:t>", the value of 0 is used if the parameter is not configured. The value of 0 was not agreed as part of the list.</w:t>
            </w:r>
          </w:p>
        </w:tc>
      </w:tr>
    </w:tbl>
    <w:p w14:paraId="0AECEB00" w14:textId="77777777" w:rsidR="002E16EB" w:rsidRDefault="002E16EB">
      <w:pPr>
        <w:spacing w:afterLines="50" w:after="120" w:line="240" w:lineRule="auto"/>
        <w:jc w:val="both"/>
        <w:rPr>
          <w:rFonts w:ascii="Times New Roman" w:eastAsia="MS Mincho" w:hAnsi="Times New Roman" w:cs="Times New Roman"/>
          <w:szCs w:val="20"/>
          <w:lang w:val="en-GB" w:eastAsia="ja-JP"/>
        </w:rPr>
      </w:pPr>
    </w:p>
    <w:p w14:paraId="3E002894" w14:textId="77777777" w:rsidR="002E16EB" w:rsidRDefault="00273202">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27219DD8"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4FB12668" w14:textId="77777777" w:rsidR="002E16EB" w:rsidRDefault="00273202">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Hyperlink"/>
          <w:rFonts w:ascii="Times New Roman" w:hAnsi="Times New Roman" w:cs="Times New Roman"/>
        </w:rPr>
        <w:t>R1-2112504</w:t>
      </w:r>
      <w:r>
        <w:rPr>
          <w:rStyle w:val="Hyperlink"/>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Start w:id="6" w:name="_Ref96336254"/>
    <w:bookmarkStart w:id="7" w:name="_Ref87925409"/>
    <w:bookmarkEnd w:id="3"/>
    <w:bookmarkEnd w:id="4"/>
    <w:p w14:paraId="5A1B53CC"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Hyperlink"/>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bookmarkStart w:id="8" w:name="_Ref96336478"/>
    <w:bookmarkStart w:id="9" w:name="_Ref96336264"/>
    <w:p w14:paraId="656AA827"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Hyperlink"/>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bookmarkStart w:id="10" w:name="_Ref96336605"/>
    <w:p w14:paraId="47C1C15A"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Hyperlink"/>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bookmarkStart w:id="11" w:name="_Ref84574992"/>
    <w:p w14:paraId="6F2363B9"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35859"/>
    <w:bookmarkStart w:id="13" w:name="_Ref83717123"/>
    <w:p w14:paraId="3BB59BBB" w14:textId="77777777" w:rsidR="002E16EB" w:rsidRDefault="00273202">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Hyperlink"/>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14:paraId="41242196" w14:textId="77777777" w:rsidR="002E16EB" w:rsidRDefault="002E16EB">
      <w:pPr>
        <w:pStyle w:val="Reference"/>
        <w:numPr>
          <w:ilvl w:val="0"/>
          <w:numId w:val="0"/>
        </w:numPr>
        <w:jc w:val="left"/>
        <w:rPr>
          <w:rFonts w:ascii="Times New Roman" w:hAnsi="Times New Roman" w:cs="Times New Roman"/>
        </w:rPr>
      </w:pPr>
    </w:p>
    <w:sectPr w:rsidR="002E16EB">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DB15" w14:textId="77777777" w:rsidR="00703AD5" w:rsidRDefault="00703AD5">
      <w:pPr>
        <w:spacing w:line="240" w:lineRule="auto"/>
      </w:pPr>
      <w:r>
        <w:separator/>
      </w:r>
    </w:p>
  </w:endnote>
  <w:endnote w:type="continuationSeparator" w:id="0">
    <w:p w14:paraId="05424FAB" w14:textId="77777777" w:rsidR="00703AD5" w:rsidRDefault="00703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1058" w14:textId="77777777" w:rsidR="002E16EB" w:rsidRDefault="002732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4CB8">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4CB8">
      <w:rPr>
        <w:rStyle w:val="PageNumber"/>
        <w:noProof/>
      </w:rPr>
      <w:t>4</w:t>
    </w:r>
    <w:r>
      <w:rPr>
        <w:rStyle w:val="PageNumber"/>
      </w:rPr>
      <w:fldChar w:fldCharType="end"/>
    </w:r>
    <w:r>
      <w:rPr>
        <w:rStyle w:val="PageNumber"/>
      </w:rPr>
      <w:tab/>
    </w:r>
  </w:p>
  <w:p w14:paraId="700CDA1B" w14:textId="77777777" w:rsidR="002E16EB" w:rsidRDefault="002E16EB"/>
  <w:p w14:paraId="38182B5B" w14:textId="77777777" w:rsidR="002E16EB" w:rsidRDefault="002E1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A95E" w14:textId="77777777" w:rsidR="00703AD5" w:rsidRDefault="00703AD5">
      <w:pPr>
        <w:spacing w:after="0"/>
      </w:pPr>
      <w:r>
        <w:separator/>
      </w:r>
    </w:p>
  </w:footnote>
  <w:footnote w:type="continuationSeparator" w:id="0">
    <w:p w14:paraId="0F3FF4ED" w14:textId="77777777" w:rsidR="00703AD5" w:rsidRDefault="00703A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F0E" w14:textId="77777777" w:rsidR="002E16EB" w:rsidRDefault="00273202">
    <w:r>
      <w:t xml:space="preserve">Page </w:t>
    </w:r>
    <w:r>
      <w:fldChar w:fldCharType="begin"/>
    </w:r>
    <w:r>
      <w:instrText>PAGE</w:instrText>
    </w:r>
    <w:r>
      <w:fldChar w:fldCharType="separate"/>
    </w:r>
    <w:r>
      <w:t>4</w:t>
    </w:r>
    <w:r>
      <w:fldChar w:fldCharType="end"/>
    </w:r>
    <w:r>
      <w:br/>
      <w:t>Draft prETS 300 ???: Month YYYY</w:t>
    </w:r>
  </w:p>
  <w:p w14:paraId="11897DF3" w14:textId="77777777" w:rsidR="002E16EB" w:rsidRDefault="002E16EB"/>
  <w:p w14:paraId="62B1A027" w14:textId="77777777" w:rsidR="002E16EB" w:rsidRDefault="002E1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E4A0B"/>
    <w:multiLevelType w:val="hybridMultilevel"/>
    <w:tmpl w:val="90CE9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B82940"/>
    <w:multiLevelType w:val="multilevel"/>
    <w:tmpl w:val="13B8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9"/>
  </w:num>
  <w:num w:numId="3">
    <w:abstractNumId w:val="2"/>
  </w:num>
  <w:num w:numId="4">
    <w:abstractNumId w:val="6"/>
  </w:num>
  <w:num w:numId="5">
    <w:abstractNumId w:val="4"/>
  </w:num>
  <w:num w:numId="6">
    <w:abstractNumId w:val="15"/>
  </w:num>
  <w:num w:numId="7">
    <w:abstractNumId w:val="0"/>
  </w:num>
  <w:num w:numId="8">
    <w:abstractNumId w:val="19"/>
  </w:num>
  <w:num w:numId="9">
    <w:abstractNumId w:val="12"/>
  </w:num>
  <w:num w:numId="10">
    <w:abstractNumId w:val="10"/>
  </w:num>
  <w:num w:numId="11">
    <w:abstractNumId w:val="13"/>
  </w:num>
  <w:num w:numId="12">
    <w:abstractNumId w:val="14"/>
  </w:num>
  <w:num w:numId="13">
    <w:abstractNumId w:val="7"/>
  </w:num>
  <w:num w:numId="14">
    <w:abstractNumId w:val="11"/>
  </w:num>
  <w:num w:numId="15">
    <w:abstractNumId w:val="5"/>
  </w:num>
  <w:num w:numId="16">
    <w:abstractNumId w:val="17"/>
  </w:num>
  <w:num w:numId="17">
    <w:abstractNumId w:val="8"/>
  </w:num>
  <w:num w:numId="18">
    <w:abstractNumId w:val="1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79A"/>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2B9"/>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02"/>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6EB"/>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6B53"/>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3AD5"/>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5E49"/>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3F49"/>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161E"/>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4CB8"/>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949AC"/>
  <w15:docId w15:val="{29D099FC-2745-4615-9A6A-19EB7FD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64FE7E-7F75-41C8-B535-67C52B96DAF2}">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cp:lastModifiedBy>
  <cp:revision>3</cp:revision>
  <cp:lastPrinted>2008-01-31T16:09:00Z</cp:lastPrinted>
  <dcterms:created xsi:type="dcterms:W3CDTF">2022-03-02T15:43:00Z</dcterms:created>
  <dcterms:modified xsi:type="dcterms:W3CDTF">2022-03-02T16:09:00Z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