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C58F3" w14:textId="2E0092C1" w:rsidR="00872D44" w:rsidRPr="00E61DEB" w:rsidRDefault="00872D44" w:rsidP="00872D44">
      <w:pPr>
        <w:pBdr>
          <w:top w:val="single" w:sz="4" w:space="1" w:color="auto"/>
        </w:pBdr>
        <w:spacing w:after="0"/>
        <w:jc w:val="left"/>
        <w:rPr>
          <w:b/>
          <w:noProof/>
          <w:lang w:eastAsia="fr-FR"/>
        </w:rPr>
      </w:pPr>
      <w:r w:rsidRPr="00E61DEB">
        <w:rPr>
          <w:b/>
          <w:noProof/>
          <w:lang w:eastAsia="fr-FR"/>
        </w:rPr>
        <w:t>3GPP TSG RAN WG1 Meeting #</w:t>
      </w:r>
      <w:r w:rsidR="009C0C58" w:rsidRPr="00E61DEB">
        <w:rPr>
          <w:b/>
          <w:noProof/>
          <w:lang w:eastAsia="fr-FR"/>
        </w:rPr>
        <w:t>10</w:t>
      </w:r>
      <w:r w:rsidR="00213127">
        <w:rPr>
          <w:b/>
          <w:noProof/>
          <w:lang w:eastAsia="fr-FR"/>
        </w:rPr>
        <w:t>8</w:t>
      </w:r>
      <w:r w:rsidR="002D6400">
        <w:rPr>
          <w:b/>
          <w:noProof/>
          <w:lang w:eastAsia="fr-FR"/>
        </w:rPr>
        <w:t>-e</w:t>
      </w:r>
      <w:r w:rsidRPr="00E61DEB">
        <w:rPr>
          <w:b/>
          <w:noProof/>
          <w:lang w:eastAsia="fr-FR"/>
        </w:rPr>
        <w:t xml:space="preserve">  </w:t>
      </w:r>
      <w:r w:rsidRPr="00E61DEB">
        <w:rPr>
          <w:b/>
          <w:noProof/>
          <w:lang w:eastAsia="fr-FR"/>
        </w:rPr>
        <w:tab/>
      </w:r>
      <w:r w:rsidRPr="00E61DEB">
        <w:rPr>
          <w:b/>
          <w:noProof/>
          <w:lang w:eastAsia="fr-FR"/>
        </w:rPr>
        <w:tab/>
      </w:r>
      <w:r w:rsidRPr="00E61DEB">
        <w:rPr>
          <w:b/>
          <w:noProof/>
          <w:lang w:eastAsia="fr-FR"/>
        </w:rPr>
        <w:tab/>
      </w:r>
      <w:r w:rsidRPr="00E61DEB">
        <w:rPr>
          <w:b/>
          <w:noProof/>
          <w:lang w:eastAsia="fr-FR"/>
        </w:rPr>
        <w:tab/>
      </w:r>
      <w:r w:rsidRPr="00E61DEB">
        <w:rPr>
          <w:b/>
          <w:noProof/>
          <w:lang w:eastAsia="fr-FR"/>
        </w:rPr>
        <w:tab/>
      </w:r>
      <w:r w:rsidRPr="00E61DEB">
        <w:rPr>
          <w:b/>
          <w:noProof/>
          <w:lang w:eastAsia="fr-FR"/>
        </w:rPr>
        <w:tab/>
      </w:r>
      <w:r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FE5121" w:rsidRPr="00E61DEB">
        <w:rPr>
          <w:b/>
          <w:noProof/>
          <w:lang w:eastAsia="fr-FR"/>
        </w:rPr>
        <w:tab/>
      </w:r>
      <w:r w:rsidR="00537985" w:rsidRPr="00E61DEB">
        <w:rPr>
          <w:b/>
          <w:noProof/>
          <w:lang w:eastAsia="fr-FR"/>
        </w:rPr>
        <w:t xml:space="preserve"> </w:t>
      </w:r>
      <w:r w:rsidR="00537985" w:rsidRPr="00E61DEB">
        <w:rPr>
          <w:b/>
          <w:noProof/>
          <w:lang w:eastAsia="fr-FR"/>
        </w:rPr>
        <w:tab/>
      </w:r>
      <w:r w:rsidR="00FE5121" w:rsidRPr="00E61DEB">
        <w:rPr>
          <w:b/>
          <w:noProof/>
          <w:lang w:eastAsia="fr-FR"/>
        </w:rPr>
        <w:tab/>
      </w:r>
      <w:r w:rsidR="00FE5121" w:rsidRPr="00E61DEB">
        <w:rPr>
          <w:b/>
          <w:noProof/>
          <w:lang w:eastAsia="fr-FR"/>
        </w:rPr>
        <w:tab/>
      </w:r>
      <w:r w:rsidR="00C51747" w:rsidRPr="00E61DEB">
        <w:rPr>
          <w:b/>
        </w:rPr>
        <w:t xml:space="preserve">                                                                                                               </w:t>
      </w:r>
      <w:r w:rsidR="00213127">
        <w:rPr>
          <w:b/>
        </w:rPr>
        <w:t>R1-220xxxx</w:t>
      </w:r>
    </w:p>
    <w:p w14:paraId="06BC58F4" w14:textId="5BFD2384" w:rsidR="00872D44" w:rsidRPr="00E61DEB" w:rsidRDefault="00537985" w:rsidP="00872D44">
      <w:pPr>
        <w:tabs>
          <w:tab w:val="right" w:pos="9216"/>
        </w:tabs>
        <w:spacing w:after="0"/>
        <w:jc w:val="left"/>
        <w:rPr>
          <w:b/>
          <w:noProof/>
          <w:lang w:eastAsia="fr-FR"/>
        </w:rPr>
      </w:pPr>
      <w:r w:rsidRPr="00E61DEB">
        <w:rPr>
          <w:b/>
          <w:noProof/>
          <w:lang w:eastAsia="fr-FR"/>
        </w:rPr>
        <w:t xml:space="preserve">e-Meeting, </w:t>
      </w:r>
      <w:r w:rsidR="00213127" w:rsidRPr="00213127">
        <w:rPr>
          <w:b/>
          <w:noProof/>
          <w:lang w:eastAsia="fr-FR"/>
        </w:rPr>
        <w:t>February 21</w:t>
      </w:r>
      <w:r w:rsidR="00213127" w:rsidRPr="00213127">
        <w:rPr>
          <w:b/>
          <w:noProof/>
          <w:vertAlign w:val="superscript"/>
          <w:lang w:eastAsia="fr-FR"/>
        </w:rPr>
        <w:t>st</w:t>
      </w:r>
      <w:r w:rsidR="00213127">
        <w:rPr>
          <w:b/>
          <w:noProof/>
          <w:lang w:eastAsia="fr-FR"/>
        </w:rPr>
        <w:t xml:space="preserve"> </w:t>
      </w:r>
      <w:r w:rsidR="00213127" w:rsidRPr="00213127">
        <w:rPr>
          <w:b/>
          <w:noProof/>
          <w:lang w:eastAsia="fr-FR"/>
        </w:rPr>
        <w:t xml:space="preserve"> – March 3</w:t>
      </w:r>
      <w:r w:rsidR="00213127" w:rsidRPr="00213127">
        <w:rPr>
          <w:b/>
          <w:noProof/>
          <w:vertAlign w:val="superscript"/>
          <w:lang w:eastAsia="fr-FR"/>
        </w:rPr>
        <w:t>rd</w:t>
      </w:r>
      <w:r w:rsidR="00213127">
        <w:rPr>
          <w:b/>
          <w:noProof/>
          <w:lang w:eastAsia="fr-FR"/>
        </w:rPr>
        <w:t xml:space="preserve"> , 2022</w:t>
      </w:r>
    </w:p>
    <w:p w14:paraId="06BC58F5" w14:textId="77777777" w:rsidR="00FD0EF8" w:rsidRPr="00E61DEB" w:rsidRDefault="00FD0EF8" w:rsidP="00FF3EEC">
      <w:pPr>
        <w:pBdr>
          <w:top w:val="single" w:sz="4" w:space="1" w:color="auto"/>
        </w:pBdr>
        <w:spacing w:after="0"/>
        <w:jc w:val="left"/>
        <w:rPr>
          <w:b/>
          <w:kern w:val="2"/>
          <w:lang w:eastAsia="zh-CN"/>
        </w:rPr>
      </w:pPr>
    </w:p>
    <w:p w14:paraId="06BC58F6" w14:textId="77777777" w:rsidR="00791306" w:rsidRPr="00E61DEB" w:rsidRDefault="00791306" w:rsidP="00FF3EEC">
      <w:pPr>
        <w:spacing w:after="60"/>
        <w:ind w:left="1555" w:hanging="1555"/>
        <w:jc w:val="left"/>
        <w:rPr>
          <w:b/>
          <w:kern w:val="2"/>
          <w:lang w:eastAsia="zh-CN"/>
        </w:rPr>
      </w:pPr>
      <w:r w:rsidRPr="00E61DEB">
        <w:rPr>
          <w:b/>
          <w:kern w:val="2"/>
          <w:lang w:eastAsia="zh-CN"/>
        </w:rPr>
        <w:t>Agenda Item:</w:t>
      </w:r>
      <w:r w:rsidRPr="00E61DEB">
        <w:rPr>
          <w:b/>
          <w:kern w:val="2"/>
          <w:lang w:eastAsia="zh-CN"/>
        </w:rPr>
        <w:tab/>
      </w:r>
      <w:r w:rsidR="0021038F" w:rsidRPr="00E61DEB">
        <w:rPr>
          <w:b/>
          <w:kern w:val="2"/>
          <w:lang w:eastAsia="zh-CN"/>
        </w:rPr>
        <w:t>8.4</w:t>
      </w:r>
    </w:p>
    <w:p w14:paraId="06BC58F7" w14:textId="6E0059F5" w:rsidR="00791306" w:rsidRPr="00E61DEB" w:rsidRDefault="00791306" w:rsidP="00FF3EEC">
      <w:pPr>
        <w:spacing w:after="60"/>
        <w:ind w:left="1555" w:hanging="1555"/>
        <w:jc w:val="left"/>
        <w:rPr>
          <w:b/>
          <w:kern w:val="2"/>
          <w:lang w:eastAsia="zh-CN"/>
        </w:rPr>
      </w:pPr>
      <w:r w:rsidRPr="00E61DEB">
        <w:rPr>
          <w:b/>
          <w:kern w:val="2"/>
          <w:lang w:eastAsia="zh-CN"/>
        </w:rPr>
        <w:t>Source:</w:t>
      </w:r>
      <w:r w:rsidRPr="00E61DEB">
        <w:rPr>
          <w:b/>
          <w:kern w:val="2"/>
          <w:lang w:eastAsia="zh-CN"/>
        </w:rPr>
        <w:tab/>
      </w:r>
      <w:r w:rsidR="00E347F8" w:rsidRPr="00E61DEB">
        <w:rPr>
          <w:b/>
          <w:kern w:val="2"/>
          <w:lang w:eastAsia="zh-CN"/>
        </w:rPr>
        <w:t>Moderator (Thales)</w:t>
      </w:r>
    </w:p>
    <w:p w14:paraId="06BC58F8" w14:textId="095B3A95" w:rsidR="00F3439E" w:rsidRPr="00E61DEB" w:rsidRDefault="00791306" w:rsidP="00FF3EEC">
      <w:pPr>
        <w:spacing w:after="60"/>
        <w:ind w:left="1555" w:hanging="1555"/>
        <w:jc w:val="left"/>
        <w:rPr>
          <w:b/>
          <w:kern w:val="2"/>
          <w:lang w:eastAsia="zh-CN"/>
        </w:rPr>
      </w:pPr>
      <w:r w:rsidRPr="00E61DEB">
        <w:rPr>
          <w:b/>
          <w:kern w:val="2"/>
          <w:lang w:eastAsia="zh-CN"/>
        </w:rPr>
        <w:t>Title:</w:t>
      </w:r>
      <w:r w:rsidRPr="00E61DEB">
        <w:rPr>
          <w:b/>
          <w:kern w:val="2"/>
          <w:lang w:eastAsia="zh-CN"/>
        </w:rPr>
        <w:tab/>
      </w:r>
      <w:r w:rsidR="00EA7FF5" w:rsidRPr="00E61DEB">
        <w:rPr>
          <w:b/>
          <w:kern w:val="2"/>
          <w:lang w:eastAsia="zh-CN"/>
        </w:rPr>
        <w:t xml:space="preserve">Summary of </w:t>
      </w:r>
      <w:r w:rsidR="00213127" w:rsidRPr="00213127">
        <w:rPr>
          <w:b/>
        </w:rPr>
        <w:t>[108-e-R17-RRC-NR-NTN] Email discussion on Rel-17 RRC parameters for NR to support NTN</w:t>
      </w:r>
    </w:p>
    <w:p w14:paraId="06BC58F9" w14:textId="77777777" w:rsidR="00791306" w:rsidRPr="00E61DEB" w:rsidRDefault="00791306" w:rsidP="00FF3EEC">
      <w:pPr>
        <w:spacing w:after="60"/>
        <w:ind w:left="1555" w:hanging="1555"/>
        <w:jc w:val="left"/>
        <w:rPr>
          <w:b/>
          <w:kern w:val="2"/>
          <w:lang w:eastAsia="zh-CN"/>
        </w:rPr>
      </w:pPr>
      <w:r w:rsidRPr="00E61DEB">
        <w:rPr>
          <w:b/>
          <w:kern w:val="2"/>
          <w:lang w:eastAsia="zh-CN"/>
        </w:rPr>
        <w:t>Docum</w:t>
      </w:r>
      <w:r w:rsidR="00290422" w:rsidRPr="00E61DEB">
        <w:rPr>
          <w:b/>
          <w:kern w:val="2"/>
          <w:lang w:eastAsia="zh-CN"/>
        </w:rPr>
        <w:t>ent for:</w:t>
      </w:r>
      <w:r w:rsidR="00235140" w:rsidRPr="00E61DEB">
        <w:rPr>
          <w:b/>
          <w:kern w:val="2"/>
          <w:lang w:eastAsia="zh-CN"/>
        </w:rPr>
        <w:tab/>
        <w:t>Discussion</w:t>
      </w:r>
      <w:r w:rsidR="005802CD" w:rsidRPr="00E61DEB">
        <w:rPr>
          <w:b/>
          <w:kern w:val="2"/>
          <w:lang w:eastAsia="zh-CN"/>
        </w:rPr>
        <w:t xml:space="preserve"> </w:t>
      </w:r>
    </w:p>
    <w:p w14:paraId="06BC58FA" w14:textId="77777777" w:rsidR="00791306" w:rsidRPr="00E61DEB" w:rsidRDefault="00791306" w:rsidP="00FF3EEC">
      <w:pPr>
        <w:pBdr>
          <w:bottom w:val="single" w:sz="4" w:space="1" w:color="auto"/>
        </w:pBdr>
        <w:spacing w:after="0"/>
        <w:jc w:val="left"/>
        <w:rPr>
          <w:b/>
        </w:rPr>
      </w:pPr>
    </w:p>
    <w:p w14:paraId="06BC58FB" w14:textId="77777777" w:rsidR="00791306" w:rsidRPr="00E61DEB" w:rsidRDefault="00791306" w:rsidP="00FF3EEC">
      <w:pPr>
        <w:pStyle w:val="1"/>
        <w:rPr>
          <w:sz w:val="22"/>
          <w:szCs w:val="22"/>
        </w:rPr>
      </w:pPr>
      <w:bookmarkStart w:id="0" w:name="_Ref124589705"/>
      <w:bookmarkStart w:id="1" w:name="_Ref129681862"/>
      <w:bookmarkStart w:id="2" w:name="_Toc82188760"/>
      <w:r w:rsidRPr="00E61DEB">
        <w:rPr>
          <w:sz w:val="22"/>
          <w:szCs w:val="22"/>
        </w:rPr>
        <w:t>Introduction</w:t>
      </w:r>
      <w:bookmarkEnd w:id="0"/>
      <w:bookmarkEnd w:id="1"/>
      <w:bookmarkEnd w:id="2"/>
    </w:p>
    <w:p w14:paraId="3EB0D2E1" w14:textId="6827E795" w:rsidR="0042126C" w:rsidRPr="00E61DEB" w:rsidRDefault="0042126C" w:rsidP="00E959D4">
      <w:pPr>
        <w:pStyle w:val="a5"/>
        <w:jc w:val="both"/>
        <w:rPr>
          <w:b w:val="0"/>
          <w:bCs w:val="0"/>
          <w:sz w:val="22"/>
          <w:szCs w:val="22"/>
        </w:rPr>
      </w:pPr>
      <w:r w:rsidRPr="00E61DEB">
        <w:rPr>
          <w:b w:val="0"/>
          <w:bCs w:val="0"/>
          <w:sz w:val="22"/>
          <w:szCs w:val="22"/>
        </w:rPr>
        <w:t xml:space="preserve">There </w:t>
      </w:r>
      <w:r w:rsidR="007F3C15">
        <w:rPr>
          <w:b w:val="0"/>
          <w:bCs w:val="0"/>
          <w:sz w:val="22"/>
          <w:szCs w:val="22"/>
        </w:rPr>
        <w:t xml:space="preserve">were </w:t>
      </w:r>
      <w:r w:rsidRPr="00E61DEB">
        <w:rPr>
          <w:b w:val="0"/>
          <w:bCs w:val="0"/>
          <w:sz w:val="22"/>
          <w:szCs w:val="22"/>
        </w:rPr>
        <w:t>preliminary discussion</w:t>
      </w:r>
      <w:r w:rsidR="007F3C15">
        <w:rPr>
          <w:b w:val="0"/>
          <w:bCs w:val="0"/>
          <w:sz w:val="22"/>
          <w:szCs w:val="22"/>
        </w:rPr>
        <w:t>s</w:t>
      </w:r>
      <w:r w:rsidRPr="00E61DEB">
        <w:rPr>
          <w:b w:val="0"/>
          <w:bCs w:val="0"/>
          <w:sz w:val="22"/>
          <w:szCs w:val="22"/>
        </w:rPr>
        <w:t xml:space="preserve"> on RRC parameters for NR to support NTN</w:t>
      </w:r>
      <w:r w:rsidR="00273AEA" w:rsidRPr="00E61DEB">
        <w:rPr>
          <w:b w:val="0"/>
          <w:bCs w:val="0"/>
          <w:sz w:val="22"/>
          <w:szCs w:val="22"/>
        </w:rPr>
        <w:t xml:space="preserve"> </w:t>
      </w:r>
      <w:r w:rsidRPr="00E61DEB">
        <w:rPr>
          <w:b w:val="0"/>
          <w:bCs w:val="0"/>
          <w:sz w:val="22"/>
          <w:szCs w:val="22"/>
        </w:rPr>
        <w:t>[</w:t>
      </w:r>
      <w:r w:rsidR="00A91373">
        <w:rPr>
          <w:b w:val="0"/>
          <w:bCs w:val="0"/>
          <w:sz w:val="22"/>
          <w:szCs w:val="22"/>
        </w:rPr>
        <w:t>1</w:t>
      </w:r>
      <w:r w:rsidRPr="00E61DEB">
        <w:rPr>
          <w:b w:val="0"/>
          <w:bCs w:val="0"/>
          <w:sz w:val="22"/>
          <w:szCs w:val="22"/>
        </w:rPr>
        <w:t>]</w:t>
      </w:r>
      <w:r w:rsidR="00273AEA" w:rsidRPr="00E61DEB">
        <w:rPr>
          <w:b w:val="0"/>
          <w:bCs w:val="0"/>
          <w:sz w:val="22"/>
          <w:szCs w:val="22"/>
        </w:rPr>
        <w:t>. In current RAN1 meeting, RRC parameters pertinent for NR NTN will be further discussed.</w:t>
      </w:r>
    </w:p>
    <w:p w14:paraId="05DA6035" w14:textId="3B6375A4" w:rsidR="00213127" w:rsidRDefault="00273AEA" w:rsidP="00213127">
      <w:pPr>
        <w:rPr>
          <w:highlight w:val="cyan"/>
        </w:rPr>
      </w:pPr>
      <w:r w:rsidRPr="00E61DEB">
        <w:t xml:space="preserve">This document </w:t>
      </w:r>
      <w:r w:rsidR="0042126C" w:rsidRPr="00E61DEB">
        <w:t xml:space="preserve">is the Summary of </w:t>
      </w:r>
      <w:r w:rsidR="00213127" w:rsidRPr="00BE4F25">
        <w:rPr>
          <w:highlight w:val="cyan"/>
          <w:lang w:eastAsia="x-none"/>
        </w:rPr>
        <w:t>[10</w:t>
      </w:r>
      <w:r w:rsidR="00213127">
        <w:rPr>
          <w:highlight w:val="cyan"/>
          <w:lang w:eastAsia="x-none"/>
        </w:rPr>
        <w:t>8</w:t>
      </w:r>
      <w:r w:rsidR="00213127" w:rsidRPr="00BE4F25">
        <w:rPr>
          <w:highlight w:val="cyan"/>
          <w:lang w:eastAsia="x-none"/>
        </w:rPr>
        <w:t>-e-</w:t>
      </w:r>
      <w:r w:rsidR="00213127">
        <w:rPr>
          <w:highlight w:val="cyan"/>
          <w:lang w:eastAsia="x-none"/>
        </w:rPr>
        <w:t>R17-RRC-NR-NTN</w:t>
      </w:r>
      <w:r w:rsidR="00213127" w:rsidRPr="00BE4F25">
        <w:rPr>
          <w:highlight w:val="cyan"/>
          <w:lang w:eastAsia="x-none"/>
        </w:rPr>
        <w:t xml:space="preserve">] Email discussion on </w:t>
      </w:r>
      <w:r w:rsidR="00213127">
        <w:rPr>
          <w:highlight w:val="cyan"/>
          <w:lang w:eastAsia="x-none"/>
        </w:rPr>
        <w:t xml:space="preserve">Rel-17 RRC parameters for NR to support NTN </w:t>
      </w:r>
    </w:p>
    <w:p w14:paraId="25A985B5" w14:textId="77777777" w:rsidR="00213127" w:rsidRDefault="00213127" w:rsidP="00213127">
      <w:pPr>
        <w:numPr>
          <w:ilvl w:val="0"/>
          <w:numId w:val="12"/>
        </w:numPr>
        <w:autoSpaceDE/>
        <w:autoSpaceDN/>
        <w:adjustRightInd/>
        <w:snapToGrid/>
        <w:spacing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sidRPr="00150BB2">
        <w:rPr>
          <w:highlight w:val="cyan"/>
        </w:rPr>
        <w:t xml:space="preserve"> </w:t>
      </w:r>
      <w:r>
        <w:rPr>
          <w:highlight w:val="cyan"/>
        </w:rPr>
        <w:t xml:space="preserve">for first LS in </w:t>
      </w:r>
      <w:r>
        <w:rPr>
          <w:highlight w:val="cyan"/>
          <w:lang w:eastAsia="x-none"/>
        </w:rPr>
        <w:t>[108-e-R17-RRC]: February 24</w:t>
      </w:r>
    </w:p>
    <w:p w14:paraId="737B29EC" w14:textId="77777777" w:rsidR="00213127" w:rsidRDefault="00213127" w:rsidP="00213127">
      <w:pPr>
        <w:numPr>
          <w:ilvl w:val="0"/>
          <w:numId w:val="12"/>
        </w:numPr>
        <w:autoSpaceDE/>
        <w:autoSpaceDN/>
        <w:adjustRightInd/>
        <w:snapToGrid/>
        <w:spacing w:after="0"/>
        <w:jc w:val="left"/>
        <w:rPr>
          <w:highlight w:val="cyan"/>
          <w:lang w:eastAsia="x-none"/>
        </w:rPr>
      </w:pPr>
      <w:r>
        <w:rPr>
          <w:highlight w:val="cyan"/>
          <w:lang w:eastAsia="x-none"/>
        </w:rPr>
        <w:t>Final</w:t>
      </w:r>
      <w:r>
        <w:rPr>
          <w:rFonts w:hint="eastAsia"/>
          <w:highlight w:val="cyan"/>
          <w:lang w:eastAsia="x-none"/>
        </w:rPr>
        <w:t xml:space="preserve"> check point</w:t>
      </w:r>
      <w:r w:rsidRPr="00150BB2">
        <w:rPr>
          <w:highlight w:val="cyan"/>
          <w:lang w:eastAsia="x-none"/>
        </w:rPr>
        <w:t xml:space="preserve"> </w:t>
      </w:r>
      <w:r>
        <w:rPr>
          <w:highlight w:val="cyan"/>
          <w:lang w:eastAsia="x-none"/>
        </w:rPr>
        <w:t xml:space="preserve">for second LS in </w:t>
      </w:r>
      <w:r w:rsidRPr="00BE4F25">
        <w:rPr>
          <w:highlight w:val="cyan"/>
          <w:lang w:eastAsia="x-none"/>
        </w:rPr>
        <w:t>[10</w:t>
      </w:r>
      <w:r>
        <w:rPr>
          <w:highlight w:val="cyan"/>
          <w:lang w:eastAsia="x-none"/>
        </w:rPr>
        <w:t>8</w:t>
      </w:r>
      <w:r w:rsidRPr="00BE4F25">
        <w:rPr>
          <w:highlight w:val="cyan"/>
          <w:lang w:eastAsia="x-none"/>
        </w:rPr>
        <w:t>-e-</w:t>
      </w:r>
      <w:r>
        <w:rPr>
          <w:highlight w:val="cyan"/>
          <w:lang w:eastAsia="x-none"/>
        </w:rPr>
        <w:t>R17-RRC</w:t>
      </w:r>
      <w:r w:rsidRPr="00BE4F25">
        <w:rPr>
          <w:highlight w:val="cyan"/>
          <w:lang w:eastAsia="x-none"/>
        </w:rPr>
        <w:t>]</w:t>
      </w:r>
      <w:r>
        <w:rPr>
          <w:highlight w:val="cyan"/>
          <w:lang w:eastAsia="x-none"/>
        </w:rPr>
        <w:t xml:space="preserve"> if necessary</w:t>
      </w:r>
      <w:r>
        <w:rPr>
          <w:rFonts w:hint="eastAsia"/>
          <w:highlight w:val="cyan"/>
          <w:lang w:eastAsia="x-none"/>
        </w:rPr>
        <w:t xml:space="preserve">: </w:t>
      </w:r>
      <w:r>
        <w:rPr>
          <w:highlight w:val="cyan"/>
        </w:rPr>
        <w:t>March 3</w:t>
      </w:r>
    </w:p>
    <w:p w14:paraId="3B5C6136" w14:textId="2469B1E5" w:rsidR="00094B3B" w:rsidRPr="00E61DEB" w:rsidRDefault="00094B3B" w:rsidP="00213127"/>
    <w:p w14:paraId="06BC58FD" w14:textId="77777777" w:rsidR="003B5392" w:rsidRPr="00E61DEB" w:rsidRDefault="00E302D0" w:rsidP="003B5392">
      <w:pPr>
        <w:pStyle w:val="1"/>
        <w:rPr>
          <w:sz w:val="22"/>
          <w:szCs w:val="22"/>
        </w:rPr>
      </w:pPr>
      <w:bookmarkStart w:id="3" w:name="_Toc82188762"/>
      <w:r w:rsidRPr="00E61DEB">
        <w:rPr>
          <w:sz w:val="22"/>
          <w:szCs w:val="22"/>
        </w:rPr>
        <w:t>Timing relationship enhancements</w:t>
      </w:r>
      <w:bookmarkEnd w:id="3"/>
    </w:p>
    <w:p w14:paraId="06BC58FE" w14:textId="77777777" w:rsidR="003B5392" w:rsidRPr="00E61DEB" w:rsidRDefault="003B5392" w:rsidP="003B5392">
      <w:pPr>
        <w:pStyle w:val="2"/>
        <w:rPr>
          <w:sz w:val="22"/>
        </w:rPr>
      </w:pPr>
      <w:bookmarkStart w:id="4" w:name="_Toc82188763"/>
      <w:r w:rsidRPr="00E61DEB">
        <w:rPr>
          <w:sz w:val="22"/>
        </w:rPr>
        <w:t>Related RRC parameters</w:t>
      </w:r>
      <w:bookmarkEnd w:id="4"/>
    </w:p>
    <w:p w14:paraId="7048D389" w14:textId="4402A743" w:rsidR="008C2BB3" w:rsidRDefault="00304663" w:rsidP="008C2BB3">
      <w:r w:rsidRPr="00E61DEB">
        <w:t>Based on the ag</w:t>
      </w:r>
      <w:r w:rsidR="00E87B4B">
        <w:t>reements to date (up to RAN1#107</w:t>
      </w:r>
      <w:r w:rsidRPr="00E61DEB">
        <w:t>-e) and the companies proposals submitted to RAN1#10</w:t>
      </w:r>
      <w:r w:rsidR="00E87B4B">
        <w:t>8</w:t>
      </w:r>
      <w:r w:rsidRPr="00E61DEB">
        <w:t>-e</w:t>
      </w:r>
      <w:r w:rsidR="008C2BB3" w:rsidRPr="00E61DEB">
        <w:t>, a</w:t>
      </w:r>
      <w:r w:rsidR="00AF5A94">
        <w:t>n updated</w:t>
      </w:r>
      <w:r w:rsidR="008C2BB3" w:rsidRPr="00E61DEB">
        <w:t xml:space="preserve"> list of RRC parameters pertinent to NR NTN </w:t>
      </w:r>
      <w:r w:rsidR="006759E6" w:rsidRPr="00E61DEB">
        <w:t xml:space="preserve"> and related to the t</w:t>
      </w:r>
      <w:r w:rsidR="008C2BB3" w:rsidRPr="00E61DEB">
        <w:t>iming relationship enhancements is given within the following table:</w:t>
      </w:r>
    </w:p>
    <w:tbl>
      <w:tblPr>
        <w:tblW w:w="5000" w:type="pct"/>
        <w:tblLook w:val="04A0" w:firstRow="1" w:lastRow="0" w:firstColumn="1" w:lastColumn="0" w:noHBand="0" w:noVBand="1"/>
      </w:tblPr>
      <w:tblGrid>
        <w:gridCol w:w="1995"/>
        <w:gridCol w:w="1202"/>
        <w:gridCol w:w="5383"/>
        <w:gridCol w:w="1367"/>
        <w:gridCol w:w="990"/>
        <w:gridCol w:w="994"/>
        <w:gridCol w:w="1368"/>
        <w:gridCol w:w="1605"/>
        <w:gridCol w:w="4305"/>
        <w:gridCol w:w="909"/>
      </w:tblGrid>
      <w:tr w:rsidR="00C24756" w:rsidRPr="00DE335A" w14:paraId="3556B031" w14:textId="77777777" w:rsidTr="00C24756">
        <w:trPr>
          <w:trHeight w:val="765"/>
        </w:trPr>
        <w:tc>
          <w:tcPr>
            <w:tcW w:w="496"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39DB6B56"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Parameter name in the spec</w:t>
            </w:r>
          </w:p>
        </w:tc>
        <w:tc>
          <w:tcPr>
            <w:tcW w:w="299" w:type="pct"/>
            <w:tcBorders>
              <w:top w:val="single" w:sz="4" w:space="0" w:color="auto"/>
              <w:left w:val="nil"/>
              <w:bottom w:val="single" w:sz="4" w:space="0" w:color="auto"/>
              <w:right w:val="single" w:sz="4" w:space="0" w:color="auto"/>
            </w:tcBorders>
            <w:shd w:val="clear" w:color="000000" w:fill="00B0F0"/>
            <w:vAlign w:val="center"/>
            <w:hideMark/>
          </w:tcPr>
          <w:p w14:paraId="31B1908B"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New or existing?</w:t>
            </w:r>
          </w:p>
        </w:tc>
        <w:tc>
          <w:tcPr>
            <w:tcW w:w="1338" w:type="pct"/>
            <w:tcBorders>
              <w:top w:val="single" w:sz="4" w:space="0" w:color="auto"/>
              <w:left w:val="nil"/>
              <w:bottom w:val="single" w:sz="4" w:space="0" w:color="auto"/>
              <w:right w:val="single" w:sz="4" w:space="0" w:color="auto"/>
            </w:tcBorders>
            <w:shd w:val="clear" w:color="000000" w:fill="00B0F0"/>
            <w:vAlign w:val="center"/>
            <w:hideMark/>
          </w:tcPr>
          <w:p w14:paraId="00D2E734"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Description</w:t>
            </w:r>
          </w:p>
        </w:tc>
        <w:tc>
          <w:tcPr>
            <w:tcW w:w="340" w:type="pct"/>
            <w:tcBorders>
              <w:top w:val="single" w:sz="4" w:space="0" w:color="auto"/>
              <w:left w:val="nil"/>
              <w:bottom w:val="single" w:sz="4" w:space="0" w:color="auto"/>
              <w:right w:val="single" w:sz="4" w:space="0" w:color="auto"/>
            </w:tcBorders>
            <w:shd w:val="clear" w:color="000000" w:fill="00B0F0"/>
            <w:vAlign w:val="center"/>
            <w:hideMark/>
          </w:tcPr>
          <w:p w14:paraId="35FC70C9"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Value range</w:t>
            </w:r>
          </w:p>
        </w:tc>
        <w:tc>
          <w:tcPr>
            <w:tcW w:w="246" w:type="pct"/>
            <w:tcBorders>
              <w:top w:val="single" w:sz="4" w:space="0" w:color="auto"/>
              <w:left w:val="nil"/>
              <w:bottom w:val="single" w:sz="4" w:space="0" w:color="auto"/>
              <w:right w:val="single" w:sz="4" w:space="0" w:color="auto"/>
            </w:tcBorders>
            <w:shd w:val="clear" w:color="000000" w:fill="00B0F0"/>
            <w:vAlign w:val="center"/>
            <w:hideMark/>
          </w:tcPr>
          <w:p w14:paraId="307FA005"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Default value aspect</w:t>
            </w:r>
          </w:p>
        </w:tc>
        <w:tc>
          <w:tcPr>
            <w:tcW w:w="246" w:type="pct"/>
            <w:tcBorders>
              <w:top w:val="single" w:sz="4" w:space="0" w:color="auto"/>
              <w:left w:val="nil"/>
              <w:bottom w:val="single" w:sz="4" w:space="0" w:color="auto"/>
              <w:right w:val="single" w:sz="4" w:space="0" w:color="auto"/>
            </w:tcBorders>
            <w:shd w:val="clear" w:color="000000" w:fill="00B0F0"/>
            <w:vAlign w:val="center"/>
            <w:hideMark/>
          </w:tcPr>
          <w:p w14:paraId="2B2AAC52"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Per (UE, cell, TRP, …)</w:t>
            </w:r>
          </w:p>
        </w:tc>
        <w:tc>
          <w:tcPr>
            <w:tcW w:w="340" w:type="pct"/>
            <w:tcBorders>
              <w:top w:val="single" w:sz="4" w:space="0" w:color="auto"/>
              <w:left w:val="nil"/>
              <w:bottom w:val="single" w:sz="4" w:space="0" w:color="auto"/>
              <w:right w:val="single" w:sz="4" w:space="0" w:color="auto"/>
            </w:tcBorders>
            <w:shd w:val="clear" w:color="000000" w:fill="00B0F0"/>
            <w:vAlign w:val="center"/>
            <w:hideMark/>
          </w:tcPr>
          <w:p w14:paraId="1F218ABA"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UE-specific or Cell-specific</w:t>
            </w:r>
          </w:p>
        </w:tc>
        <w:tc>
          <w:tcPr>
            <w:tcW w:w="399" w:type="pct"/>
            <w:tcBorders>
              <w:top w:val="single" w:sz="4" w:space="0" w:color="auto"/>
              <w:left w:val="nil"/>
              <w:bottom w:val="single" w:sz="4" w:space="0" w:color="auto"/>
              <w:right w:val="single" w:sz="4" w:space="0" w:color="auto"/>
            </w:tcBorders>
            <w:shd w:val="clear" w:color="000000" w:fill="00B0F0"/>
            <w:vAlign w:val="center"/>
            <w:hideMark/>
          </w:tcPr>
          <w:p w14:paraId="64D3B93D"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Specification</w:t>
            </w:r>
          </w:p>
        </w:tc>
        <w:tc>
          <w:tcPr>
            <w:tcW w:w="1070" w:type="pct"/>
            <w:tcBorders>
              <w:top w:val="single" w:sz="4" w:space="0" w:color="auto"/>
              <w:left w:val="nil"/>
              <w:bottom w:val="single" w:sz="4" w:space="0" w:color="auto"/>
              <w:right w:val="single" w:sz="4" w:space="0" w:color="auto"/>
            </w:tcBorders>
            <w:shd w:val="clear" w:color="000000" w:fill="00B0F0"/>
            <w:vAlign w:val="center"/>
            <w:hideMark/>
          </w:tcPr>
          <w:p w14:paraId="297657CA" w14:textId="7777777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Comment</w:t>
            </w:r>
          </w:p>
        </w:tc>
        <w:tc>
          <w:tcPr>
            <w:tcW w:w="226" w:type="pct"/>
            <w:tcBorders>
              <w:top w:val="single" w:sz="4" w:space="0" w:color="auto"/>
              <w:left w:val="nil"/>
              <w:bottom w:val="single" w:sz="4" w:space="0" w:color="auto"/>
              <w:right w:val="single" w:sz="4" w:space="0" w:color="auto"/>
            </w:tcBorders>
            <w:shd w:val="clear" w:color="000000" w:fill="00B0F0"/>
            <w:vAlign w:val="center"/>
            <w:hideMark/>
          </w:tcPr>
          <w:p w14:paraId="3C12B92C" w14:textId="5B049657" w:rsidR="00C24756" w:rsidRPr="00DE335A" w:rsidRDefault="00C24756" w:rsidP="00DE335A">
            <w:pPr>
              <w:autoSpaceDE/>
              <w:autoSpaceDN/>
              <w:adjustRightInd/>
              <w:snapToGrid/>
              <w:spacing w:after="0"/>
              <w:jc w:val="left"/>
              <w:rPr>
                <w:rFonts w:ascii="Arial" w:eastAsia="Times New Roman" w:hAnsi="Arial" w:cs="Arial"/>
                <w:b/>
                <w:bCs/>
                <w:color w:val="FFFFFF"/>
                <w:sz w:val="20"/>
                <w:szCs w:val="20"/>
              </w:rPr>
            </w:pPr>
            <w:r w:rsidRPr="00DE335A">
              <w:rPr>
                <w:rFonts w:ascii="Arial" w:eastAsia="Times New Roman" w:hAnsi="Arial" w:cs="Arial"/>
                <w:b/>
                <w:bCs/>
                <w:color w:val="FFFFFF"/>
                <w:sz w:val="20"/>
                <w:szCs w:val="20"/>
              </w:rPr>
              <w:t>Status [108-e]</w:t>
            </w:r>
          </w:p>
        </w:tc>
      </w:tr>
      <w:tr w:rsidR="00C24756" w:rsidRPr="00DE335A" w14:paraId="77A4C54D" w14:textId="77777777" w:rsidTr="00C24756">
        <w:trPr>
          <w:trHeight w:val="120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59B20E28"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CellSpecific_Koffset</w:t>
            </w:r>
          </w:p>
        </w:tc>
        <w:tc>
          <w:tcPr>
            <w:tcW w:w="299" w:type="pct"/>
            <w:tcBorders>
              <w:top w:val="nil"/>
              <w:left w:val="nil"/>
              <w:bottom w:val="single" w:sz="4" w:space="0" w:color="auto"/>
              <w:right w:val="single" w:sz="4" w:space="0" w:color="auto"/>
            </w:tcBorders>
            <w:shd w:val="clear" w:color="auto" w:fill="auto"/>
            <w:noWrap/>
            <w:vAlign w:val="center"/>
            <w:hideMark/>
          </w:tcPr>
          <w:p w14:paraId="1ED603E1"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New</w:t>
            </w:r>
          </w:p>
        </w:tc>
        <w:tc>
          <w:tcPr>
            <w:tcW w:w="1338" w:type="pct"/>
            <w:tcBorders>
              <w:top w:val="nil"/>
              <w:left w:val="nil"/>
              <w:bottom w:val="single" w:sz="4" w:space="0" w:color="auto"/>
              <w:right w:val="single" w:sz="4" w:space="0" w:color="auto"/>
            </w:tcBorders>
            <w:shd w:val="clear" w:color="auto" w:fill="auto"/>
            <w:vAlign w:val="center"/>
            <w:hideMark/>
          </w:tcPr>
          <w:p w14:paraId="519A8F15"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xml:space="preserve">The CellSpecific_K_offset is a scheduling offset used for the timing relationships that need to be modified for NTN [see TS 38.2xy]. </w:t>
            </w:r>
            <w:r w:rsidRPr="00DE335A">
              <w:rPr>
                <w:rFonts w:ascii="Arial" w:eastAsia="Times New Roman" w:hAnsi="Arial" w:cs="Arial"/>
                <w:sz w:val="18"/>
                <w:szCs w:val="18"/>
              </w:rPr>
              <w:br/>
              <w:t>The unit of K_offset is number of slots for a given subcarrier spacing of 15 kHz</w:t>
            </w:r>
          </w:p>
        </w:tc>
        <w:tc>
          <w:tcPr>
            <w:tcW w:w="340" w:type="pct"/>
            <w:tcBorders>
              <w:top w:val="nil"/>
              <w:left w:val="nil"/>
              <w:bottom w:val="single" w:sz="4" w:space="0" w:color="auto"/>
              <w:right w:val="single" w:sz="4" w:space="0" w:color="auto"/>
            </w:tcBorders>
            <w:shd w:val="clear" w:color="auto" w:fill="auto"/>
            <w:noWrap/>
            <w:vAlign w:val="center"/>
            <w:hideMark/>
          </w:tcPr>
          <w:p w14:paraId="317005A7"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0 ...1023 ms</w:t>
            </w:r>
          </w:p>
        </w:tc>
        <w:tc>
          <w:tcPr>
            <w:tcW w:w="246" w:type="pct"/>
            <w:tcBorders>
              <w:top w:val="nil"/>
              <w:left w:val="nil"/>
              <w:bottom w:val="single" w:sz="4" w:space="0" w:color="auto"/>
              <w:right w:val="single" w:sz="4" w:space="0" w:color="auto"/>
            </w:tcBorders>
            <w:shd w:val="clear" w:color="auto" w:fill="auto"/>
            <w:noWrap/>
            <w:vAlign w:val="center"/>
            <w:hideMark/>
          </w:tcPr>
          <w:p w14:paraId="31959629"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246" w:type="pct"/>
            <w:tcBorders>
              <w:top w:val="nil"/>
              <w:left w:val="nil"/>
              <w:bottom w:val="single" w:sz="4" w:space="0" w:color="auto"/>
              <w:right w:val="single" w:sz="4" w:space="0" w:color="auto"/>
            </w:tcBorders>
            <w:shd w:val="clear" w:color="auto" w:fill="auto"/>
            <w:noWrap/>
            <w:vAlign w:val="center"/>
            <w:hideMark/>
          </w:tcPr>
          <w:p w14:paraId="52AE691A"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w:t>
            </w:r>
          </w:p>
        </w:tc>
        <w:tc>
          <w:tcPr>
            <w:tcW w:w="340" w:type="pct"/>
            <w:tcBorders>
              <w:top w:val="nil"/>
              <w:left w:val="nil"/>
              <w:bottom w:val="single" w:sz="4" w:space="0" w:color="auto"/>
              <w:right w:val="single" w:sz="4" w:space="0" w:color="auto"/>
            </w:tcBorders>
            <w:shd w:val="clear" w:color="auto" w:fill="auto"/>
            <w:noWrap/>
            <w:vAlign w:val="center"/>
            <w:hideMark/>
          </w:tcPr>
          <w:p w14:paraId="0802EBDB"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Cell-specific</w:t>
            </w:r>
          </w:p>
        </w:tc>
        <w:tc>
          <w:tcPr>
            <w:tcW w:w="399" w:type="pct"/>
            <w:tcBorders>
              <w:top w:val="nil"/>
              <w:left w:val="nil"/>
              <w:bottom w:val="single" w:sz="4" w:space="0" w:color="auto"/>
              <w:right w:val="single" w:sz="4" w:space="0" w:color="auto"/>
            </w:tcBorders>
            <w:shd w:val="clear" w:color="auto" w:fill="auto"/>
            <w:noWrap/>
            <w:vAlign w:val="center"/>
            <w:hideMark/>
          </w:tcPr>
          <w:p w14:paraId="731EE920"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38.331</w:t>
            </w:r>
          </w:p>
        </w:tc>
        <w:tc>
          <w:tcPr>
            <w:tcW w:w="1070" w:type="pct"/>
            <w:tcBorders>
              <w:top w:val="nil"/>
              <w:left w:val="nil"/>
              <w:bottom w:val="single" w:sz="4" w:space="0" w:color="auto"/>
              <w:right w:val="single" w:sz="4" w:space="0" w:color="auto"/>
            </w:tcBorders>
            <w:shd w:val="clear" w:color="auto" w:fill="auto"/>
            <w:vAlign w:val="center"/>
            <w:hideMark/>
          </w:tcPr>
          <w:p w14:paraId="03E27627" w14:textId="77777777" w:rsidR="00C24756" w:rsidRPr="00DE335A" w:rsidRDefault="00C24756" w:rsidP="00DE335A">
            <w:pPr>
              <w:autoSpaceDE/>
              <w:autoSpaceDN/>
              <w:adjustRightInd/>
              <w:snapToGrid/>
              <w:spacing w:after="240"/>
              <w:jc w:val="left"/>
              <w:rPr>
                <w:rFonts w:ascii="Arial" w:eastAsia="Times New Roman" w:hAnsi="Arial" w:cs="Arial"/>
                <w:sz w:val="18"/>
                <w:szCs w:val="18"/>
              </w:rPr>
            </w:pPr>
            <w:r w:rsidRPr="00DE335A">
              <w:rPr>
                <w:rFonts w:ascii="Arial" w:eastAsia="Times New Roman" w:hAnsi="Arial" w:cs="Arial"/>
                <w:sz w:val="18"/>
                <w:szCs w:val="18"/>
              </w:rPr>
              <w:t>For the reference subcarrier spacing value for the unit of K_offset in FR1, a value of 15 kHz is used.</w:t>
            </w:r>
            <w:r w:rsidRPr="00DE335A">
              <w:rPr>
                <w:rFonts w:ascii="Arial" w:eastAsia="Times New Roman" w:hAnsi="Arial" w:cs="Arial"/>
                <w:sz w:val="18"/>
                <w:szCs w:val="18"/>
              </w:rPr>
              <w:br/>
              <w:t>• FFS: FR2</w:t>
            </w:r>
          </w:p>
        </w:tc>
        <w:tc>
          <w:tcPr>
            <w:tcW w:w="226" w:type="pct"/>
            <w:tcBorders>
              <w:top w:val="nil"/>
              <w:left w:val="nil"/>
              <w:bottom w:val="single" w:sz="4" w:space="0" w:color="auto"/>
              <w:right w:val="single" w:sz="4" w:space="0" w:color="auto"/>
            </w:tcBorders>
            <w:shd w:val="clear" w:color="auto" w:fill="auto"/>
            <w:noWrap/>
            <w:vAlign w:val="bottom"/>
            <w:hideMark/>
          </w:tcPr>
          <w:p w14:paraId="21DB5DA8" w14:textId="5A0865DD" w:rsidR="00C24756" w:rsidRPr="00DE335A" w:rsidRDefault="00C24756" w:rsidP="00DE335A">
            <w:pPr>
              <w:autoSpaceDE/>
              <w:autoSpaceDN/>
              <w:adjustRightInd/>
              <w:snapToGrid/>
              <w:spacing w:after="0"/>
              <w:jc w:val="left"/>
              <w:rPr>
                <w:rFonts w:ascii="Calibri" w:eastAsia="Times New Roman" w:hAnsi="Calibri" w:cs="Calibri"/>
                <w:color w:val="00B050"/>
              </w:rPr>
            </w:pPr>
          </w:p>
        </w:tc>
      </w:tr>
      <w:tr w:rsidR="00C24756" w:rsidRPr="00DE335A" w14:paraId="406F9749" w14:textId="77777777" w:rsidTr="00C24756">
        <w:trPr>
          <w:trHeight w:val="360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14:paraId="073221EC"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lastRenderedPageBreak/>
              <w:t>K_mac</w:t>
            </w:r>
          </w:p>
        </w:tc>
        <w:tc>
          <w:tcPr>
            <w:tcW w:w="299" w:type="pct"/>
            <w:tcBorders>
              <w:top w:val="nil"/>
              <w:left w:val="nil"/>
              <w:bottom w:val="single" w:sz="4" w:space="0" w:color="auto"/>
              <w:right w:val="single" w:sz="4" w:space="0" w:color="auto"/>
            </w:tcBorders>
            <w:shd w:val="clear" w:color="auto" w:fill="auto"/>
            <w:noWrap/>
            <w:vAlign w:val="center"/>
            <w:hideMark/>
          </w:tcPr>
          <w:p w14:paraId="294C1375"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New</w:t>
            </w:r>
          </w:p>
        </w:tc>
        <w:tc>
          <w:tcPr>
            <w:tcW w:w="1338" w:type="pct"/>
            <w:tcBorders>
              <w:top w:val="nil"/>
              <w:left w:val="nil"/>
              <w:bottom w:val="single" w:sz="4" w:space="0" w:color="auto"/>
              <w:right w:val="single" w:sz="4" w:space="0" w:color="auto"/>
            </w:tcBorders>
            <w:shd w:val="clear" w:color="auto" w:fill="auto"/>
            <w:vAlign w:val="center"/>
            <w:hideMark/>
          </w:tcPr>
          <w:p w14:paraId="3894879F"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K_mac is a scheduling offset provided by network if downlink and uplink frame timing are not aligned at gNB. It is needed for UE action and assumption on downlink configuration indicated by a MAC-CE command in PDSCH [see TS 38.2xy].</w:t>
            </w:r>
            <w:r w:rsidRPr="00DE335A">
              <w:rPr>
                <w:rFonts w:ascii="Arial" w:eastAsia="Times New Roman" w:hAnsi="Arial" w:cs="Arial"/>
                <w:sz w:val="18"/>
                <w:szCs w:val="18"/>
              </w:rPr>
              <w:br/>
              <w:t>When UE is not provided by network with a K_mac value, UE assumes K_mac = 0.</w:t>
            </w:r>
            <w:r w:rsidRPr="00DE335A">
              <w:rPr>
                <w:rFonts w:ascii="Arial" w:eastAsia="Times New Roman" w:hAnsi="Arial" w:cs="Arial"/>
                <w:sz w:val="18"/>
                <w:szCs w:val="18"/>
              </w:rPr>
              <w:br/>
              <w:t>For the reference subcarrier spacing value for the unit of K_mac in FR1, a value of 15 kHz is used.</w:t>
            </w:r>
            <w:r w:rsidRPr="00DE335A">
              <w:rPr>
                <w:rFonts w:ascii="Arial" w:eastAsia="Times New Roman" w:hAnsi="Arial" w:cs="Arial"/>
                <w:sz w:val="18"/>
                <w:szCs w:val="18"/>
              </w:rPr>
              <w:br/>
              <w:t>The unit of K_mac is number of slots for a given subcarrier spacing.</w:t>
            </w:r>
          </w:p>
        </w:tc>
        <w:tc>
          <w:tcPr>
            <w:tcW w:w="340" w:type="pct"/>
            <w:tcBorders>
              <w:top w:val="nil"/>
              <w:left w:val="nil"/>
              <w:bottom w:val="single" w:sz="4" w:space="0" w:color="auto"/>
              <w:right w:val="single" w:sz="4" w:space="0" w:color="auto"/>
            </w:tcBorders>
            <w:shd w:val="clear" w:color="auto" w:fill="auto"/>
            <w:noWrap/>
            <w:vAlign w:val="center"/>
            <w:hideMark/>
          </w:tcPr>
          <w:p w14:paraId="3523A0D9"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1 ...512 ms</w:t>
            </w:r>
          </w:p>
        </w:tc>
        <w:tc>
          <w:tcPr>
            <w:tcW w:w="246" w:type="pct"/>
            <w:tcBorders>
              <w:top w:val="nil"/>
              <w:left w:val="nil"/>
              <w:bottom w:val="single" w:sz="4" w:space="0" w:color="auto"/>
              <w:right w:val="single" w:sz="4" w:space="0" w:color="auto"/>
            </w:tcBorders>
            <w:shd w:val="clear" w:color="auto" w:fill="auto"/>
            <w:noWrap/>
            <w:vAlign w:val="center"/>
            <w:hideMark/>
          </w:tcPr>
          <w:p w14:paraId="32DE869D"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246" w:type="pct"/>
            <w:tcBorders>
              <w:top w:val="nil"/>
              <w:left w:val="nil"/>
              <w:bottom w:val="single" w:sz="4" w:space="0" w:color="auto"/>
              <w:right w:val="single" w:sz="4" w:space="0" w:color="auto"/>
            </w:tcBorders>
            <w:shd w:val="clear" w:color="auto" w:fill="auto"/>
            <w:noWrap/>
            <w:vAlign w:val="center"/>
            <w:hideMark/>
          </w:tcPr>
          <w:p w14:paraId="1DDF1073"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w:t>
            </w:r>
          </w:p>
        </w:tc>
        <w:tc>
          <w:tcPr>
            <w:tcW w:w="340" w:type="pct"/>
            <w:tcBorders>
              <w:top w:val="nil"/>
              <w:left w:val="nil"/>
              <w:bottom w:val="single" w:sz="4" w:space="0" w:color="auto"/>
              <w:right w:val="single" w:sz="4" w:space="0" w:color="auto"/>
            </w:tcBorders>
            <w:shd w:val="clear" w:color="auto" w:fill="auto"/>
            <w:noWrap/>
            <w:vAlign w:val="center"/>
            <w:hideMark/>
          </w:tcPr>
          <w:p w14:paraId="1186D656"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Cell-specific</w:t>
            </w:r>
          </w:p>
        </w:tc>
        <w:tc>
          <w:tcPr>
            <w:tcW w:w="399" w:type="pct"/>
            <w:tcBorders>
              <w:top w:val="nil"/>
              <w:left w:val="nil"/>
              <w:bottom w:val="single" w:sz="4" w:space="0" w:color="auto"/>
              <w:right w:val="single" w:sz="4" w:space="0" w:color="auto"/>
            </w:tcBorders>
            <w:shd w:val="clear" w:color="auto" w:fill="auto"/>
            <w:noWrap/>
            <w:vAlign w:val="center"/>
            <w:hideMark/>
          </w:tcPr>
          <w:p w14:paraId="7CD94A73"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38.331</w:t>
            </w:r>
          </w:p>
        </w:tc>
        <w:tc>
          <w:tcPr>
            <w:tcW w:w="1070" w:type="pct"/>
            <w:tcBorders>
              <w:top w:val="nil"/>
              <w:left w:val="nil"/>
              <w:bottom w:val="single" w:sz="4" w:space="0" w:color="auto"/>
              <w:right w:val="single" w:sz="4" w:space="0" w:color="auto"/>
            </w:tcBorders>
            <w:shd w:val="clear" w:color="auto" w:fill="auto"/>
            <w:vAlign w:val="center"/>
            <w:hideMark/>
          </w:tcPr>
          <w:p w14:paraId="370A1A3C"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The clarifications on the usage of the parameters by “It is needed … “ would be captured in [see TS 38.2xy]</w:t>
            </w:r>
            <w:r w:rsidRPr="00DE335A">
              <w:rPr>
                <w:rFonts w:ascii="Arial" w:eastAsia="Times New Roman" w:hAnsi="Arial" w:cs="Arial"/>
                <w:sz w:val="18"/>
                <w:szCs w:val="18"/>
              </w:rPr>
              <w:br/>
            </w:r>
            <w:r w:rsidRPr="00DE335A">
              <w:rPr>
                <w:rFonts w:ascii="Arial" w:eastAsia="Times New Roman" w:hAnsi="Arial" w:cs="Arial"/>
                <w:sz w:val="18"/>
                <w:szCs w:val="18"/>
              </w:rPr>
              <w:b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n+</w:t>
            </w:r>
            <w:r w:rsidRPr="00DE335A">
              <w:rPr>
                <w:rFonts w:ascii="Cambria Math" w:eastAsia="Cambria Math" w:hAnsi="Cambria Math" w:cs="Cambria Math"/>
                <w:sz w:val="18"/>
                <w:szCs w:val="18"/>
              </w:rPr>
              <w:t>〖</w:t>
            </w:r>
            <w:r w:rsidRPr="00DE335A">
              <w:rPr>
                <w:rFonts w:ascii="Arial" w:eastAsia="Times New Roman" w:hAnsi="Arial" w:cs="Arial"/>
                <w:sz w:val="18"/>
                <w:szCs w:val="18"/>
              </w:rPr>
              <w:t>3N</w:t>
            </w:r>
            <w:r w:rsidRPr="00DE335A">
              <w:rPr>
                <w:rFonts w:ascii="Cambria Math" w:eastAsia="Cambria Math" w:hAnsi="Cambria Math" w:cs="Cambria Math"/>
                <w:sz w:val="18"/>
                <w:szCs w:val="18"/>
              </w:rPr>
              <w:t>〗</w:t>
            </w:r>
            <w:r w:rsidRPr="00DE335A">
              <w:rPr>
                <w:rFonts w:ascii="Arial" w:eastAsia="Times New Roman" w:hAnsi="Arial" w:cs="Arial"/>
                <w:sz w:val="18"/>
                <w:szCs w:val="18"/>
              </w:rPr>
              <w:t xml:space="preserve">_slot^(subframe,µ)+K_mac, where µ is the SCS configuration for the PUCCH.       </w:t>
            </w:r>
            <w:r w:rsidRPr="00DE335A">
              <w:rPr>
                <w:rFonts w:ascii="Arial" w:eastAsia="Times New Roman" w:hAnsi="Arial" w:cs="Arial"/>
                <w:sz w:val="18"/>
                <w:szCs w:val="18"/>
              </w:rPr>
              <w:br/>
              <w:t>For the reference subcarrier spacing value for the unit of K_mac in FR1, a value of 15 kHz is used.</w:t>
            </w:r>
            <w:r w:rsidRPr="00DE335A">
              <w:rPr>
                <w:rFonts w:ascii="Arial" w:eastAsia="Times New Roman" w:hAnsi="Arial" w:cs="Arial"/>
                <w:sz w:val="18"/>
                <w:szCs w:val="18"/>
              </w:rPr>
              <w:br/>
              <w:t>• FFS: FR2</w:t>
            </w:r>
          </w:p>
        </w:tc>
        <w:tc>
          <w:tcPr>
            <w:tcW w:w="226" w:type="pct"/>
            <w:tcBorders>
              <w:top w:val="nil"/>
              <w:left w:val="nil"/>
              <w:bottom w:val="single" w:sz="4" w:space="0" w:color="auto"/>
              <w:right w:val="single" w:sz="4" w:space="0" w:color="auto"/>
            </w:tcBorders>
            <w:shd w:val="clear" w:color="auto" w:fill="auto"/>
            <w:noWrap/>
            <w:vAlign w:val="bottom"/>
            <w:hideMark/>
          </w:tcPr>
          <w:p w14:paraId="199D3E66" w14:textId="0F38BC75" w:rsidR="00C24756" w:rsidRPr="00DE335A" w:rsidRDefault="00C24756" w:rsidP="00DE335A">
            <w:pPr>
              <w:autoSpaceDE/>
              <w:autoSpaceDN/>
              <w:adjustRightInd/>
              <w:snapToGrid/>
              <w:spacing w:after="0"/>
              <w:jc w:val="left"/>
              <w:rPr>
                <w:rFonts w:ascii="Calibri" w:eastAsia="Times New Roman" w:hAnsi="Calibri" w:cs="Calibri"/>
                <w:color w:val="00B050"/>
              </w:rPr>
            </w:pPr>
          </w:p>
        </w:tc>
      </w:tr>
      <w:tr w:rsidR="00C24756" w:rsidRPr="00DE335A" w14:paraId="1E80AF54" w14:textId="77777777" w:rsidTr="00C24756">
        <w:trPr>
          <w:trHeight w:val="4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40BA942"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dl-DataToUL-ACK-r17</w:t>
            </w:r>
          </w:p>
        </w:tc>
        <w:tc>
          <w:tcPr>
            <w:tcW w:w="299" w:type="pct"/>
            <w:tcBorders>
              <w:top w:val="nil"/>
              <w:left w:val="nil"/>
              <w:bottom w:val="single" w:sz="4" w:space="0" w:color="auto"/>
              <w:right w:val="single" w:sz="4" w:space="0" w:color="auto"/>
            </w:tcBorders>
            <w:shd w:val="clear" w:color="auto" w:fill="auto"/>
            <w:vAlign w:val="center"/>
            <w:hideMark/>
          </w:tcPr>
          <w:p w14:paraId="1E69055F"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extension of R16</w:t>
            </w:r>
          </w:p>
        </w:tc>
        <w:tc>
          <w:tcPr>
            <w:tcW w:w="1338" w:type="pct"/>
            <w:tcBorders>
              <w:top w:val="nil"/>
              <w:left w:val="nil"/>
              <w:bottom w:val="single" w:sz="4" w:space="0" w:color="auto"/>
              <w:right w:val="single" w:sz="4" w:space="0" w:color="auto"/>
            </w:tcBorders>
            <w:shd w:val="clear" w:color="auto" w:fill="auto"/>
            <w:vAlign w:val="center"/>
            <w:hideMark/>
          </w:tcPr>
          <w:p w14:paraId="19EBA0F2"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xml:space="preserve">For unpaired spectrum, extend the value range of K1 from (0..15) to (0..31) </w:t>
            </w:r>
          </w:p>
        </w:tc>
        <w:tc>
          <w:tcPr>
            <w:tcW w:w="340" w:type="pct"/>
            <w:tcBorders>
              <w:top w:val="nil"/>
              <w:left w:val="nil"/>
              <w:bottom w:val="single" w:sz="4" w:space="0" w:color="auto"/>
              <w:right w:val="single" w:sz="4" w:space="0" w:color="auto"/>
            </w:tcBorders>
            <w:shd w:val="clear" w:color="auto" w:fill="auto"/>
            <w:vAlign w:val="center"/>
            <w:hideMark/>
          </w:tcPr>
          <w:p w14:paraId="7F8A11FE"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(0..31)</w:t>
            </w:r>
          </w:p>
        </w:tc>
        <w:tc>
          <w:tcPr>
            <w:tcW w:w="246" w:type="pct"/>
            <w:tcBorders>
              <w:top w:val="nil"/>
              <w:left w:val="nil"/>
              <w:bottom w:val="single" w:sz="4" w:space="0" w:color="auto"/>
              <w:right w:val="single" w:sz="4" w:space="0" w:color="auto"/>
            </w:tcBorders>
            <w:shd w:val="clear" w:color="auto" w:fill="auto"/>
            <w:vAlign w:val="center"/>
            <w:hideMark/>
          </w:tcPr>
          <w:p w14:paraId="6EE1324F"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5053F669"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Per BWP</w:t>
            </w:r>
          </w:p>
        </w:tc>
        <w:tc>
          <w:tcPr>
            <w:tcW w:w="340" w:type="pct"/>
            <w:tcBorders>
              <w:top w:val="nil"/>
              <w:left w:val="nil"/>
              <w:bottom w:val="single" w:sz="4" w:space="0" w:color="auto"/>
              <w:right w:val="single" w:sz="4" w:space="0" w:color="auto"/>
            </w:tcBorders>
            <w:shd w:val="clear" w:color="auto" w:fill="auto"/>
            <w:vAlign w:val="center"/>
            <w:hideMark/>
          </w:tcPr>
          <w:p w14:paraId="402101C5"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UE specific</w:t>
            </w:r>
          </w:p>
        </w:tc>
        <w:tc>
          <w:tcPr>
            <w:tcW w:w="399" w:type="pct"/>
            <w:tcBorders>
              <w:top w:val="nil"/>
              <w:left w:val="nil"/>
              <w:bottom w:val="single" w:sz="4" w:space="0" w:color="auto"/>
              <w:right w:val="single" w:sz="4" w:space="0" w:color="auto"/>
            </w:tcBorders>
            <w:shd w:val="clear" w:color="auto" w:fill="auto"/>
            <w:vAlign w:val="center"/>
            <w:hideMark/>
          </w:tcPr>
          <w:p w14:paraId="4D4DC46C"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1070" w:type="pct"/>
            <w:tcBorders>
              <w:top w:val="nil"/>
              <w:left w:val="nil"/>
              <w:bottom w:val="single" w:sz="4" w:space="0" w:color="auto"/>
              <w:right w:val="single" w:sz="4" w:space="0" w:color="auto"/>
            </w:tcBorders>
            <w:shd w:val="clear" w:color="auto" w:fill="auto"/>
            <w:vAlign w:val="center"/>
            <w:hideMark/>
          </w:tcPr>
          <w:p w14:paraId="3B75459E" w14:textId="77777777" w:rsidR="00C24756" w:rsidRPr="00DE335A" w:rsidRDefault="00C24756" w:rsidP="00DE335A">
            <w:pPr>
              <w:autoSpaceDE/>
              <w:autoSpaceDN/>
              <w:adjustRightInd/>
              <w:snapToGrid/>
              <w:spacing w:after="0"/>
              <w:jc w:val="left"/>
              <w:rPr>
                <w:rFonts w:ascii="Arial" w:eastAsia="Times New Roman" w:hAnsi="Arial" w:cs="Arial"/>
                <w:sz w:val="18"/>
                <w:szCs w:val="18"/>
              </w:rPr>
            </w:pPr>
            <w:r w:rsidRPr="00DE335A">
              <w:rPr>
                <w:rFonts w:ascii="Arial" w:eastAsia="Times New Roman" w:hAnsi="Arial" w:cs="Arial"/>
                <w:sz w:val="18"/>
                <w:szCs w:val="18"/>
              </w:rPr>
              <w:t> </w:t>
            </w:r>
          </w:p>
        </w:tc>
        <w:tc>
          <w:tcPr>
            <w:tcW w:w="226" w:type="pct"/>
            <w:tcBorders>
              <w:top w:val="nil"/>
              <w:left w:val="nil"/>
              <w:bottom w:val="single" w:sz="4" w:space="0" w:color="auto"/>
              <w:right w:val="single" w:sz="4" w:space="0" w:color="auto"/>
            </w:tcBorders>
            <w:shd w:val="clear" w:color="auto" w:fill="auto"/>
            <w:noWrap/>
            <w:vAlign w:val="bottom"/>
            <w:hideMark/>
          </w:tcPr>
          <w:p w14:paraId="1CFC84D5" w14:textId="0EA2A0EF" w:rsidR="00C24756" w:rsidRPr="00DE335A" w:rsidRDefault="00C24756" w:rsidP="00DE335A">
            <w:pPr>
              <w:autoSpaceDE/>
              <w:autoSpaceDN/>
              <w:adjustRightInd/>
              <w:snapToGrid/>
              <w:spacing w:after="0"/>
              <w:jc w:val="left"/>
              <w:rPr>
                <w:rFonts w:ascii="Calibri" w:eastAsia="Times New Roman" w:hAnsi="Calibri" w:cs="Calibri"/>
                <w:color w:val="00B050"/>
              </w:rPr>
            </w:pPr>
          </w:p>
        </w:tc>
      </w:tr>
    </w:tbl>
    <w:p w14:paraId="307387FD" w14:textId="77777777" w:rsidR="002D6400" w:rsidRPr="00E61DEB" w:rsidRDefault="002D6400" w:rsidP="008C2BB3"/>
    <w:p w14:paraId="06BC594A" w14:textId="382852B2" w:rsidR="003B5392" w:rsidRPr="00E61DEB" w:rsidRDefault="00DD15F7" w:rsidP="00EC07FE">
      <w:pPr>
        <w:pStyle w:val="2"/>
        <w:rPr>
          <w:sz w:val="22"/>
        </w:rPr>
      </w:pPr>
      <w:bookmarkStart w:id="5" w:name="_Toc80303173"/>
      <w:bookmarkStart w:id="6" w:name="_Toc82188764"/>
      <w:r w:rsidRPr="00E61DEB">
        <w:rPr>
          <w:sz w:val="22"/>
        </w:rPr>
        <w:t xml:space="preserve">Company </w:t>
      </w:r>
      <w:bookmarkEnd w:id="5"/>
      <w:bookmarkEnd w:id="6"/>
      <w:r w:rsidR="00EC07FE" w:rsidRPr="00EC07FE">
        <w:rPr>
          <w:sz w:val="22"/>
        </w:rPr>
        <w:t>views’ collection for 1st round</w:t>
      </w:r>
    </w:p>
    <w:p w14:paraId="4CEF2C0F" w14:textId="54D0E420" w:rsidR="002C0030" w:rsidRPr="00775AF1" w:rsidRDefault="00775AF1" w:rsidP="007308A9">
      <w:r>
        <w:t>Companies contribution to RAN1#108-e:</w:t>
      </w:r>
    </w:p>
    <w:p w14:paraId="36BB5AB8" w14:textId="77777777" w:rsidR="00D9541D" w:rsidRDefault="00D9541D" w:rsidP="00D9541D">
      <w:r w:rsidRPr="00177FAF">
        <w:t>Nokia, Nokia Shanghai Bell</w:t>
      </w:r>
      <w:r>
        <w:t xml:space="preserve"> [</w:t>
      </w:r>
      <w:r w:rsidRPr="00BA62D1">
        <w:rPr>
          <w:bCs/>
          <w:sz w:val="24"/>
          <w:szCs w:val="24"/>
        </w:rPr>
        <w:t>R1-2201648</w:t>
      </w:r>
      <w:r>
        <w:rPr>
          <w:bCs/>
          <w:sz w:val="24"/>
          <w:szCs w:val="24"/>
        </w:rPr>
        <w:t>] made the following proposals:</w:t>
      </w:r>
    </w:p>
    <w:p w14:paraId="2B047497" w14:textId="77777777" w:rsidR="00D9541D" w:rsidRPr="00177FAF" w:rsidRDefault="00D9541D" w:rsidP="00D9541D">
      <w:pPr>
        <w:ind w:left="425"/>
        <w:rPr>
          <w:bCs/>
        </w:rPr>
      </w:pPr>
      <w:r w:rsidRPr="00177FAF">
        <w:rPr>
          <w:b/>
          <w:bCs/>
        </w:rPr>
        <w:t>Proposal 4:</w:t>
      </w:r>
      <w:r w:rsidRPr="00177FAF">
        <w:rPr>
          <w:bCs/>
        </w:rPr>
        <w:t xml:space="preserve"> Update the RRC parameter table, such that </w:t>
      </w:r>
      <w:r w:rsidRPr="00177FAF">
        <w:rPr>
          <w:bCs/>
          <w:i/>
          <w:iCs/>
        </w:rPr>
        <w:t xml:space="preserve">CellSpecific_Koffset </w:t>
      </w:r>
      <w:r w:rsidRPr="00177FAF">
        <w:rPr>
          <w:bCs/>
        </w:rPr>
        <w:t xml:space="preserve">and </w:t>
      </w:r>
      <w:r w:rsidRPr="00177FAF">
        <w:rPr>
          <w:bCs/>
          <w:i/>
          <w:iCs/>
        </w:rPr>
        <w:t>K_mac</w:t>
      </w:r>
      <w:r w:rsidRPr="00177FAF">
        <w:rPr>
          <w:bCs/>
        </w:rPr>
        <w:t xml:space="preserve"> are marked as both cell-specific and UE specific parameters.</w:t>
      </w:r>
    </w:p>
    <w:p w14:paraId="57B15FAE" w14:textId="77777777" w:rsidR="00D9541D" w:rsidRPr="00177FAF" w:rsidRDefault="00D9541D" w:rsidP="00D9541D">
      <w:pPr>
        <w:ind w:left="425"/>
        <w:rPr>
          <w:bCs/>
        </w:rPr>
      </w:pPr>
      <w:r w:rsidRPr="00177FAF">
        <w:rPr>
          <w:b/>
          <w:bCs/>
        </w:rPr>
        <w:t>Proposal 6:</w:t>
      </w:r>
      <w:r w:rsidRPr="00177FAF">
        <w:rPr>
          <w:bCs/>
        </w:rPr>
        <w:t xml:space="preserve"> Write an LS to RAN2 to inform of the suggested and required changes of RRC parameter properties and names.</w:t>
      </w:r>
    </w:p>
    <w:p w14:paraId="71C7491A" w14:textId="77777777" w:rsidR="00775AF1" w:rsidRDefault="00775AF1" w:rsidP="007308A9">
      <w:pPr>
        <w:rPr>
          <w:rFonts w:eastAsia="宋体"/>
          <w:lang w:eastAsia="zh-CN"/>
        </w:rPr>
      </w:pPr>
    </w:p>
    <w:p w14:paraId="311AC4C4" w14:textId="77777777" w:rsidR="00864E7A" w:rsidRDefault="00775AF1" w:rsidP="007308A9">
      <w:pPr>
        <w:rPr>
          <w:rFonts w:eastAsia="宋体"/>
          <w:lang w:eastAsia="zh-CN"/>
        </w:rPr>
      </w:pPr>
      <w:r w:rsidRPr="00775AF1">
        <w:rPr>
          <w:rFonts w:eastAsia="宋体"/>
          <w:lang w:eastAsia="zh-CN"/>
        </w:rPr>
        <w:t>Moderator view:</w:t>
      </w:r>
      <w:r>
        <w:rPr>
          <w:rFonts w:eastAsia="宋体"/>
          <w:lang w:eastAsia="zh-CN"/>
        </w:rPr>
        <w:t xml:space="preserve"> Proposal 4 from Nokia is not clear. </w:t>
      </w:r>
      <w:r w:rsidRPr="00775AF1">
        <w:rPr>
          <w:bCs/>
          <w:iCs/>
        </w:rPr>
        <w:t>CellSpecific_Koffset</w:t>
      </w:r>
      <w:r>
        <w:rPr>
          <w:rFonts w:eastAsia="宋体"/>
          <w:lang w:eastAsia="zh-CN"/>
        </w:rPr>
        <w:t xml:space="preserve"> is broadcast in the SIB and it</w:t>
      </w:r>
      <w:r w:rsidR="00586553">
        <w:rPr>
          <w:rFonts w:eastAsia="宋体"/>
          <w:lang w:eastAsia="zh-CN"/>
        </w:rPr>
        <w:t xml:space="preserve"> is obviously a cell specific (by</w:t>
      </w:r>
      <w:r>
        <w:rPr>
          <w:rFonts w:eastAsia="宋体"/>
          <w:lang w:eastAsia="zh-CN"/>
        </w:rPr>
        <w:t xml:space="preserve"> definition). </w:t>
      </w:r>
    </w:p>
    <w:p w14:paraId="1B62C20E" w14:textId="4397C985" w:rsidR="00D9541D" w:rsidRDefault="00775AF1" w:rsidP="007308A9">
      <w:pPr>
        <w:rPr>
          <w:rFonts w:eastAsia="宋体"/>
          <w:lang w:eastAsia="zh-CN"/>
        </w:rPr>
      </w:pPr>
      <w:r w:rsidRPr="00775AF1">
        <w:rPr>
          <w:rFonts w:eastAsia="宋体"/>
          <w:lang w:eastAsia="zh-CN"/>
        </w:rPr>
        <w:t>UE specific K_offset</w:t>
      </w:r>
      <w:r>
        <w:rPr>
          <w:rFonts w:eastAsia="宋体"/>
          <w:lang w:eastAsia="zh-CN"/>
        </w:rPr>
        <w:t xml:space="preserve"> is different: RAN1 made an agreement</w:t>
      </w:r>
      <w:r w:rsidR="00586553">
        <w:rPr>
          <w:rFonts w:eastAsia="宋体"/>
          <w:lang w:eastAsia="zh-CN"/>
        </w:rPr>
        <w:t xml:space="preserve"> (recopied hereafter)</w:t>
      </w:r>
      <w:r>
        <w:rPr>
          <w:rFonts w:eastAsia="宋体"/>
          <w:lang w:eastAsia="zh-CN"/>
        </w:rPr>
        <w:t xml:space="preserve"> on</w:t>
      </w:r>
      <w:r w:rsidRPr="00775AF1">
        <w:rPr>
          <w:rFonts w:eastAsia="宋体"/>
          <w:lang w:eastAsia="zh-CN"/>
        </w:rPr>
        <w:t xml:space="preserve"> UE specific K_offset</w:t>
      </w:r>
      <w:r w:rsidR="00586553">
        <w:rPr>
          <w:rFonts w:eastAsia="宋体"/>
          <w:lang w:eastAsia="zh-CN"/>
        </w:rPr>
        <w:t xml:space="preserve"> which is configured via MAC CE.</w:t>
      </w:r>
    </w:p>
    <w:p w14:paraId="5C5C3DAB" w14:textId="2292BEB9" w:rsidR="00775AF1" w:rsidRDefault="00775AF1" w:rsidP="007308A9">
      <w:pPr>
        <w:rPr>
          <w:rFonts w:eastAsia="宋体"/>
          <w:lang w:eastAsia="zh-CN"/>
        </w:rPr>
      </w:pPr>
      <w:r w:rsidRPr="00775AF1">
        <w:rPr>
          <w:rFonts w:eastAsia="宋体"/>
          <w:lang w:eastAsia="zh-CN"/>
        </w:rPr>
        <w:t>The information of K_mac is carried in system information</w:t>
      </w:r>
      <w:r>
        <w:rPr>
          <w:rFonts w:eastAsia="宋体"/>
          <w:lang w:eastAsia="zh-CN"/>
        </w:rPr>
        <w:t xml:space="preserve"> so it is a cell specific parameter.</w:t>
      </w:r>
    </w:p>
    <w:p w14:paraId="12BDC519" w14:textId="77777777" w:rsidR="00775AF1" w:rsidRDefault="00775AF1" w:rsidP="007308A9">
      <w:pPr>
        <w:rPr>
          <w:rFonts w:eastAsia="宋体"/>
          <w:lang w:eastAsia="zh-CN"/>
        </w:rPr>
      </w:pPr>
    </w:p>
    <w:tbl>
      <w:tblPr>
        <w:tblStyle w:val="ac"/>
        <w:tblW w:w="0" w:type="auto"/>
        <w:tblLook w:val="04A0" w:firstRow="1" w:lastRow="0" w:firstColumn="1" w:lastColumn="0" w:noHBand="0" w:noVBand="1"/>
      </w:tblPr>
      <w:tblGrid>
        <w:gridCol w:w="20118"/>
      </w:tblGrid>
      <w:tr w:rsidR="00775AF1" w14:paraId="5DEA0AEB" w14:textId="77777777" w:rsidTr="00775AF1">
        <w:tc>
          <w:tcPr>
            <w:tcW w:w="20118" w:type="dxa"/>
          </w:tcPr>
          <w:p w14:paraId="76B1C74A" w14:textId="1ED08F3F" w:rsidR="00775AF1" w:rsidRPr="00A22E1C" w:rsidRDefault="00775AF1" w:rsidP="00775AF1">
            <w:pPr>
              <w:rPr>
                <w:b/>
                <w:highlight w:val="green"/>
                <w:lang w:eastAsia="x-none"/>
              </w:rPr>
            </w:pPr>
            <w:r w:rsidRPr="00A22E1C">
              <w:rPr>
                <w:b/>
                <w:highlight w:val="green"/>
                <w:lang w:eastAsia="x-none"/>
              </w:rPr>
              <w:t>Agreement</w:t>
            </w:r>
            <w:r>
              <w:rPr>
                <w:b/>
                <w:highlight w:val="green"/>
                <w:lang w:eastAsia="x-none"/>
              </w:rPr>
              <w:t xml:space="preserve"> (107-e)</w:t>
            </w:r>
          </w:p>
          <w:p w14:paraId="1D374DA2" w14:textId="77777777" w:rsidR="00775AF1" w:rsidRPr="00A22E1C" w:rsidRDefault="00775AF1" w:rsidP="00775AF1">
            <w:pPr>
              <w:rPr>
                <w:lang w:eastAsia="x-none"/>
              </w:rPr>
            </w:pPr>
            <w:r w:rsidRPr="00A22E1C">
              <w:rPr>
                <w:lang w:eastAsia="x-none"/>
              </w:rPr>
              <w:t xml:space="preserve">For determining UE specific K_offset </w:t>
            </w:r>
          </w:p>
          <w:p w14:paraId="6DA9FB1E" w14:textId="77777777" w:rsidR="00775AF1" w:rsidRPr="00A22E1C" w:rsidRDefault="00775AF1" w:rsidP="00775AF1">
            <w:pPr>
              <w:numPr>
                <w:ilvl w:val="0"/>
                <w:numId w:val="40"/>
              </w:numPr>
              <w:autoSpaceDE/>
              <w:autoSpaceDN/>
              <w:adjustRightInd/>
              <w:snapToGrid/>
              <w:spacing w:after="0"/>
              <w:jc w:val="left"/>
              <w:rPr>
                <w:lang w:eastAsia="x-none"/>
              </w:rPr>
            </w:pPr>
            <w:r w:rsidRPr="00A22E1C">
              <w:rPr>
                <w:lang w:eastAsia="x-none"/>
              </w:rPr>
              <w:lastRenderedPageBreak/>
              <w:t>Option 2: MAC CE provides a differential UE specific K_offset value. The full UE specific K_offset value equals the cell specific K_offset value minus the differential UE specific K_offset value.</w:t>
            </w:r>
          </w:p>
          <w:p w14:paraId="2D13A1BD" w14:textId="77777777" w:rsidR="00775AF1" w:rsidRPr="00A22E1C" w:rsidRDefault="00775AF1" w:rsidP="00775AF1">
            <w:pPr>
              <w:numPr>
                <w:ilvl w:val="1"/>
                <w:numId w:val="41"/>
              </w:numPr>
              <w:autoSpaceDE/>
              <w:autoSpaceDN/>
              <w:adjustRightInd/>
              <w:snapToGrid/>
              <w:spacing w:after="0"/>
              <w:jc w:val="left"/>
              <w:rPr>
                <w:lang w:eastAsia="x-none"/>
              </w:rPr>
            </w:pPr>
            <w:r w:rsidRPr="00A22E1C">
              <w:rPr>
                <w:lang w:eastAsia="x-none"/>
              </w:rPr>
              <w:t>FFS: whether/how to resolve ambiguity of which cell-specific K_offset value to use during the SIB modification period</w:t>
            </w:r>
          </w:p>
          <w:p w14:paraId="1CA804B8" w14:textId="77777777" w:rsidR="00775AF1" w:rsidRDefault="00775AF1" w:rsidP="007308A9">
            <w:pPr>
              <w:rPr>
                <w:rFonts w:eastAsia="宋体"/>
                <w:lang w:eastAsia="zh-CN"/>
              </w:rPr>
            </w:pPr>
          </w:p>
          <w:p w14:paraId="610CF859" w14:textId="77777777" w:rsidR="00775AF1" w:rsidRPr="00775AF1" w:rsidRDefault="00775AF1" w:rsidP="00775AF1">
            <w:pPr>
              <w:rPr>
                <w:rFonts w:eastAsia="宋体"/>
                <w:lang w:eastAsia="zh-CN"/>
              </w:rPr>
            </w:pPr>
            <w:r w:rsidRPr="00775AF1">
              <w:rPr>
                <w:rFonts w:eastAsia="宋体"/>
                <w:b/>
                <w:bCs/>
                <w:lang w:eastAsia="zh-CN"/>
              </w:rPr>
              <w:t>RAN1#106-e Agreement:</w:t>
            </w:r>
          </w:p>
          <w:p w14:paraId="58660C13" w14:textId="49A05043" w:rsidR="00775AF1" w:rsidRDefault="00775AF1" w:rsidP="00775AF1">
            <w:pPr>
              <w:rPr>
                <w:rFonts w:eastAsia="宋体"/>
                <w:lang w:eastAsia="zh-CN"/>
              </w:rPr>
            </w:pPr>
            <w:r w:rsidRPr="00775AF1">
              <w:rPr>
                <w:rFonts w:eastAsia="宋体"/>
                <w:lang w:val="en-GB" w:eastAsia="zh-CN"/>
              </w:rPr>
              <w:t>The information of K_mac is carried in system information</w:t>
            </w:r>
          </w:p>
        </w:tc>
      </w:tr>
    </w:tbl>
    <w:p w14:paraId="03345BBA" w14:textId="77777777" w:rsidR="00775AF1" w:rsidRPr="00775AF1" w:rsidRDefault="00775AF1" w:rsidP="007308A9">
      <w:pPr>
        <w:rPr>
          <w:rFonts w:eastAsia="宋体"/>
          <w:lang w:eastAsia="zh-CN"/>
        </w:rPr>
      </w:pPr>
    </w:p>
    <w:p w14:paraId="022A978F" w14:textId="77777777" w:rsidR="00177FAF" w:rsidRPr="00E61DEB" w:rsidRDefault="00177FAF" w:rsidP="007308A9">
      <w:pPr>
        <w:rPr>
          <w:rFonts w:eastAsia="宋体"/>
          <w:b/>
          <w:highlight w:val="yellow"/>
          <w:lang w:eastAsia="zh-CN"/>
        </w:rPr>
      </w:pPr>
    </w:p>
    <w:p w14:paraId="62E063A9" w14:textId="1FD70784" w:rsidR="002C0030" w:rsidRPr="00E61DEB" w:rsidRDefault="002C0030" w:rsidP="002C0030">
      <w:pPr>
        <w:pStyle w:val="DraftProposal"/>
        <w:numPr>
          <w:ilvl w:val="0"/>
          <w:numId w:val="0"/>
        </w:numPr>
        <w:rPr>
          <w:rFonts w:ascii="Times New Roman" w:hAnsi="Times New Roman" w:cs="Times New Roman"/>
        </w:rPr>
      </w:pPr>
      <w:r w:rsidRPr="00E61DEB">
        <w:rPr>
          <w:rFonts w:ascii="Times New Roman" w:eastAsiaTheme="minorEastAsia" w:hAnsi="Times New Roman" w:cs="Times New Roman"/>
          <w:bCs w:val="0"/>
          <w:highlight w:val="yellow"/>
        </w:rPr>
        <w:t>C</w:t>
      </w:r>
      <w:r w:rsidRPr="00E61DEB">
        <w:rPr>
          <w:rFonts w:ascii="Times New Roman" w:hAnsi="Times New Roman" w:cs="Times New Roman"/>
          <w:highlight w:val="yellow"/>
        </w:rPr>
        <w:t>ompanies are encouraged to provide comments on RRC parameters list (section 2.1):</w:t>
      </w:r>
    </w:p>
    <w:tbl>
      <w:tblPr>
        <w:tblStyle w:val="ac"/>
        <w:tblW w:w="4973" w:type="pct"/>
        <w:tblLook w:val="04A0" w:firstRow="1" w:lastRow="0" w:firstColumn="1" w:lastColumn="0" w:noHBand="0" w:noVBand="1"/>
      </w:tblPr>
      <w:tblGrid>
        <w:gridCol w:w="3662"/>
        <w:gridCol w:w="16347"/>
      </w:tblGrid>
      <w:tr w:rsidR="003B5392" w:rsidRPr="00E61DEB" w14:paraId="06BC594E" w14:textId="77777777" w:rsidTr="00A6699A">
        <w:trPr>
          <w:tblHeader/>
        </w:trPr>
        <w:tc>
          <w:tcPr>
            <w:tcW w:w="915" w:type="pct"/>
            <w:shd w:val="clear" w:color="auto" w:fill="00B0F0"/>
          </w:tcPr>
          <w:p w14:paraId="06BC594C" w14:textId="657432BA" w:rsidR="003B5392" w:rsidRPr="00E61DEB" w:rsidRDefault="003B5392" w:rsidP="006612F0">
            <w:pPr>
              <w:rPr>
                <w:b/>
                <w:color w:val="FFFFFF" w:themeColor="background1"/>
              </w:rPr>
            </w:pPr>
          </w:p>
        </w:tc>
        <w:tc>
          <w:tcPr>
            <w:tcW w:w="4085" w:type="pct"/>
            <w:shd w:val="clear" w:color="auto" w:fill="00B0F0"/>
          </w:tcPr>
          <w:p w14:paraId="06BC594D" w14:textId="070BA98D" w:rsidR="003B5392" w:rsidRPr="00E61DEB" w:rsidRDefault="003B5392" w:rsidP="006612F0">
            <w:pPr>
              <w:rPr>
                <w:b/>
                <w:color w:val="FFFFFF" w:themeColor="background1"/>
              </w:rPr>
            </w:pPr>
          </w:p>
        </w:tc>
      </w:tr>
      <w:tr w:rsidR="005D6829" w:rsidRPr="00E61DEB" w14:paraId="06BC595A" w14:textId="77777777" w:rsidTr="003D5F4F">
        <w:tc>
          <w:tcPr>
            <w:tcW w:w="915" w:type="pct"/>
          </w:tcPr>
          <w:p w14:paraId="06BC594F" w14:textId="1BD25FEA" w:rsidR="005D6829" w:rsidRPr="00E61DEB" w:rsidRDefault="005D6829" w:rsidP="005D6829">
            <w:pPr>
              <w:rPr>
                <w:rFonts w:eastAsia="Malgun Gothic"/>
                <w:bCs/>
                <w:lang w:eastAsia="ko-KR"/>
              </w:rPr>
            </w:pPr>
            <w:r>
              <w:rPr>
                <w:rFonts w:eastAsia="Malgun Gothic"/>
                <w:bCs/>
                <w:lang w:eastAsia="ko-KR"/>
              </w:rPr>
              <w:t>Nokia, Nokia Shanghai Bell</w:t>
            </w:r>
          </w:p>
        </w:tc>
        <w:tc>
          <w:tcPr>
            <w:tcW w:w="4085" w:type="pct"/>
          </w:tcPr>
          <w:p w14:paraId="70B65558" w14:textId="77777777" w:rsidR="005D6829" w:rsidRDefault="005D6829" w:rsidP="005D6829">
            <w:pPr>
              <w:rPr>
                <w:color w:val="000000"/>
              </w:rPr>
            </w:pPr>
            <w:r>
              <w:rPr>
                <w:color w:val="000000"/>
              </w:rPr>
              <w:t>As briefly discussed in our contribution on this topic, we are in full agreement that the cell-specific K_offset and K_mac are parameters that have been agreed to be broadcast in SIB. However, if the gNB is allowed to change the value of these parameters at any point in time, we would also need a mechanism to provide the update for UEs that are configured for a bandwidth part which is not having a common search space configured.</w:t>
            </w:r>
          </w:p>
          <w:p w14:paraId="1DF4F9CC" w14:textId="77777777" w:rsidR="005D6829" w:rsidRDefault="005D6829" w:rsidP="005D6829">
            <w:pPr>
              <w:rPr>
                <w:color w:val="000000"/>
              </w:rPr>
            </w:pPr>
            <w:r>
              <w:rPr>
                <w:color w:val="000000"/>
              </w:rPr>
              <w:t>Possible options here would be:</w:t>
            </w:r>
          </w:p>
          <w:p w14:paraId="5A1FBF14" w14:textId="77777777" w:rsidR="005D6829" w:rsidRDefault="005D6829" w:rsidP="005D6829">
            <w:pPr>
              <w:rPr>
                <w:color w:val="000000"/>
              </w:rPr>
            </w:pPr>
            <w:r>
              <w:rPr>
                <w:color w:val="000000"/>
              </w:rPr>
              <w:t>Option a: Cell-specific K_offset and K_mac can never be modified by the gNB</w:t>
            </w:r>
          </w:p>
          <w:p w14:paraId="0EF25668" w14:textId="77777777" w:rsidR="005D6829" w:rsidRDefault="005D6829" w:rsidP="005D6829">
            <w:pPr>
              <w:rPr>
                <w:color w:val="000000"/>
              </w:rPr>
            </w:pPr>
            <w:r>
              <w:rPr>
                <w:color w:val="000000"/>
              </w:rPr>
              <w:t>Option b: Any UE operating NR over NTN can never be configured on a BWP which is not having a common search space configured</w:t>
            </w:r>
          </w:p>
          <w:p w14:paraId="01E99C17" w14:textId="77777777" w:rsidR="005D6829" w:rsidRDefault="005D6829" w:rsidP="005D6829">
            <w:pPr>
              <w:rPr>
                <w:color w:val="000000"/>
              </w:rPr>
            </w:pPr>
            <w:r>
              <w:rPr>
                <w:color w:val="000000"/>
              </w:rPr>
              <w:t>Option c: Cell specific K_offset and K_mac may also be updated using UE specific signaling.</w:t>
            </w:r>
          </w:p>
          <w:p w14:paraId="06BC5959" w14:textId="7A15DCB1" w:rsidR="005D6829" w:rsidRPr="00E01387" w:rsidRDefault="005D6829" w:rsidP="005D6829">
            <w:pPr>
              <w:rPr>
                <w:color w:val="000000"/>
              </w:rPr>
            </w:pPr>
            <w:r>
              <w:rPr>
                <w:color w:val="000000"/>
              </w:rPr>
              <w:t>In our opinion, option c is the least restrictive, and to be honest, since RAN1 has decided to provide serving satellite ephemeris and Common TA related information as UE dedicated signaling, the Cell-specific K_offset and K_mac should be treated the same way.</w:t>
            </w:r>
          </w:p>
        </w:tc>
      </w:tr>
      <w:tr w:rsidR="000621C9" w:rsidRPr="00E61DEB" w14:paraId="06BC596B" w14:textId="77777777" w:rsidTr="003D5F4F">
        <w:tc>
          <w:tcPr>
            <w:tcW w:w="915" w:type="pct"/>
          </w:tcPr>
          <w:p w14:paraId="06BC595B" w14:textId="1823CE5A" w:rsidR="000621C9" w:rsidRPr="00E61DEB" w:rsidRDefault="00A97EC4" w:rsidP="00320741">
            <w:pPr>
              <w:rPr>
                <w:rFonts w:eastAsiaTheme="minorHAnsi"/>
                <w:bCs/>
              </w:rPr>
            </w:pPr>
            <w:r>
              <w:rPr>
                <w:rFonts w:eastAsiaTheme="minorHAnsi"/>
                <w:bCs/>
              </w:rPr>
              <w:t>Ericsson</w:t>
            </w:r>
          </w:p>
        </w:tc>
        <w:tc>
          <w:tcPr>
            <w:tcW w:w="4085" w:type="pct"/>
          </w:tcPr>
          <w:p w14:paraId="06BC596A" w14:textId="6106AD2A" w:rsidR="000621C9" w:rsidRPr="00E61DEB" w:rsidRDefault="00A97EC4" w:rsidP="00320741">
            <w:pPr>
              <w:jc w:val="left"/>
              <w:rPr>
                <w:lang w:val="x-none" w:eastAsia="x-none"/>
              </w:rPr>
            </w:pPr>
            <w:r>
              <w:rPr>
                <w:color w:val="000000"/>
              </w:rPr>
              <w:t>We think Nokia is right that if the parameters can be signaled in both UE-specific and cell-specific signaling, they should be marked "UE-specific and cell-specific". A comment could be added in the table to clarify what we mean.</w:t>
            </w:r>
          </w:p>
        </w:tc>
      </w:tr>
      <w:tr w:rsidR="0004452E" w:rsidRPr="00E61DEB" w14:paraId="06BC596E" w14:textId="77777777" w:rsidTr="003D5F4F">
        <w:tc>
          <w:tcPr>
            <w:tcW w:w="915" w:type="pct"/>
          </w:tcPr>
          <w:p w14:paraId="06BC596C" w14:textId="7590B99E" w:rsidR="0004452E" w:rsidRPr="00E61DEB" w:rsidRDefault="008B0CDD" w:rsidP="0004452E">
            <w:pPr>
              <w:rPr>
                <w:rFonts w:eastAsiaTheme="minorHAnsi"/>
                <w:bCs/>
              </w:rPr>
            </w:pPr>
            <w:r>
              <w:rPr>
                <w:rFonts w:eastAsiaTheme="minorHAnsi"/>
                <w:bCs/>
              </w:rPr>
              <w:t>MediaTek</w:t>
            </w:r>
          </w:p>
        </w:tc>
        <w:tc>
          <w:tcPr>
            <w:tcW w:w="4085" w:type="pct"/>
          </w:tcPr>
          <w:p w14:paraId="44B7E4F5" w14:textId="77777777" w:rsidR="0004452E" w:rsidRDefault="008B0CDD" w:rsidP="0004452E">
            <w:pPr>
              <w:pStyle w:val="af3"/>
              <w:adjustRightInd w:val="0"/>
              <w:snapToGrid w:val="0"/>
              <w:spacing w:after="120"/>
              <w:ind w:left="0"/>
              <w:rPr>
                <w:rFonts w:eastAsiaTheme="minorHAnsi" w:cs="Times New Roman"/>
                <w:bCs/>
                <w:szCs w:val="22"/>
              </w:rPr>
            </w:pPr>
            <w:r>
              <w:rPr>
                <w:rFonts w:eastAsiaTheme="minorHAnsi" w:cs="Times New Roman"/>
                <w:bCs/>
                <w:szCs w:val="22"/>
              </w:rPr>
              <w:t>RAN1#107-e made</w:t>
            </w:r>
            <w:r w:rsidRPr="008B0CDD">
              <w:rPr>
                <w:rFonts w:eastAsiaTheme="minorHAnsi" w:cs="Times New Roman"/>
                <w:bCs/>
                <w:szCs w:val="22"/>
              </w:rPr>
              <w:t xml:space="preserve"> agreement that K_mac should also be utilized in BFR of PRACH. Hence, the description and comment should be updated</w:t>
            </w:r>
            <w:r>
              <w:rPr>
                <w:rFonts w:eastAsiaTheme="minorHAnsi" w:cs="Times New Roman"/>
                <w:bCs/>
                <w:szCs w:val="22"/>
              </w:rPr>
              <w:t xml:space="preserve"> accordingly</w:t>
            </w:r>
            <w:r w:rsidRPr="008B0CDD">
              <w:rPr>
                <w:rFonts w:eastAsiaTheme="minorHAnsi" w:cs="Times New Roman"/>
                <w:bCs/>
                <w:szCs w:val="22"/>
              </w:rPr>
              <w:t>.</w:t>
            </w:r>
          </w:p>
          <w:p w14:paraId="2B256F15" w14:textId="77777777" w:rsidR="008B0CDD" w:rsidRDefault="008B0CDD" w:rsidP="008B0CDD">
            <w:pPr>
              <w:pStyle w:val="afa"/>
              <w:spacing w:before="0" w:beforeAutospacing="0" w:after="0" w:afterAutospacing="0"/>
              <w:rPr>
                <w:rFonts w:ascii="Times" w:hAnsi="Times" w:cs="Times"/>
                <w:sz w:val="20"/>
                <w:szCs w:val="20"/>
                <w:lang w:eastAsia="zh-CN"/>
              </w:rPr>
            </w:pPr>
            <w:r>
              <w:rPr>
                <w:rFonts w:ascii="Times" w:hAnsi="Times" w:cs="Times"/>
                <w:sz w:val="20"/>
                <w:szCs w:val="20"/>
                <w:highlight w:val="green"/>
              </w:rPr>
              <w:t>Agreement</w:t>
            </w:r>
          </w:p>
          <w:p w14:paraId="06BC596D" w14:textId="083B370E" w:rsidR="008B0CDD" w:rsidRPr="008B0CDD" w:rsidRDefault="008B0CDD" w:rsidP="008B0CDD">
            <w:pPr>
              <w:pStyle w:val="afa"/>
              <w:spacing w:before="0" w:beforeAutospacing="0" w:after="0" w:afterAutospacing="0"/>
              <w:rPr>
                <w:rFonts w:ascii="Times" w:hAnsi="Times" w:cs="Times"/>
                <w:sz w:val="20"/>
                <w:szCs w:val="20"/>
              </w:rPr>
            </w:pPr>
            <w:r>
              <w:rPr>
                <w:rFonts w:ascii="Times" w:hAnsi="Times" w:cs="Times"/>
                <w:sz w:val="20"/>
                <w:szCs w:val="20"/>
              </w:rPr>
              <w:t>On beam failure recovery procedure, for PRACH transmission in uplink slot n, UE monitors the corresponding PDCCH starting from downlink slot “n + K_mac + 4” within a corresponding RAR window.</w:t>
            </w:r>
          </w:p>
        </w:tc>
      </w:tr>
      <w:tr w:rsidR="00C15A1A" w:rsidRPr="00E61DEB" w14:paraId="33F8EFDB" w14:textId="77777777" w:rsidTr="003D5F4F">
        <w:tc>
          <w:tcPr>
            <w:tcW w:w="915" w:type="pct"/>
          </w:tcPr>
          <w:p w14:paraId="02546C07" w14:textId="257FC13E" w:rsidR="00C15A1A" w:rsidRPr="00E61DEB" w:rsidRDefault="00DF3AF7" w:rsidP="00EC56C9">
            <w:pPr>
              <w:rPr>
                <w:rFonts w:eastAsiaTheme="minorHAnsi"/>
                <w:bCs/>
              </w:rPr>
            </w:pPr>
            <w:r>
              <w:rPr>
                <w:rFonts w:eastAsiaTheme="minorHAnsi"/>
                <w:bCs/>
              </w:rPr>
              <w:t>QC</w:t>
            </w:r>
          </w:p>
        </w:tc>
        <w:tc>
          <w:tcPr>
            <w:tcW w:w="4085" w:type="pct"/>
          </w:tcPr>
          <w:p w14:paraId="7BC0F160" w14:textId="7DC9BBFA" w:rsidR="00C15A1A" w:rsidRPr="00E61DEB" w:rsidRDefault="00DF3AF7" w:rsidP="00EC56C9">
            <w:pPr>
              <w:pStyle w:val="af3"/>
              <w:adjustRightInd w:val="0"/>
              <w:snapToGrid w:val="0"/>
              <w:spacing w:after="120"/>
              <w:ind w:left="0"/>
              <w:rPr>
                <w:rFonts w:eastAsia="Malgun Gothic" w:cs="Times New Roman"/>
                <w:bCs/>
                <w:szCs w:val="22"/>
                <w:lang w:eastAsia="ko-KR"/>
              </w:rPr>
            </w:pPr>
            <w:r>
              <w:rPr>
                <w:rFonts w:eastAsia="Malgun Gothic" w:cs="Times New Roman"/>
                <w:bCs/>
                <w:szCs w:val="22"/>
                <w:lang w:eastAsia="ko-KR"/>
              </w:rPr>
              <w:t xml:space="preserve">There is no UE-specific Kmac. Hence we don’t need to add a label “cell-specific” for Kmac. </w:t>
            </w:r>
          </w:p>
        </w:tc>
      </w:tr>
      <w:tr w:rsidR="009B5259" w:rsidRPr="00E61DEB" w14:paraId="1F3652CF" w14:textId="77777777" w:rsidTr="003D5F4F">
        <w:tc>
          <w:tcPr>
            <w:tcW w:w="915" w:type="pct"/>
          </w:tcPr>
          <w:p w14:paraId="04609F81" w14:textId="1D38933B" w:rsidR="009B5259" w:rsidRPr="00E61DEB" w:rsidRDefault="00A23705" w:rsidP="00EC56C9">
            <w:pPr>
              <w:rPr>
                <w:bCs/>
                <w:lang w:eastAsia="zh-CN"/>
              </w:rPr>
            </w:pPr>
            <w:r>
              <w:rPr>
                <w:bCs/>
                <w:lang w:eastAsia="zh-CN"/>
              </w:rPr>
              <w:t>ZTE</w:t>
            </w:r>
          </w:p>
        </w:tc>
        <w:tc>
          <w:tcPr>
            <w:tcW w:w="4085" w:type="pct"/>
          </w:tcPr>
          <w:p w14:paraId="09D3D8F1" w14:textId="05CD29BE" w:rsidR="00B4792A" w:rsidRPr="00E61DEB" w:rsidRDefault="00A23705" w:rsidP="00E32351">
            <w:pPr>
              <w:jc w:val="left"/>
              <w:rPr>
                <w:color w:val="FF0000"/>
                <w:lang w:eastAsia="zh-CN"/>
              </w:rPr>
            </w:pPr>
            <w:r w:rsidRPr="00A23705">
              <w:rPr>
                <w:color w:val="000000" w:themeColor="text1"/>
                <w:lang w:eastAsia="zh-CN"/>
              </w:rPr>
              <w:t xml:space="preserve">We share the views as QC that no need to add the label “cell-specific” for K_mac.  The concern from Nokia is actually more related to the signalling design </w:t>
            </w:r>
            <w:r>
              <w:rPr>
                <w:color w:val="000000" w:themeColor="text1"/>
                <w:lang w:eastAsia="zh-CN"/>
              </w:rPr>
              <w:t>with the assumption</w:t>
            </w:r>
            <w:r w:rsidRPr="00A23705">
              <w:rPr>
                <w:color w:val="000000" w:themeColor="text1"/>
                <w:lang w:eastAsia="zh-CN"/>
              </w:rPr>
              <w:t xml:space="preserve"> that “</w:t>
            </w:r>
            <w:r w:rsidRPr="00A23705">
              <w:rPr>
                <w:color w:val="000000" w:themeColor="text1"/>
              </w:rPr>
              <w:t>UEs that are configured for a bandwidth part which is not having a common search space configured</w:t>
            </w:r>
            <w:r w:rsidRPr="00A23705">
              <w:rPr>
                <w:color w:val="000000" w:themeColor="text1"/>
                <w:lang w:eastAsia="zh-CN"/>
              </w:rPr>
              <w:t>”</w:t>
            </w:r>
            <w:r>
              <w:rPr>
                <w:color w:val="000000" w:themeColor="text1"/>
                <w:lang w:eastAsia="zh-CN"/>
              </w:rPr>
              <w:t xml:space="preserve">. In this way, the updates via SIB may not be directly available for the UEs in </w:t>
            </w:r>
            <w:r>
              <w:rPr>
                <w:color w:val="000000" w:themeColor="text1"/>
                <w:lang w:eastAsia="zh-CN"/>
              </w:rPr>
              <w:lastRenderedPageBreak/>
              <w:t xml:space="preserve">different BWPs. </w:t>
            </w:r>
            <w:r w:rsidR="00E32351">
              <w:rPr>
                <w:color w:val="000000" w:themeColor="text1"/>
                <w:lang w:eastAsia="zh-CN"/>
              </w:rPr>
              <w:t>I</w:t>
            </w:r>
            <w:r>
              <w:rPr>
                <w:color w:val="000000" w:themeColor="text1"/>
                <w:lang w:eastAsia="zh-CN"/>
              </w:rPr>
              <w:t xml:space="preserve">n our view, it’s related to the gNB’s scheduling mechanism as well as the </w:t>
            </w:r>
            <w:r w:rsidR="001668D4">
              <w:rPr>
                <w:color w:val="000000" w:themeColor="text1"/>
                <w:lang w:eastAsia="zh-CN"/>
              </w:rPr>
              <w:t>BWP-beam mapping. No further updates on the signaling are preferred.</w:t>
            </w:r>
          </w:p>
        </w:tc>
      </w:tr>
    </w:tbl>
    <w:p w14:paraId="4FD3A2BD" w14:textId="77777777" w:rsidR="008450C5" w:rsidRPr="00E61DEB" w:rsidRDefault="008450C5" w:rsidP="00396B18">
      <w:pPr>
        <w:rPr>
          <w:b/>
        </w:rPr>
      </w:pPr>
      <w:bookmarkStart w:id="7" w:name="_Toc82188766"/>
    </w:p>
    <w:bookmarkEnd w:id="7"/>
    <w:p w14:paraId="6611CE60" w14:textId="77777777" w:rsidR="004B4B8E" w:rsidRPr="004B4B8E" w:rsidRDefault="004B4B8E" w:rsidP="004B4B8E"/>
    <w:p w14:paraId="06BC5970" w14:textId="77777777" w:rsidR="00E302D0" w:rsidRPr="00E61DEB" w:rsidRDefault="00E302D0" w:rsidP="00E302D0">
      <w:pPr>
        <w:pStyle w:val="1"/>
        <w:rPr>
          <w:sz w:val="22"/>
          <w:szCs w:val="22"/>
        </w:rPr>
      </w:pPr>
      <w:bookmarkStart w:id="8" w:name="_Toc79484738"/>
      <w:bookmarkStart w:id="9" w:name="_Toc82188767"/>
      <w:r w:rsidRPr="00E61DEB">
        <w:rPr>
          <w:sz w:val="22"/>
          <w:szCs w:val="22"/>
        </w:rPr>
        <w:t>Enhancements on UL time and frequency synchronization</w:t>
      </w:r>
      <w:bookmarkEnd w:id="8"/>
      <w:bookmarkEnd w:id="9"/>
    </w:p>
    <w:p w14:paraId="06BC5971" w14:textId="77777777" w:rsidR="003B5392" w:rsidRPr="00E61DEB" w:rsidRDefault="003B5392" w:rsidP="003B5392">
      <w:pPr>
        <w:pStyle w:val="2"/>
        <w:rPr>
          <w:sz w:val="22"/>
        </w:rPr>
      </w:pPr>
      <w:bookmarkStart w:id="10" w:name="_Toc82188768"/>
      <w:r w:rsidRPr="00E61DEB">
        <w:rPr>
          <w:sz w:val="22"/>
        </w:rPr>
        <w:t>Related RRC parameters</w:t>
      </w:r>
      <w:bookmarkEnd w:id="10"/>
    </w:p>
    <w:p w14:paraId="06BC5972" w14:textId="04CBD0A2" w:rsidR="003B5392" w:rsidRDefault="00304663" w:rsidP="003B5392">
      <w:r w:rsidRPr="00E61DEB">
        <w:t xml:space="preserve">Based on the agreements to date </w:t>
      </w:r>
      <w:r w:rsidR="00104C6B">
        <w:t>(up to RAN1#107</w:t>
      </w:r>
      <w:r w:rsidRPr="00E61DEB">
        <w:t>-e) and the companies propo</w:t>
      </w:r>
      <w:r w:rsidR="00095571">
        <w:t>sals submitted to RAN1#10</w:t>
      </w:r>
      <w:r w:rsidR="00104C6B">
        <w:t>8</w:t>
      </w:r>
      <w:r w:rsidR="00095571">
        <w:t xml:space="preserve">-e, an updated </w:t>
      </w:r>
      <w:r w:rsidR="003826AC" w:rsidRPr="00E61DEB">
        <w:t xml:space="preserve">list of RRC parameters pertinent to NR NTN </w:t>
      </w:r>
      <w:r w:rsidR="00C30F9D" w:rsidRPr="00E61DEB">
        <w:t>and related the e</w:t>
      </w:r>
      <w:r w:rsidR="003826AC" w:rsidRPr="00E61DEB">
        <w:t>nhancements on UL time and frequency synchronization is given within the following table:</w:t>
      </w:r>
    </w:p>
    <w:p w14:paraId="1A0F939F" w14:textId="77777777" w:rsidR="00254FC5" w:rsidRDefault="00254FC5" w:rsidP="003B5392"/>
    <w:tbl>
      <w:tblPr>
        <w:tblW w:w="5000" w:type="pct"/>
        <w:tblLook w:val="04A0" w:firstRow="1" w:lastRow="0" w:firstColumn="1" w:lastColumn="0" w:noHBand="0" w:noVBand="1"/>
      </w:tblPr>
      <w:tblGrid>
        <w:gridCol w:w="5992"/>
        <w:gridCol w:w="2053"/>
        <w:gridCol w:w="3051"/>
        <w:gridCol w:w="2677"/>
        <w:gridCol w:w="1015"/>
        <w:gridCol w:w="994"/>
        <w:gridCol w:w="1535"/>
        <w:gridCol w:w="1676"/>
        <w:gridCol w:w="1125"/>
      </w:tblGrid>
      <w:tr w:rsidR="00D9261E" w:rsidRPr="00254FC5" w14:paraId="5E04C25A" w14:textId="77777777" w:rsidTr="00D9261E">
        <w:trPr>
          <w:trHeight w:val="765"/>
        </w:trPr>
        <w:tc>
          <w:tcPr>
            <w:tcW w:w="1496"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239150F7"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Parameter name in the spec</w:t>
            </w:r>
          </w:p>
        </w:tc>
        <w:tc>
          <w:tcPr>
            <w:tcW w:w="517" w:type="pct"/>
            <w:tcBorders>
              <w:top w:val="single" w:sz="4" w:space="0" w:color="auto"/>
              <w:left w:val="nil"/>
              <w:bottom w:val="single" w:sz="4" w:space="0" w:color="auto"/>
              <w:right w:val="single" w:sz="4" w:space="0" w:color="auto"/>
            </w:tcBorders>
            <w:shd w:val="clear" w:color="000000" w:fill="00B0F0"/>
            <w:vAlign w:val="center"/>
            <w:hideMark/>
          </w:tcPr>
          <w:p w14:paraId="18DBEB66"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New or existing?</w:t>
            </w:r>
          </w:p>
        </w:tc>
        <w:tc>
          <w:tcPr>
            <w:tcW w:w="765" w:type="pct"/>
            <w:tcBorders>
              <w:top w:val="single" w:sz="4" w:space="0" w:color="auto"/>
              <w:left w:val="nil"/>
              <w:bottom w:val="single" w:sz="4" w:space="0" w:color="auto"/>
              <w:right w:val="single" w:sz="4" w:space="0" w:color="auto"/>
            </w:tcBorders>
            <w:shd w:val="clear" w:color="000000" w:fill="00B0F0"/>
            <w:vAlign w:val="center"/>
            <w:hideMark/>
          </w:tcPr>
          <w:p w14:paraId="54DADFAD"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Description</w:t>
            </w:r>
          </w:p>
        </w:tc>
        <w:tc>
          <w:tcPr>
            <w:tcW w:w="672" w:type="pct"/>
            <w:tcBorders>
              <w:top w:val="single" w:sz="4" w:space="0" w:color="auto"/>
              <w:left w:val="nil"/>
              <w:bottom w:val="single" w:sz="4" w:space="0" w:color="auto"/>
              <w:right w:val="single" w:sz="4" w:space="0" w:color="auto"/>
            </w:tcBorders>
            <w:shd w:val="clear" w:color="000000" w:fill="00B0F0"/>
            <w:vAlign w:val="center"/>
            <w:hideMark/>
          </w:tcPr>
          <w:p w14:paraId="6BC3D992"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Value range</w:t>
            </w:r>
          </w:p>
        </w:tc>
        <w:tc>
          <w:tcPr>
            <w:tcW w:w="259" w:type="pct"/>
            <w:tcBorders>
              <w:top w:val="single" w:sz="4" w:space="0" w:color="auto"/>
              <w:left w:val="nil"/>
              <w:bottom w:val="single" w:sz="4" w:space="0" w:color="auto"/>
              <w:right w:val="single" w:sz="4" w:space="0" w:color="auto"/>
            </w:tcBorders>
            <w:shd w:val="clear" w:color="000000" w:fill="00B0F0"/>
            <w:vAlign w:val="center"/>
            <w:hideMark/>
          </w:tcPr>
          <w:p w14:paraId="537E9B31"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Default value aspect</w:t>
            </w:r>
          </w:p>
        </w:tc>
        <w:tc>
          <w:tcPr>
            <w:tcW w:w="194" w:type="pct"/>
            <w:tcBorders>
              <w:top w:val="single" w:sz="4" w:space="0" w:color="auto"/>
              <w:left w:val="nil"/>
              <w:bottom w:val="single" w:sz="4" w:space="0" w:color="auto"/>
              <w:right w:val="single" w:sz="4" w:space="0" w:color="auto"/>
            </w:tcBorders>
            <w:shd w:val="clear" w:color="000000" w:fill="00B0F0"/>
            <w:vAlign w:val="center"/>
            <w:hideMark/>
          </w:tcPr>
          <w:p w14:paraId="3B148908"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Per (UE, cell, TRP, …)</w:t>
            </w:r>
          </w:p>
        </w:tc>
        <w:tc>
          <w:tcPr>
            <w:tcW w:w="388" w:type="pct"/>
            <w:tcBorders>
              <w:top w:val="single" w:sz="4" w:space="0" w:color="auto"/>
              <w:left w:val="nil"/>
              <w:bottom w:val="single" w:sz="4" w:space="0" w:color="auto"/>
              <w:right w:val="single" w:sz="4" w:space="0" w:color="auto"/>
            </w:tcBorders>
            <w:shd w:val="clear" w:color="000000" w:fill="00B0F0"/>
            <w:vAlign w:val="center"/>
            <w:hideMark/>
          </w:tcPr>
          <w:p w14:paraId="1DD9D6C5"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UE-specific or Cell-specific</w:t>
            </w:r>
          </w:p>
        </w:tc>
        <w:tc>
          <w:tcPr>
            <w:tcW w:w="423" w:type="pct"/>
            <w:tcBorders>
              <w:top w:val="single" w:sz="4" w:space="0" w:color="auto"/>
              <w:left w:val="nil"/>
              <w:bottom w:val="single" w:sz="4" w:space="0" w:color="auto"/>
              <w:right w:val="single" w:sz="4" w:space="0" w:color="auto"/>
            </w:tcBorders>
            <w:shd w:val="clear" w:color="000000" w:fill="00B0F0"/>
            <w:vAlign w:val="center"/>
            <w:hideMark/>
          </w:tcPr>
          <w:p w14:paraId="4910F565" w14:textId="77777777" w:rsidR="00D9261E" w:rsidRPr="00254FC5" w:rsidRDefault="00D9261E" w:rsidP="00254FC5">
            <w:pPr>
              <w:autoSpaceDE/>
              <w:autoSpaceDN/>
              <w:adjustRightInd/>
              <w:snapToGrid/>
              <w:spacing w:after="0"/>
              <w:jc w:val="left"/>
              <w:rPr>
                <w:rFonts w:ascii="Arial" w:eastAsia="Times New Roman" w:hAnsi="Arial" w:cs="Arial"/>
                <w:b/>
                <w:bCs/>
                <w:color w:val="FFFFFF"/>
                <w:sz w:val="20"/>
                <w:szCs w:val="20"/>
              </w:rPr>
            </w:pPr>
            <w:r w:rsidRPr="00254FC5">
              <w:rPr>
                <w:rFonts w:ascii="Arial" w:eastAsia="Times New Roman" w:hAnsi="Arial" w:cs="Arial"/>
                <w:b/>
                <w:bCs/>
                <w:color w:val="FFFFFF"/>
                <w:sz w:val="20"/>
                <w:szCs w:val="20"/>
              </w:rPr>
              <w:t>Specification</w:t>
            </w:r>
          </w:p>
        </w:tc>
        <w:tc>
          <w:tcPr>
            <w:tcW w:w="286" w:type="pct"/>
            <w:tcBorders>
              <w:top w:val="single" w:sz="4" w:space="0" w:color="auto"/>
              <w:left w:val="nil"/>
              <w:bottom w:val="single" w:sz="4" w:space="0" w:color="auto"/>
              <w:right w:val="single" w:sz="4" w:space="0" w:color="auto"/>
            </w:tcBorders>
            <w:shd w:val="clear" w:color="000000" w:fill="00B0F0"/>
            <w:vAlign w:val="center"/>
            <w:hideMark/>
          </w:tcPr>
          <w:p w14:paraId="48B189EA" w14:textId="74496842" w:rsidR="00D9261E" w:rsidRPr="00254FC5" w:rsidRDefault="00D9261E" w:rsidP="00D9261E">
            <w:pPr>
              <w:autoSpaceDE/>
              <w:autoSpaceDN/>
              <w:adjustRightInd/>
              <w:snapToGrid/>
              <w:spacing w:after="0"/>
              <w:jc w:val="left"/>
              <w:rPr>
                <w:rFonts w:ascii="Arial" w:eastAsia="Times New Roman" w:hAnsi="Arial" w:cs="Arial"/>
                <w:b/>
                <w:bCs/>
                <w:color w:val="FFFFFF"/>
                <w:sz w:val="20"/>
                <w:szCs w:val="20"/>
              </w:rPr>
            </w:pPr>
            <w:r>
              <w:rPr>
                <w:rFonts w:ascii="Arial" w:eastAsia="Times New Roman" w:hAnsi="Arial" w:cs="Arial"/>
                <w:b/>
                <w:bCs/>
                <w:color w:val="FFFFFF"/>
                <w:sz w:val="20"/>
                <w:szCs w:val="20"/>
              </w:rPr>
              <w:t>Status [108</w:t>
            </w:r>
            <w:r w:rsidRPr="00254FC5">
              <w:rPr>
                <w:rFonts w:ascii="Arial" w:eastAsia="Times New Roman" w:hAnsi="Arial" w:cs="Arial"/>
                <w:b/>
                <w:bCs/>
                <w:color w:val="FFFFFF"/>
                <w:sz w:val="20"/>
                <w:szCs w:val="20"/>
              </w:rPr>
              <w:t>-e]</w:t>
            </w:r>
          </w:p>
        </w:tc>
      </w:tr>
      <w:tr w:rsidR="00D9261E" w:rsidRPr="00254FC5" w14:paraId="5F69FAB3"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7A0E98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xml:space="preserve">TACommon </w:t>
            </w:r>
          </w:p>
        </w:tc>
        <w:tc>
          <w:tcPr>
            <w:tcW w:w="517" w:type="pct"/>
            <w:tcBorders>
              <w:top w:val="nil"/>
              <w:left w:val="nil"/>
              <w:bottom w:val="single" w:sz="4" w:space="0" w:color="auto"/>
              <w:right w:val="single" w:sz="4" w:space="0" w:color="auto"/>
            </w:tcBorders>
            <w:shd w:val="clear" w:color="auto" w:fill="auto"/>
            <w:noWrap/>
            <w:vAlign w:val="center"/>
            <w:hideMark/>
          </w:tcPr>
          <w:p w14:paraId="732CFE3E"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New</w:t>
            </w:r>
          </w:p>
        </w:tc>
        <w:tc>
          <w:tcPr>
            <w:tcW w:w="765" w:type="pct"/>
            <w:tcBorders>
              <w:top w:val="nil"/>
              <w:left w:val="nil"/>
              <w:bottom w:val="single" w:sz="4" w:space="0" w:color="auto"/>
              <w:right w:val="single" w:sz="4" w:space="0" w:color="auto"/>
            </w:tcBorders>
            <w:shd w:val="clear" w:color="auto" w:fill="auto"/>
            <w:vAlign w:val="center"/>
            <w:hideMark/>
          </w:tcPr>
          <w:p w14:paraId="69B7FA1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TACommon is a network-controlled common TA, and may include any timing offset considered necessary by the network.</w:t>
            </w:r>
            <w:r w:rsidRPr="00254FC5">
              <w:rPr>
                <w:rFonts w:ascii="Arial" w:eastAsia="Times New Roman" w:hAnsi="Arial" w:cs="Arial"/>
                <w:sz w:val="18"/>
                <w:szCs w:val="18"/>
              </w:rPr>
              <w:br/>
              <w:t>TACommon  with value of 0 is supported. The granularity of TACommon is 4.07 × 10^(-3) μs</w:t>
            </w:r>
            <w:r w:rsidRPr="00254FC5">
              <w:rPr>
                <w:rFonts w:ascii="Arial" w:eastAsia="Times New Roman" w:hAnsi="Arial" w:cs="Arial"/>
                <w:sz w:val="18"/>
                <w:szCs w:val="18"/>
              </w:rPr>
              <w:br/>
              <w:t>Values  are given in unit of corresponding granularity</w:t>
            </w:r>
          </w:p>
        </w:tc>
        <w:tc>
          <w:tcPr>
            <w:tcW w:w="672" w:type="pct"/>
            <w:tcBorders>
              <w:top w:val="nil"/>
              <w:left w:val="nil"/>
              <w:bottom w:val="single" w:sz="4" w:space="0" w:color="auto"/>
              <w:right w:val="single" w:sz="4" w:space="0" w:color="auto"/>
            </w:tcBorders>
            <w:shd w:val="clear" w:color="auto" w:fill="auto"/>
            <w:vAlign w:val="center"/>
            <w:hideMark/>
          </w:tcPr>
          <w:p w14:paraId="52018AA9"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xml:space="preserve">0 ...66485757 (i.e: 0… 270.73 ms) </w:t>
            </w:r>
          </w:p>
        </w:tc>
        <w:tc>
          <w:tcPr>
            <w:tcW w:w="259" w:type="pct"/>
            <w:tcBorders>
              <w:top w:val="nil"/>
              <w:left w:val="nil"/>
              <w:bottom w:val="single" w:sz="4" w:space="0" w:color="auto"/>
              <w:right w:val="single" w:sz="4" w:space="0" w:color="auto"/>
            </w:tcBorders>
            <w:shd w:val="clear" w:color="auto" w:fill="auto"/>
            <w:noWrap/>
            <w:vAlign w:val="center"/>
            <w:hideMark/>
          </w:tcPr>
          <w:p w14:paraId="2031547B"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14:paraId="1F82B96B"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75100354"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025C95F8"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38.331</w:t>
            </w:r>
          </w:p>
        </w:tc>
        <w:tc>
          <w:tcPr>
            <w:tcW w:w="286" w:type="pct"/>
            <w:tcBorders>
              <w:top w:val="nil"/>
              <w:left w:val="nil"/>
              <w:bottom w:val="single" w:sz="4" w:space="0" w:color="auto"/>
              <w:right w:val="single" w:sz="4" w:space="0" w:color="auto"/>
            </w:tcBorders>
            <w:shd w:val="clear" w:color="auto" w:fill="auto"/>
            <w:noWrap/>
            <w:vAlign w:val="bottom"/>
          </w:tcPr>
          <w:p w14:paraId="43F66ABF" w14:textId="6A37B2F4"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72DEF84C"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FC392A5"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TACommonDrift</w:t>
            </w:r>
          </w:p>
        </w:tc>
        <w:tc>
          <w:tcPr>
            <w:tcW w:w="517" w:type="pct"/>
            <w:tcBorders>
              <w:top w:val="nil"/>
              <w:left w:val="nil"/>
              <w:bottom w:val="single" w:sz="4" w:space="0" w:color="auto"/>
              <w:right w:val="single" w:sz="4" w:space="0" w:color="auto"/>
            </w:tcBorders>
            <w:shd w:val="clear" w:color="auto" w:fill="auto"/>
            <w:noWrap/>
            <w:vAlign w:val="center"/>
            <w:hideMark/>
          </w:tcPr>
          <w:p w14:paraId="0CDDBA2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New</w:t>
            </w:r>
          </w:p>
        </w:tc>
        <w:tc>
          <w:tcPr>
            <w:tcW w:w="765" w:type="pct"/>
            <w:tcBorders>
              <w:top w:val="nil"/>
              <w:left w:val="nil"/>
              <w:bottom w:val="single" w:sz="4" w:space="0" w:color="auto"/>
              <w:right w:val="single" w:sz="4" w:space="0" w:color="auto"/>
            </w:tcBorders>
            <w:shd w:val="clear" w:color="auto" w:fill="auto"/>
            <w:vAlign w:val="center"/>
            <w:hideMark/>
          </w:tcPr>
          <w:p w14:paraId="6FCE9B35"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drift rate of the common TA</w:t>
            </w:r>
            <w:r w:rsidRPr="00254FC5">
              <w:rPr>
                <w:rFonts w:ascii="Arial" w:eastAsia="Times New Roman" w:hAnsi="Arial" w:cs="Arial"/>
                <w:sz w:val="18"/>
                <w:szCs w:val="18"/>
              </w:rPr>
              <w:br/>
              <w:t>The granularity of TACommonDrift is 0.2 × 10^(-3)   μs⁄s</w:t>
            </w:r>
            <w:r w:rsidRPr="00254FC5">
              <w:rPr>
                <w:rFonts w:ascii="Arial" w:eastAsia="Times New Roman" w:hAnsi="Arial" w:cs="Arial"/>
                <w:sz w:val="18"/>
                <w:szCs w:val="18"/>
              </w:rPr>
              <w:br/>
            </w:r>
            <w:r w:rsidRPr="00254FC5">
              <w:rPr>
                <w:rFonts w:ascii="Arial" w:eastAsia="Times New Roman" w:hAnsi="Arial" w:cs="Arial"/>
                <w:sz w:val="18"/>
                <w:szCs w:val="18"/>
              </w:rPr>
              <w:br/>
              <w:t>Values  are given in unit of corresponding granularity</w:t>
            </w:r>
          </w:p>
        </w:tc>
        <w:tc>
          <w:tcPr>
            <w:tcW w:w="672" w:type="pct"/>
            <w:tcBorders>
              <w:top w:val="nil"/>
              <w:left w:val="nil"/>
              <w:bottom w:val="single" w:sz="4" w:space="0" w:color="auto"/>
              <w:right w:val="single" w:sz="4" w:space="0" w:color="auto"/>
            </w:tcBorders>
            <w:shd w:val="clear" w:color="auto" w:fill="auto"/>
            <w:vAlign w:val="center"/>
            <w:hideMark/>
          </w:tcPr>
          <w:p w14:paraId="6425212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- 261935… + 261935 (i.e: --53.33 μs⁄s    … +-53.33 μs⁄s  )</w:t>
            </w:r>
          </w:p>
        </w:tc>
        <w:tc>
          <w:tcPr>
            <w:tcW w:w="259" w:type="pct"/>
            <w:tcBorders>
              <w:top w:val="nil"/>
              <w:left w:val="nil"/>
              <w:bottom w:val="single" w:sz="4" w:space="0" w:color="auto"/>
              <w:right w:val="single" w:sz="4" w:space="0" w:color="auto"/>
            </w:tcBorders>
            <w:shd w:val="clear" w:color="auto" w:fill="auto"/>
            <w:noWrap/>
            <w:vAlign w:val="center"/>
            <w:hideMark/>
          </w:tcPr>
          <w:p w14:paraId="7F75104E"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14:paraId="48FF834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0D5D5B06"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5179A92E"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38.331</w:t>
            </w:r>
          </w:p>
        </w:tc>
        <w:tc>
          <w:tcPr>
            <w:tcW w:w="286" w:type="pct"/>
            <w:tcBorders>
              <w:top w:val="nil"/>
              <w:left w:val="nil"/>
              <w:bottom w:val="single" w:sz="4" w:space="0" w:color="auto"/>
              <w:right w:val="single" w:sz="4" w:space="0" w:color="auto"/>
            </w:tcBorders>
            <w:shd w:val="clear" w:color="auto" w:fill="auto"/>
            <w:noWrap/>
            <w:vAlign w:val="bottom"/>
          </w:tcPr>
          <w:p w14:paraId="4122E604" w14:textId="75D92257"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5916D050"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6EE87B6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TACommonDriftVariation</w:t>
            </w:r>
          </w:p>
        </w:tc>
        <w:tc>
          <w:tcPr>
            <w:tcW w:w="517" w:type="pct"/>
            <w:tcBorders>
              <w:top w:val="nil"/>
              <w:left w:val="nil"/>
              <w:bottom w:val="single" w:sz="4" w:space="0" w:color="auto"/>
              <w:right w:val="single" w:sz="4" w:space="0" w:color="auto"/>
            </w:tcBorders>
            <w:shd w:val="clear" w:color="auto" w:fill="auto"/>
            <w:noWrap/>
            <w:vAlign w:val="center"/>
            <w:hideMark/>
          </w:tcPr>
          <w:p w14:paraId="67D44D07"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New</w:t>
            </w:r>
          </w:p>
        </w:tc>
        <w:tc>
          <w:tcPr>
            <w:tcW w:w="765" w:type="pct"/>
            <w:tcBorders>
              <w:top w:val="nil"/>
              <w:left w:val="nil"/>
              <w:bottom w:val="single" w:sz="4" w:space="0" w:color="auto"/>
              <w:right w:val="single" w:sz="4" w:space="0" w:color="auto"/>
            </w:tcBorders>
            <w:shd w:val="clear" w:color="auto" w:fill="auto"/>
            <w:vAlign w:val="center"/>
            <w:hideMark/>
          </w:tcPr>
          <w:p w14:paraId="39F4494D"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drift rate variation of the common TA</w:t>
            </w:r>
            <w:r w:rsidRPr="00254FC5">
              <w:rPr>
                <w:rFonts w:ascii="Arial" w:eastAsia="Times New Roman" w:hAnsi="Arial" w:cs="Arial"/>
                <w:sz w:val="18"/>
                <w:szCs w:val="18"/>
              </w:rPr>
              <w:br/>
              <w:t xml:space="preserve">The granularity of TACommonDriftVariation is 0.2×10^(-4)  μs⁄s^2 </w:t>
            </w:r>
            <w:r w:rsidRPr="00254FC5">
              <w:rPr>
                <w:rFonts w:ascii="Arial" w:eastAsia="Times New Roman" w:hAnsi="Arial" w:cs="Arial"/>
                <w:sz w:val="18"/>
                <w:szCs w:val="18"/>
              </w:rPr>
              <w:br/>
              <w:t>Value  are given in unit of corresponding granularity</w:t>
            </w:r>
          </w:p>
        </w:tc>
        <w:tc>
          <w:tcPr>
            <w:tcW w:w="672" w:type="pct"/>
            <w:tcBorders>
              <w:top w:val="nil"/>
              <w:left w:val="nil"/>
              <w:bottom w:val="single" w:sz="4" w:space="0" w:color="auto"/>
              <w:right w:val="single" w:sz="4" w:space="0" w:color="auto"/>
            </w:tcBorders>
            <w:shd w:val="clear" w:color="auto" w:fill="auto"/>
            <w:vAlign w:val="center"/>
            <w:hideMark/>
          </w:tcPr>
          <w:p w14:paraId="6BACE8F6"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0…29470 (i.e. 0…0.60  μs⁄s^2   )</w:t>
            </w:r>
          </w:p>
        </w:tc>
        <w:tc>
          <w:tcPr>
            <w:tcW w:w="259" w:type="pct"/>
            <w:tcBorders>
              <w:top w:val="nil"/>
              <w:left w:val="nil"/>
              <w:bottom w:val="single" w:sz="4" w:space="0" w:color="auto"/>
              <w:right w:val="single" w:sz="4" w:space="0" w:color="auto"/>
            </w:tcBorders>
            <w:shd w:val="clear" w:color="auto" w:fill="auto"/>
            <w:noWrap/>
            <w:vAlign w:val="center"/>
            <w:hideMark/>
          </w:tcPr>
          <w:p w14:paraId="637204F9"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14:paraId="2835BBF8"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078E81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96BBF40"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38.331</w:t>
            </w:r>
          </w:p>
        </w:tc>
        <w:tc>
          <w:tcPr>
            <w:tcW w:w="286" w:type="pct"/>
            <w:tcBorders>
              <w:top w:val="nil"/>
              <w:left w:val="nil"/>
              <w:bottom w:val="single" w:sz="4" w:space="0" w:color="auto"/>
              <w:right w:val="single" w:sz="4" w:space="0" w:color="auto"/>
            </w:tcBorders>
            <w:shd w:val="clear" w:color="auto" w:fill="auto"/>
            <w:noWrap/>
            <w:vAlign w:val="bottom"/>
          </w:tcPr>
          <w:p w14:paraId="571844DE" w14:textId="26074C6F"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160C8DB5"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5B427AD5"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lastRenderedPageBreak/>
              <w:t>ServingSatelliteEphemerisStateVectorX</w:t>
            </w:r>
          </w:p>
        </w:tc>
        <w:tc>
          <w:tcPr>
            <w:tcW w:w="517" w:type="pct"/>
            <w:tcBorders>
              <w:top w:val="nil"/>
              <w:left w:val="nil"/>
              <w:bottom w:val="single" w:sz="4" w:space="0" w:color="auto"/>
              <w:right w:val="single" w:sz="4" w:space="0" w:color="auto"/>
            </w:tcBorders>
            <w:shd w:val="clear" w:color="auto" w:fill="auto"/>
            <w:noWrap/>
            <w:vAlign w:val="center"/>
            <w:hideMark/>
          </w:tcPr>
          <w:p w14:paraId="206F1B3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67889E73" w14:textId="77777777" w:rsidR="00D9261E" w:rsidRDefault="00D9261E" w:rsidP="00254FC5">
            <w:pPr>
              <w:autoSpaceDE/>
              <w:autoSpaceDN/>
              <w:adjustRightInd/>
              <w:snapToGrid/>
              <w:spacing w:after="0"/>
              <w:jc w:val="left"/>
              <w:rPr>
                <w:rFonts w:eastAsia="Times New Roman"/>
              </w:rPr>
            </w:pPr>
            <w:r w:rsidRPr="00254FC5">
              <w:rPr>
                <w:rFonts w:eastAsia="Times New Roman"/>
              </w:rPr>
              <w:t>Indicate  the x-coordinate of serving  Satellite position state vector in ECEF The unit is m</w:t>
            </w:r>
          </w:p>
          <w:p w14:paraId="108E0C0D" w14:textId="2E6205DC" w:rsidR="00686165" w:rsidRPr="00686165" w:rsidRDefault="00686165" w:rsidP="00686165">
            <w:pPr>
              <w:jc w:val="left"/>
              <w:rPr>
                <w:rFonts w:eastAsia="Times New Roman"/>
              </w:rPr>
            </w:pPr>
            <w:r w:rsidRPr="00686165">
              <w:rPr>
                <w:rFonts w:eastAsia="Times New Roman"/>
                <w:color w:val="FF0000"/>
              </w:rPr>
              <w:t>The quantization step is 1.3m for position</w:t>
            </w:r>
          </w:p>
        </w:tc>
        <w:tc>
          <w:tcPr>
            <w:tcW w:w="672" w:type="pct"/>
            <w:tcBorders>
              <w:top w:val="nil"/>
              <w:left w:val="nil"/>
              <w:bottom w:val="single" w:sz="4" w:space="0" w:color="auto"/>
              <w:right w:val="single" w:sz="4" w:space="0" w:color="auto"/>
            </w:tcBorders>
            <w:shd w:val="clear" w:color="auto" w:fill="auto"/>
            <w:vAlign w:val="center"/>
            <w:hideMark/>
          </w:tcPr>
          <w:p w14:paraId="34710A7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-42200000…+42200000</w:t>
            </w:r>
          </w:p>
        </w:tc>
        <w:tc>
          <w:tcPr>
            <w:tcW w:w="259" w:type="pct"/>
            <w:tcBorders>
              <w:top w:val="nil"/>
              <w:left w:val="nil"/>
              <w:bottom w:val="single" w:sz="4" w:space="0" w:color="auto"/>
              <w:right w:val="single" w:sz="4" w:space="0" w:color="auto"/>
            </w:tcBorders>
            <w:shd w:val="clear" w:color="auto" w:fill="auto"/>
            <w:noWrap/>
            <w:vAlign w:val="center"/>
            <w:hideMark/>
          </w:tcPr>
          <w:p w14:paraId="6FAA61F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767D6DE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44ED94FA"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697909D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9A1FA4F" w14:textId="010BF64D"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681474F4"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AA50688"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ServingSatelliteEphemerisStateVectorY</w:t>
            </w:r>
          </w:p>
        </w:tc>
        <w:tc>
          <w:tcPr>
            <w:tcW w:w="517" w:type="pct"/>
            <w:tcBorders>
              <w:top w:val="nil"/>
              <w:left w:val="nil"/>
              <w:bottom w:val="single" w:sz="4" w:space="0" w:color="auto"/>
              <w:right w:val="single" w:sz="4" w:space="0" w:color="auto"/>
            </w:tcBorders>
            <w:shd w:val="clear" w:color="auto" w:fill="auto"/>
            <w:noWrap/>
            <w:vAlign w:val="center"/>
            <w:hideMark/>
          </w:tcPr>
          <w:p w14:paraId="27F88EF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7C94C7FB" w14:textId="77777777" w:rsidR="00D9261E" w:rsidRDefault="00D9261E" w:rsidP="00254FC5">
            <w:pPr>
              <w:autoSpaceDE/>
              <w:autoSpaceDN/>
              <w:adjustRightInd/>
              <w:snapToGrid/>
              <w:spacing w:after="0"/>
              <w:jc w:val="left"/>
              <w:rPr>
                <w:rFonts w:eastAsia="Times New Roman"/>
              </w:rPr>
            </w:pPr>
            <w:r w:rsidRPr="00254FC5">
              <w:rPr>
                <w:rFonts w:eastAsia="Times New Roman"/>
              </w:rPr>
              <w:t>Indicate  the y-coordinate of serving  Satellite position state vector in ECEF The unit is m</w:t>
            </w:r>
          </w:p>
          <w:p w14:paraId="0AF38116" w14:textId="72C8D9D9" w:rsidR="00686165" w:rsidRPr="00254FC5" w:rsidRDefault="00686165" w:rsidP="00254FC5">
            <w:pPr>
              <w:autoSpaceDE/>
              <w:autoSpaceDN/>
              <w:adjustRightInd/>
              <w:snapToGrid/>
              <w:spacing w:after="0"/>
              <w:jc w:val="left"/>
              <w:rPr>
                <w:rFonts w:eastAsia="Times New Roman"/>
              </w:rPr>
            </w:pPr>
            <w:r w:rsidRPr="00686165">
              <w:rPr>
                <w:rFonts w:eastAsia="Times New Roman"/>
                <w:color w:val="FF0000"/>
              </w:rPr>
              <w:t>The quantization step is 1.3m for position</w:t>
            </w:r>
          </w:p>
        </w:tc>
        <w:tc>
          <w:tcPr>
            <w:tcW w:w="672" w:type="pct"/>
            <w:tcBorders>
              <w:top w:val="nil"/>
              <w:left w:val="nil"/>
              <w:bottom w:val="single" w:sz="4" w:space="0" w:color="auto"/>
              <w:right w:val="single" w:sz="4" w:space="0" w:color="auto"/>
            </w:tcBorders>
            <w:shd w:val="clear" w:color="auto" w:fill="auto"/>
            <w:vAlign w:val="center"/>
            <w:hideMark/>
          </w:tcPr>
          <w:p w14:paraId="3AABEB9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-42200000…+42200000</w:t>
            </w:r>
          </w:p>
        </w:tc>
        <w:tc>
          <w:tcPr>
            <w:tcW w:w="259" w:type="pct"/>
            <w:tcBorders>
              <w:top w:val="nil"/>
              <w:left w:val="nil"/>
              <w:bottom w:val="single" w:sz="4" w:space="0" w:color="auto"/>
              <w:right w:val="single" w:sz="4" w:space="0" w:color="auto"/>
            </w:tcBorders>
            <w:shd w:val="clear" w:color="auto" w:fill="auto"/>
            <w:noWrap/>
            <w:vAlign w:val="center"/>
            <w:hideMark/>
          </w:tcPr>
          <w:p w14:paraId="707A5F2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21A0CD0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0E592F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72446512"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55C0FF71" w14:textId="42F48F63"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68F1534B"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3D7ABD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ServingSatelliteEphemerisStateVectorZ</w:t>
            </w:r>
          </w:p>
        </w:tc>
        <w:tc>
          <w:tcPr>
            <w:tcW w:w="517" w:type="pct"/>
            <w:tcBorders>
              <w:top w:val="nil"/>
              <w:left w:val="nil"/>
              <w:bottom w:val="single" w:sz="4" w:space="0" w:color="auto"/>
              <w:right w:val="single" w:sz="4" w:space="0" w:color="auto"/>
            </w:tcBorders>
            <w:shd w:val="clear" w:color="auto" w:fill="auto"/>
            <w:noWrap/>
            <w:vAlign w:val="center"/>
            <w:hideMark/>
          </w:tcPr>
          <w:p w14:paraId="33E8A3A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08A7BAC4" w14:textId="77777777" w:rsidR="00D9261E" w:rsidRDefault="00D9261E" w:rsidP="00254FC5">
            <w:pPr>
              <w:autoSpaceDE/>
              <w:autoSpaceDN/>
              <w:adjustRightInd/>
              <w:snapToGrid/>
              <w:spacing w:after="0"/>
              <w:jc w:val="left"/>
              <w:rPr>
                <w:rFonts w:eastAsia="Times New Roman"/>
              </w:rPr>
            </w:pPr>
            <w:r w:rsidRPr="00254FC5">
              <w:rPr>
                <w:rFonts w:eastAsia="Times New Roman"/>
              </w:rPr>
              <w:t xml:space="preserve">Indicate  the z-coordinate of serving  Satellite position state vector in ECEF The unit is m </w:t>
            </w:r>
          </w:p>
          <w:p w14:paraId="40F4AB3B" w14:textId="25B49FF6" w:rsidR="00686165" w:rsidRPr="00254FC5" w:rsidRDefault="00686165" w:rsidP="00254FC5">
            <w:pPr>
              <w:autoSpaceDE/>
              <w:autoSpaceDN/>
              <w:adjustRightInd/>
              <w:snapToGrid/>
              <w:spacing w:after="0"/>
              <w:jc w:val="left"/>
              <w:rPr>
                <w:rFonts w:eastAsia="Times New Roman"/>
              </w:rPr>
            </w:pPr>
            <w:r w:rsidRPr="00686165">
              <w:rPr>
                <w:rFonts w:eastAsia="Times New Roman"/>
                <w:color w:val="FF0000"/>
              </w:rPr>
              <w:t>The quantization step is 1.3m for position</w:t>
            </w:r>
          </w:p>
        </w:tc>
        <w:tc>
          <w:tcPr>
            <w:tcW w:w="672" w:type="pct"/>
            <w:tcBorders>
              <w:top w:val="nil"/>
              <w:left w:val="nil"/>
              <w:bottom w:val="single" w:sz="4" w:space="0" w:color="auto"/>
              <w:right w:val="single" w:sz="4" w:space="0" w:color="auto"/>
            </w:tcBorders>
            <w:shd w:val="clear" w:color="auto" w:fill="auto"/>
            <w:vAlign w:val="center"/>
            <w:hideMark/>
          </w:tcPr>
          <w:p w14:paraId="0559BAB2"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-42200000…+42200000</w:t>
            </w:r>
          </w:p>
        </w:tc>
        <w:tc>
          <w:tcPr>
            <w:tcW w:w="259" w:type="pct"/>
            <w:tcBorders>
              <w:top w:val="nil"/>
              <w:left w:val="nil"/>
              <w:bottom w:val="single" w:sz="4" w:space="0" w:color="auto"/>
              <w:right w:val="single" w:sz="4" w:space="0" w:color="auto"/>
            </w:tcBorders>
            <w:shd w:val="clear" w:color="auto" w:fill="auto"/>
            <w:noWrap/>
            <w:vAlign w:val="center"/>
            <w:hideMark/>
          </w:tcPr>
          <w:p w14:paraId="5E5C045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0B1FA154"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577CC292"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6841379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2FD71299" w14:textId="3B2D9146"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CE1D94" w:rsidRPr="00254FC5" w14:paraId="03FA6BD6"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0D154AAD"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ServingSatelliteEphemerisStateVectorVx</w:t>
            </w:r>
          </w:p>
        </w:tc>
        <w:tc>
          <w:tcPr>
            <w:tcW w:w="517" w:type="pct"/>
            <w:tcBorders>
              <w:top w:val="nil"/>
              <w:left w:val="nil"/>
              <w:bottom w:val="single" w:sz="4" w:space="0" w:color="auto"/>
              <w:right w:val="single" w:sz="4" w:space="0" w:color="auto"/>
            </w:tcBorders>
            <w:shd w:val="clear" w:color="auto" w:fill="auto"/>
            <w:noWrap/>
            <w:hideMark/>
          </w:tcPr>
          <w:p w14:paraId="04DE8DF1" w14:textId="1E88DD9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323BC295" w14:textId="77777777" w:rsidR="00CE1D94"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x-coordinate of serving  Satellite velocity state vector in ECEF The unit is m/s</w:t>
            </w:r>
          </w:p>
          <w:p w14:paraId="4B66B8D3" w14:textId="77777777" w:rsidR="00686165" w:rsidRPr="00686165" w:rsidRDefault="00686165" w:rsidP="00686165">
            <w:pPr>
              <w:autoSpaceDE/>
              <w:autoSpaceDN/>
              <w:adjustRightInd/>
              <w:snapToGrid/>
              <w:spacing w:after="0"/>
              <w:jc w:val="left"/>
              <w:rPr>
                <w:color w:val="FF0000"/>
                <w:lang w:eastAsia="zh-TW"/>
              </w:rPr>
            </w:pPr>
            <w:r w:rsidRPr="00686165">
              <w:rPr>
                <w:color w:val="FF0000"/>
                <w:lang w:eastAsia="zh-TW"/>
              </w:rPr>
              <w:t>The quantization step is 0.06 m/s for Velocity</w:t>
            </w:r>
          </w:p>
          <w:p w14:paraId="0E4F4419" w14:textId="46FEA639" w:rsidR="00686165" w:rsidRPr="00254FC5" w:rsidRDefault="00686165" w:rsidP="00CE1D94">
            <w:pPr>
              <w:autoSpaceDE/>
              <w:autoSpaceDN/>
              <w:adjustRightInd/>
              <w:snapToGrid/>
              <w:spacing w:after="0"/>
              <w:jc w:val="left"/>
              <w:rPr>
                <w:rFonts w:ascii="Arial" w:eastAsia="Times New Roman" w:hAnsi="Arial" w:cs="Arial"/>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14:paraId="58892ECC" w14:textId="77777777" w:rsidR="00CE1D94" w:rsidRPr="00C21AD7" w:rsidRDefault="00CE1D94" w:rsidP="00CE1D94">
            <w:pPr>
              <w:autoSpaceDE/>
              <w:autoSpaceDN/>
              <w:adjustRightInd/>
              <w:snapToGrid/>
              <w:spacing w:after="0"/>
              <w:jc w:val="left"/>
              <w:rPr>
                <w:rFonts w:eastAsia="Times New Roman"/>
                <w:dstrike/>
              </w:rPr>
            </w:pPr>
            <w:r w:rsidRPr="00254FC5">
              <w:rPr>
                <w:rFonts w:eastAsia="Times New Roman"/>
                <w:dstrike/>
              </w:rPr>
              <w:t>- 8000…+ 8000</w:t>
            </w:r>
          </w:p>
          <w:p w14:paraId="11F42EA7" w14:textId="67DF152D" w:rsidR="00C21AD7" w:rsidRPr="00254FC5" w:rsidRDefault="00C21AD7" w:rsidP="00CE1D94">
            <w:pPr>
              <w:autoSpaceDE/>
              <w:autoSpaceDN/>
              <w:adjustRightInd/>
              <w:snapToGrid/>
              <w:spacing w:after="0"/>
              <w:jc w:val="left"/>
              <w:rPr>
                <w:rFonts w:eastAsia="Times New Roman"/>
              </w:rPr>
            </w:pPr>
            <w:r w:rsidRPr="00C21AD7">
              <w:rPr>
                <w:color w:val="FF0000"/>
              </w:rPr>
              <w:t xml:space="preserve">-7864, </w:t>
            </w:r>
            <w:r>
              <w:rPr>
                <w:color w:val="FF0000"/>
              </w:rPr>
              <w:t>+</w:t>
            </w:r>
            <w:r w:rsidRPr="00C21AD7">
              <w:rPr>
                <w:color w:val="FF0000"/>
              </w:rPr>
              <w:t>7863</w:t>
            </w:r>
          </w:p>
        </w:tc>
        <w:tc>
          <w:tcPr>
            <w:tcW w:w="259" w:type="pct"/>
            <w:tcBorders>
              <w:top w:val="nil"/>
              <w:left w:val="nil"/>
              <w:bottom w:val="single" w:sz="4" w:space="0" w:color="auto"/>
              <w:right w:val="single" w:sz="4" w:space="0" w:color="auto"/>
            </w:tcBorders>
            <w:shd w:val="clear" w:color="auto" w:fill="auto"/>
            <w:noWrap/>
            <w:vAlign w:val="center"/>
            <w:hideMark/>
          </w:tcPr>
          <w:p w14:paraId="5FAE7FA7"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44641258"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4E208A4B"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51662E4B"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50B0CE5" w14:textId="5E2AF43C" w:rsidR="00CE1D94" w:rsidRPr="00254FC5" w:rsidRDefault="00CE1D94" w:rsidP="00CE1D94">
            <w:pPr>
              <w:autoSpaceDE/>
              <w:autoSpaceDN/>
              <w:adjustRightInd/>
              <w:snapToGrid/>
              <w:spacing w:after="0"/>
              <w:jc w:val="left"/>
              <w:rPr>
                <w:rFonts w:ascii="Calibri" w:eastAsia="Times New Roman" w:hAnsi="Calibri" w:cs="Calibri"/>
                <w:color w:val="00B050"/>
              </w:rPr>
            </w:pPr>
          </w:p>
        </w:tc>
      </w:tr>
      <w:tr w:rsidR="00CE1D94" w:rsidRPr="00254FC5" w14:paraId="5A07F921"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39079E86"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ServingSatelliteEphemerisStateVectorVy</w:t>
            </w:r>
          </w:p>
        </w:tc>
        <w:tc>
          <w:tcPr>
            <w:tcW w:w="517" w:type="pct"/>
            <w:tcBorders>
              <w:top w:val="nil"/>
              <w:left w:val="nil"/>
              <w:bottom w:val="single" w:sz="4" w:space="0" w:color="auto"/>
              <w:right w:val="single" w:sz="4" w:space="0" w:color="auto"/>
            </w:tcBorders>
            <w:shd w:val="clear" w:color="auto" w:fill="auto"/>
            <w:noWrap/>
            <w:hideMark/>
          </w:tcPr>
          <w:p w14:paraId="745953D7" w14:textId="1E6167E8"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27B22D5B" w14:textId="77777777" w:rsidR="00CE1D94"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y-coordinate of serving  Satellite velocity state vector in ECEFThe unit is m/s</w:t>
            </w:r>
          </w:p>
          <w:p w14:paraId="7982BA05" w14:textId="77777777" w:rsidR="00686165" w:rsidRPr="00686165" w:rsidRDefault="00686165" w:rsidP="00686165">
            <w:pPr>
              <w:autoSpaceDE/>
              <w:autoSpaceDN/>
              <w:adjustRightInd/>
              <w:snapToGrid/>
              <w:spacing w:after="0"/>
              <w:jc w:val="left"/>
              <w:rPr>
                <w:color w:val="FF0000"/>
                <w:lang w:eastAsia="zh-TW"/>
              </w:rPr>
            </w:pPr>
            <w:r w:rsidRPr="00686165">
              <w:rPr>
                <w:color w:val="FF0000"/>
                <w:lang w:eastAsia="zh-TW"/>
              </w:rPr>
              <w:t>The quantization step is 0.06 m/s for Velocity</w:t>
            </w:r>
          </w:p>
          <w:p w14:paraId="6B1F615B" w14:textId="663F5BD0" w:rsidR="00686165" w:rsidRPr="00254FC5" w:rsidRDefault="00686165" w:rsidP="00CE1D94">
            <w:pPr>
              <w:autoSpaceDE/>
              <w:autoSpaceDN/>
              <w:adjustRightInd/>
              <w:snapToGrid/>
              <w:spacing w:after="0"/>
              <w:jc w:val="left"/>
              <w:rPr>
                <w:rFonts w:ascii="Arial" w:eastAsia="Times New Roman" w:hAnsi="Arial" w:cs="Arial"/>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14:paraId="54914051" w14:textId="77777777" w:rsidR="00C21AD7" w:rsidRPr="00C21AD7" w:rsidRDefault="00C21AD7" w:rsidP="00C21AD7">
            <w:pPr>
              <w:autoSpaceDE/>
              <w:autoSpaceDN/>
              <w:adjustRightInd/>
              <w:snapToGrid/>
              <w:spacing w:after="0"/>
              <w:jc w:val="left"/>
              <w:rPr>
                <w:rFonts w:eastAsia="Times New Roman"/>
                <w:dstrike/>
              </w:rPr>
            </w:pPr>
            <w:r w:rsidRPr="00254FC5">
              <w:rPr>
                <w:rFonts w:eastAsia="Times New Roman"/>
                <w:dstrike/>
              </w:rPr>
              <w:t>- 8000…+ 8000</w:t>
            </w:r>
          </w:p>
          <w:p w14:paraId="2DE6D83F" w14:textId="635D4608" w:rsidR="00CE1D94" w:rsidRPr="00254FC5" w:rsidRDefault="00C21AD7" w:rsidP="00C21AD7">
            <w:pPr>
              <w:autoSpaceDE/>
              <w:autoSpaceDN/>
              <w:adjustRightInd/>
              <w:snapToGrid/>
              <w:spacing w:after="0"/>
              <w:jc w:val="left"/>
              <w:rPr>
                <w:rFonts w:eastAsia="Times New Roman"/>
              </w:rPr>
            </w:pPr>
            <w:r w:rsidRPr="00C21AD7">
              <w:rPr>
                <w:color w:val="FF0000"/>
              </w:rPr>
              <w:t xml:space="preserve">-7864, </w:t>
            </w:r>
            <w:r>
              <w:rPr>
                <w:color w:val="FF0000"/>
              </w:rPr>
              <w:t>+</w:t>
            </w:r>
            <w:r w:rsidRPr="00C21AD7">
              <w:rPr>
                <w:color w:val="FF0000"/>
              </w:rPr>
              <w:t>7863</w:t>
            </w:r>
          </w:p>
        </w:tc>
        <w:tc>
          <w:tcPr>
            <w:tcW w:w="259" w:type="pct"/>
            <w:tcBorders>
              <w:top w:val="nil"/>
              <w:left w:val="nil"/>
              <w:bottom w:val="single" w:sz="4" w:space="0" w:color="auto"/>
              <w:right w:val="single" w:sz="4" w:space="0" w:color="auto"/>
            </w:tcBorders>
            <w:shd w:val="clear" w:color="auto" w:fill="auto"/>
            <w:noWrap/>
            <w:vAlign w:val="center"/>
            <w:hideMark/>
          </w:tcPr>
          <w:p w14:paraId="0C02A9DA"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5D3AD62D"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5376F37"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AB255EB"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2B80E43" w14:textId="30E8786A" w:rsidR="00CE1D94" w:rsidRPr="00254FC5" w:rsidRDefault="00CE1D94" w:rsidP="00CE1D94">
            <w:pPr>
              <w:autoSpaceDE/>
              <w:autoSpaceDN/>
              <w:adjustRightInd/>
              <w:snapToGrid/>
              <w:spacing w:after="0"/>
              <w:jc w:val="left"/>
              <w:rPr>
                <w:rFonts w:ascii="Calibri" w:eastAsia="Times New Roman" w:hAnsi="Calibri" w:cs="Calibri"/>
                <w:color w:val="00B050"/>
              </w:rPr>
            </w:pPr>
          </w:p>
        </w:tc>
      </w:tr>
      <w:tr w:rsidR="00CE1D94" w:rsidRPr="00254FC5" w14:paraId="0D0981DF"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EED4A31"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ServingSatelliteEphemerisStateVectorVz</w:t>
            </w:r>
          </w:p>
        </w:tc>
        <w:tc>
          <w:tcPr>
            <w:tcW w:w="517" w:type="pct"/>
            <w:tcBorders>
              <w:top w:val="nil"/>
              <w:left w:val="nil"/>
              <w:bottom w:val="single" w:sz="4" w:space="0" w:color="auto"/>
              <w:right w:val="single" w:sz="4" w:space="0" w:color="auto"/>
            </w:tcBorders>
            <w:shd w:val="clear" w:color="auto" w:fill="auto"/>
            <w:noWrap/>
            <w:hideMark/>
          </w:tcPr>
          <w:p w14:paraId="70442685" w14:textId="23889ECC"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2BC16D49" w14:textId="77777777" w:rsidR="00CE1D94"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z-coordinate of serving  Satellite velocity state vector in ECEF The unit is m/s</w:t>
            </w:r>
          </w:p>
          <w:p w14:paraId="368A4D68" w14:textId="77777777" w:rsidR="00686165" w:rsidRPr="00686165" w:rsidRDefault="00686165" w:rsidP="00686165">
            <w:pPr>
              <w:autoSpaceDE/>
              <w:autoSpaceDN/>
              <w:adjustRightInd/>
              <w:snapToGrid/>
              <w:spacing w:after="0"/>
              <w:jc w:val="left"/>
              <w:rPr>
                <w:color w:val="FF0000"/>
                <w:lang w:eastAsia="zh-TW"/>
              </w:rPr>
            </w:pPr>
            <w:r w:rsidRPr="00686165">
              <w:rPr>
                <w:color w:val="FF0000"/>
                <w:lang w:eastAsia="zh-TW"/>
              </w:rPr>
              <w:t>The quantization step is 0.06 m/s for Velocity</w:t>
            </w:r>
          </w:p>
          <w:p w14:paraId="26772909" w14:textId="27275A56" w:rsidR="00686165" w:rsidRPr="00254FC5" w:rsidRDefault="00686165" w:rsidP="00CE1D94">
            <w:pPr>
              <w:autoSpaceDE/>
              <w:autoSpaceDN/>
              <w:adjustRightInd/>
              <w:snapToGrid/>
              <w:spacing w:after="0"/>
              <w:jc w:val="left"/>
              <w:rPr>
                <w:rFonts w:ascii="Arial" w:eastAsia="Times New Roman" w:hAnsi="Arial" w:cs="Arial"/>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14:paraId="23A1B8C5" w14:textId="77777777" w:rsidR="00C21AD7" w:rsidRPr="00C21AD7" w:rsidRDefault="00C21AD7" w:rsidP="00C21AD7">
            <w:pPr>
              <w:autoSpaceDE/>
              <w:autoSpaceDN/>
              <w:adjustRightInd/>
              <w:snapToGrid/>
              <w:spacing w:after="0"/>
              <w:jc w:val="left"/>
              <w:rPr>
                <w:rFonts w:eastAsia="Times New Roman"/>
                <w:dstrike/>
              </w:rPr>
            </w:pPr>
            <w:r w:rsidRPr="00254FC5">
              <w:rPr>
                <w:rFonts w:eastAsia="Times New Roman"/>
                <w:dstrike/>
              </w:rPr>
              <w:t>- 8000…+ 8000</w:t>
            </w:r>
          </w:p>
          <w:p w14:paraId="446DFAAA" w14:textId="0E3A3217" w:rsidR="00CE1D94" w:rsidRPr="00254FC5" w:rsidRDefault="00C21AD7" w:rsidP="00C21AD7">
            <w:pPr>
              <w:autoSpaceDE/>
              <w:autoSpaceDN/>
              <w:adjustRightInd/>
              <w:snapToGrid/>
              <w:spacing w:after="0"/>
              <w:jc w:val="left"/>
              <w:rPr>
                <w:rFonts w:eastAsia="Times New Roman"/>
              </w:rPr>
            </w:pPr>
            <w:r w:rsidRPr="00C21AD7">
              <w:rPr>
                <w:color w:val="FF0000"/>
              </w:rPr>
              <w:t xml:space="preserve">-7864, </w:t>
            </w:r>
            <w:r>
              <w:rPr>
                <w:color w:val="FF0000"/>
              </w:rPr>
              <w:t>+</w:t>
            </w:r>
            <w:r w:rsidRPr="00C21AD7">
              <w:rPr>
                <w:color w:val="FF0000"/>
              </w:rPr>
              <w:t>7863</w:t>
            </w:r>
          </w:p>
        </w:tc>
        <w:tc>
          <w:tcPr>
            <w:tcW w:w="259" w:type="pct"/>
            <w:tcBorders>
              <w:top w:val="nil"/>
              <w:left w:val="nil"/>
              <w:bottom w:val="single" w:sz="4" w:space="0" w:color="auto"/>
              <w:right w:val="single" w:sz="4" w:space="0" w:color="auto"/>
            </w:tcBorders>
            <w:shd w:val="clear" w:color="auto" w:fill="auto"/>
            <w:noWrap/>
            <w:vAlign w:val="center"/>
            <w:hideMark/>
          </w:tcPr>
          <w:p w14:paraId="4A361A2C"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1896D404" w14:textId="77777777" w:rsidR="00CE1D94" w:rsidRPr="00254FC5" w:rsidRDefault="00CE1D94" w:rsidP="00CE1D94">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6D50629C"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3FE3ED9D" w14:textId="77777777" w:rsidR="00CE1D94" w:rsidRPr="00254FC5" w:rsidRDefault="00CE1D94" w:rsidP="00CE1D94">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1E826FD8" w14:textId="61605372" w:rsidR="00CE1D94" w:rsidRPr="00254FC5" w:rsidRDefault="00CE1D94" w:rsidP="00CE1D94">
            <w:pPr>
              <w:autoSpaceDE/>
              <w:autoSpaceDN/>
              <w:adjustRightInd/>
              <w:snapToGrid/>
              <w:spacing w:after="0"/>
              <w:jc w:val="left"/>
              <w:rPr>
                <w:rFonts w:ascii="Calibri" w:eastAsia="Times New Roman" w:hAnsi="Calibri" w:cs="Calibri"/>
                <w:color w:val="00B050"/>
              </w:rPr>
            </w:pPr>
          </w:p>
        </w:tc>
      </w:tr>
      <w:tr w:rsidR="00D9261E" w:rsidRPr="00254FC5" w14:paraId="30CB3488" w14:textId="77777777" w:rsidTr="00365D16">
        <w:trPr>
          <w:trHeight w:val="15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40C7F7A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lastRenderedPageBreak/>
              <w:t>ServingSatelliteEphemerisSemiMajorAxis</w:t>
            </w:r>
          </w:p>
        </w:tc>
        <w:tc>
          <w:tcPr>
            <w:tcW w:w="517" w:type="pct"/>
            <w:tcBorders>
              <w:top w:val="nil"/>
              <w:left w:val="nil"/>
              <w:bottom w:val="single" w:sz="4" w:space="0" w:color="auto"/>
              <w:right w:val="single" w:sz="4" w:space="0" w:color="auto"/>
            </w:tcBorders>
            <w:shd w:val="clear" w:color="auto" w:fill="auto"/>
            <w:noWrap/>
            <w:vAlign w:val="center"/>
            <w:hideMark/>
          </w:tcPr>
          <w:p w14:paraId="527522AD"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bottom"/>
            <w:hideMark/>
          </w:tcPr>
          <w:p w14:paraId="5261D2B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Indicate the following ephemeris orbital parameter for the serving satellite:</w:t>
            </w:r>
            <w:r w:rsidRPr="00254FC5">
              <w:rPr>
                <w:rFonts w:eastAsia="Times New Roman"/>
              </w:rPr>
              <w:br/>
              <w:t xml:space="preserve">- Semi-major axis α </w:t>
            </w:r>
            <w:r w:rsidRPr="00254FC5">
              <w:rPr>
                <w:rFonts w:eastAsia="Times New Roman"/>
              </w:rPr>
              <w:br/>
              <w:t>The unit of Semi-major axis α is m</w:t>
            </w:r>
          </w:p>
        </w:tc>
        <w:tc>
          <w:tcPr>
            <w:tcW w:w="672" w:type="pct"/>
            <w:tcBorders>
              <w:top w:val="nil"/>
              <w:left w:val="nil"/>
              <w:bottom w:val="single" w:sz="4" w:space="0" w:color="auto"/>
              <w:right w:val="single" w:sz="4" w:space="0" w:color="auto"/>
            </w:tcBorders>
            <w:shd w:val="clear" w:color="auto" w:fill="auto"/>
            <w:vAlign w:val="center"/>
            <w:hideMark/>
          </w:tcPr>
          <w:p w14:paraId="0DDD0302"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6500 000… 43000 000</w:t>
            </w:r>
          </w:p>
        </w:tc>
        <w:tc>
          <w:tcPr>
            <w:tcW w:w="259" w:type="pct"/>
            <w:tcBorders>
              <w:top w:val="nil"/>
              <w:left w:val="nil"/>
              <w:bottom w:val="single" w:sz="4" w:space="0" w:color="auto"/>
              <w:right w:val="single" w:sz="4" w:space="0" w:color="auto"/>
            </w:tcBorders>
            <w:shd w:val="clear" w:color="auto" w:fill="auto"/>
            <w:noWrap/>
            <w:vAlign w:val="center"/>
            <w:hideMark/>
          </w:tcPr>
          <w:p w14:paraId="72C91F5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28C54978"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3A03EDC"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5985597"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1EBF6D27" w14:textId="476E2D8E"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569854CA"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EAB043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ServingSatelliteEphemerisEccentricity</w:t>
            </w:r>
            <w:r w:rsidRPr="00254FC5">
              <w:rPr>
                <w:rFonts w:eastAsia="Times New Roman"/>
                <w:dstrike/>
                <w:color w:val="FF0000"/>
              </w:rPr>
              <w:t>E</w:t>
            </w:r>
          </w:p>
        </w:tc>
        <w:tc>
          <w:tcPr>
            <w:tcW w:w="517" w:type="pct"/>
            <w:tcBorders>
              <w:top w:val="nil"/>
              <w:left w:val="nil"/>
              <w:bottom w:val="single" w:sz="4" w:space="0" w:color="auto"/>
              <w:right w:val="single" w:sz="4" w:space="0" w:color="auto"/>
            </w:tcBorders>
            <w:shd w:val="clear" w:color="auto" w:fill="auto"/>
            <w:noWrap/>
            <w:vAlign w:val="center"/>
            <w:hideMark/>
          </w:tcPr>
          <w:p w14:paraId="01CCD44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0E40D68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xml:space="preserve">- Eccentricity e </w:t>
            </w:r>
          </w:p>
        </w:tc>
        <w:tc>
          <w:tcPr>
            <w:tcW w:w="672" w:type="pct"/>
            <w:tcBorders>
              <w:top w:val="nil"/>
              <w:left w:val="nil"/>
              <w:bottom w:val="single" w:sz="4" w:space="0" w:color="auto"/>
              <w:right w:val="single" w:sz="4" w:space="0" w:color="auto"/>
            </w:tcBorders>
            <w:shd w:val="clear" w:color="auto" w:fill="auto"/>
            <w:noWrap/>
            <w:vAlign w:val="center"/>
            <w:hideMark/>
          </w:tcPr>
          <w:p w14:paraId="6871F6D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0…0.015</w:t>
            </w:r>
          </w:p>
        </w:tc>
        <w:tc>
          <w:tcPr>
            <w:tcW w:w="259" w:type="pct"/>
            <w:tcBorders>
              <w:top w:val="nil"/>
              <w:left w:val="nil"/>
              <w:bottom w:val="single" w:sz="4" w:space="0" w:color="auto"/>
              <w:right w:val="single" w:sz="4" w:space="0" w:color="auto"/>
            </w:tcBorders>
            <w:shd w:val="clear" w:color="auto" w:fill="auto"/>
            <w:noWrap/>
            <w:vAlign w:val="center"/>
            <w:hideMark/>
          </w:tcPr>
          <w:p w14:paraId="7716959A"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38762171"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26EDC67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0AE48C78"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40BABAAD" w14:textId="68D68510"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25F66BE9"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2CF9B056"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ServingSatelliteEphemerisArgumentOfPeriapsis</w:t>
            </w:r>
          </w:p>
        </w:tc>
        <w:tc>
          <w:tcPr>
            <w:tcW w:w="517" w:type="pct"/>
            <w:tcBorders>
              <w:top w:val="nil"/>
              <w:left w:val="nil"/>
              <w:bottom w:val="single" w:sz="4" w:space="0" w:color="auto"/>
              <w:right w:val="single" w:sz="4" w:space="0" w:color="auto"/>
            </w:tcBorders>
            <w:shd w:val="clear" w:color="auto" w:fill="auto"/>
            <w:noWrap/>
            <w:vAlign w:val="center"/>
            <w:hideMark/>
          </w:tcPr>
          <w:p w14:paraId="01EE9CC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33B7C73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Argument of periapsis ω</w:t>
            </w:r>
            <w:r w:rsidRPr="00254FC5">
              <w:rPr>
                <w:rFonts w:ascii="Arial" w:eastAsia="Times New Roman" w:hAnsi="Arial" w:cs="Arial"/>
                <w:sz w:val="18"/>
                <w:szCs w:val="18"/>
              </w:rPr>
              <w:br/>
              <w:t>The unit of Argument of periapsis ω is Radian</w:t>
            </w:r>
          </w:p>
        </w:tc>
        <w:tc>
          <w:tcPr>
            <w:tcW w:w="672" w:type="pct"/>
            <w:tcBorders>
              <w:top w:val="nil"/>
              <w:left w:val="nil"/>
              <w:bottom w:val="single" w:sz="4" w:space="0" w:color="auto"/>
              <w:right w:val="single" w:sz="4" w:space="0" w:color="auto"/>
            </w:tcBorders>
            <w:shd w:val="clear" w:color="auto" w:fill="auto"/>
            <w:noWrap/>
            <w:vAlign w:val="center"/>
            <w:hideMark/>
          </w:tcPr>
          <w:p w14:paraId="2C61CFD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0…2π</w:t>
            </w:r>
          </w:p>
        </w:tc>
        <w:tc>
          <w:tcPr>
            <w:tcW w:w="259" w:type="pct"/>
            <w:tcBorders>
              <w:top w:val="nil"/>
              <w:left w:val="nil"/>
              <w:bottom w:val="single" w:sz="4" w:space="0" w:color="auto"/>
              <w:right w:val="single" w:sz="4" w:space="0" w:color="auto"/>
            </w:tcBorders>
            <w:shd w:val="clear" w:color="auto" w:fill="auto"/>
            <w:noWrap/>
            <w:vAlign w:val="center"/>
            <w:hideMark/>
          </w:tcPr>
          <w:p w14:paraId="3F6E21B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7F0FA046"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15848BE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18F6E05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057737E" w14:textId="08BBA6E9"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267F83C4"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99699E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 EphemerisLongitudeOfAscendingNode</w:t>
            </w:r>
          </w:p>
        </w:tc>
        <w:tc>
          <w:tcPr>
            <w:tcW w:w="517" w:type="pct"/>
            <w:tcBorders>
              <w:top w:val="nil"/>
              <w:left w:val="nil"/>
              <w:bottom w:val="single" w:sz="4" w:space="0" w:color="auto"/>
              <w:right w:val="single" w:sz="4" w:space="0" w:color="auto"/>
            </w:tcBorders>
            <w:shd w:val="clear" w:color="auto" w:fill="auto"/>
            <w:noWrap/>
            <w:vAlign w:val="center"/>
            <w:hideMark/>
          </w:tcPr>
          <w:p w14:paraId="219AAE46"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4EE8F2CF"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Longitude of ascending node Ω</w:t>
            </w:r>
            <w:r w:rsidRPr="00254FC5">
              <w:rPr>
                <w:rFonts w:ascii="Arial" w:eastAsia="Times New Roman" w:hAnsi="Arial" w:cs="Arial"/>
                <w:sz w:val="18"/>
                <w:szCs w:val="18"/>
              </w:rPr>
              <w:br/>
              <w:t>The unit of Longitude of ascending nod is Radian</w:t>
            </w:r>
          </w:p>
        </w:tc>
        <w:tc>
          <w:tcPr>
            <w:tcW w:w="672" w:type="pct"/>
            <w:tcBorders>
              <w:top w:val="nil"/>
              <w:left w:val="nil"/>
              <w:bottom w:val="single" w:sz="4" w:space="0" w:color="auto"/>
              <w:right w:val="single" w:sz="4" w:space="0" w:color="auto"/>
            </w:tcBorders>
            <w:shd w:val="clear" w:color="auto" w:fill="auto"/>
            <w:noWrap/>
            <w:vAlign w:val="center"/>
            <w:hideMark/>
          </w:tcPr>
          <w:p w14:paraId="59B7CF7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0…2π</w:t>
            </w:r>
          </w:p>
        </w:tc>
        <w:tc>
          <w:tcPr>
            <w:tcW w:w="259" w:type="pct"/>
            <w:tcBorders>
              <w:top w:val="nil"/>
              <w:left w:val="nil"/>
              <w:bottom w:val="single" w:sz="4" w:space="0" w:color="auto"/>
              <w:right w:val="single" w:sz="4" w:space="0" w:color="auto"/>
            </w:tcBorders>
            <w:shd w:val="clear" w:color="auto" w:fill="auto"/>
            <w:noWrap/>
            <w:vAlign w:val="center"/>
            <w:hideMark/>
          </w:tcPr>
          <w:p w14:paraId="7B9F8B2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32AB5A5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72B4EA4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18DAF78"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089A6774" w14:textId="21FEE1EF"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228DFAD1"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04EEB9A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ServingSatelliteEphemerisInclination</w:t>
            </w:r>
            <w:r w:rsidRPr="00254FC5">
              <w:rPr>
                <w:rFonts w:eastAsia="Times New Roman"/>
                <w:dstrike/>
                <w:color w:val="FF0000"/>
              </w:rPr>
              <w:t>I</w:t>
            </w:r>
          </w:p>
        </w:tc>
        <w:tc>
          <w:tcPr>
            <w:tcW w:w="517" w:type="pct"/>
            <w:tcBorders>
              <w:top w:val="nil"/>
              <w:left w:val="nil"/>
              <w:bottom w:val="single" w:sz="4" w:space="0" w:color="auto"/>
              <w:right w:val="single" w:sz="4" w:space="0" w:color="auto"/>
            </w:tcBorders>
            <w:shd w:val="clear" w:color="auto" w:fill="auto"/>
            <w:noWrap/>
            <w:vAlign w:val="center"/>
            <w:hideMark/>
          </w:tcPr>
          <w:p w14:paraId="55548E56"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244F3731"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xml:space="preserve">- Inclination i </w:t>
            </w:r>
            <w:r w:rsidRPr="00254FC5">
              <w:rPr>
                <w:rFonts w:ascii="Arial" w:eastAsia="Times New Roman" w:hAnsi="Arial" w:cs="Arial"/>
                <w:sz w:val="18"/>
                <w:szCs w:val="18"/>
              </w:rPr>
              <w:br/>
              <w:t>The unit of Inclination is Radian</w:t>
            </w:r>
          </w:p>
        </w:tc>
        <w:tc>
          <w:tcPr>
            <w:tcW w:w="672" w:type="pct"/>
            <w:tcBorders>
              <w:top w:val="nil"/>
              <w:left w:val="nil"/>
              <w:bottom w:val="single" w:sz="4" w:space="0" w:color="auto"/>
              <w:right w:val="single" w:sz="4" w:space="0" w:color="auto"/>
            </w:tcBorders>
            <w:shd w:val="clear" w:color="auto" w:fill="auto"/>
            <w:noWrap/>
            <w:vAlign w:val="center"/>
            <w:hideMark/>
          </w:tcPr>
          <w:p w14:paraId="0E05095A"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π/2 ...+ π/2</w:t>
            </w:r>
          </w:p>
        </w:tc>
        <w:tc>
          <w:tcPr>
            <w:tcW w:w="259" w:type="pct"/>
            <w:tcBorders>
              <w:top w:val="nil"/>
              <w:left w:val="nil"/>
              <w:bottom w:val="single" w:sz="4" w:space="0" w:color="auto"/>
              <w:right w:val="single" w:sz="4" w:space="0" w:color="auto"/>
            </w:tcBorders>
            <w:shd w:val="clear" w:color="auto" w:fill="auto"/>
            <w:noWrap/>
            <w:vAlign w:val="center"/>
            <w:hideMark/>
          </w:tcPr>
          <w:p w14:paraId="72447E2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48A8DB23"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10EBAB7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3C1D3D8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338BBEB" w14:textId="4A2E4486"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37951847" w14:textId="77777777" w:rsidTr="00365D16">
        <w:trPr>
          <w:trHeight w:val="120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3BDBF29A"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ServingSatelliteEphemerisMeanAnomaly</w:t>
            </w:r>
            <w:r w:rsidRPr="00254FC5">
              <w:rPr>
                <w:rFonts w:eastAsia="Times New Roman"/>
                <w:dstrike/>
                <w:color w:val="FF0000"/>
              </w:rPr>
              <w:t>M</w:t>
            </w:r>
          </w:p>
        </w:tc>
        <w:tc>
          <w:tcPr>
            <w:tcW w:w="517" w:type="pct"/>
            <w:tcBorders>
              <w:top w:val="nil"/>
              <w:left w:val="nil"/>
              <w:bottom w:val="single" w:sz="4" w:space="0" w:color="auto"/>
              <w:right w:val="single" w:sz="4" w:space="0" w:color="auto"/>
            </w:tcBorders>
            <w:shd w:val="clear" w:color="auto" w:fill="auto"/>
            <w:noWrap/>
            <w:vAlign w:val="center"/>
            <w:hideMark/>
          </w:tcPr>
          <w:p w14:paraId="7FF6CD24"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4CDBA237"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following ephemeris orbital parameter for the serving satellite:</w:t>
            </w:r>
            <w:r w:rsidRPr="00254FC5">
              <w:rPr>
                <w:rFonts w:ascii="Arial" w:eastAsia="Times New Roman" w:hAnsi="Arial" w:cs="Arial"/>
                <w:sz w:val="18"/>
                <w:szCs w:val="18"/>
              </w:rPr>
              <w:br/>
              <w:t>- Mean anomaly M [rad] at epoch time to</w:t>
            </w:r>
            <w:r w:rsidRPr="00254FC5">
              <w:rPr>
                <w:rFonts w:ascii="Arial" w:eastAsia="Times New Roman" w:hAnsi="Arial" w:cs="Arial"/>
                <w:sz w:val="18"/>
                <w:szCs w:val="18"/>
              </w:rPr>
              <w:br/>
              <w:t>The unit of Mean anomaly M is Radian</w:t>
            </w:r>
          </w:p>
        </w:tc>
        <w:tc>
          <w:tcPr>
            <w:tcW w:w="672" w:type="pct"/>
            <w:tcBorders>
              <w:top w:val="nil"/>
              <w:left w:val="nil"/>
              <w:bottom w:val="single" w:sz="4" w:space="0" w:color="auto"/>
              <w:right w:val="single" w:sz="4" w:space="0" w:color="auto"/>
            </w:tcBorders>
            <w:shd w:val="clear" w:color="auto" w:fill="auto"/>
            <w:noWrap/>
            <w:vAlign w:val="center"/>
            <w:hideMark/>
          </w:tcPr>
          <w:p w14:paraId="20EAFDBC"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0… 2π</w:t>
            </w:r>
          </w:p>
        </w:tc>
        <w:tc>
          <w:tcPr>
            <w:tcW w:w="259" w:type="pct"/>
            <w:tcBorders>
              <w:top w:val="nil"/>
              <w:left w:val="nil"/>
              <w:bottom w:val="single" w:sz="4" w:space="0" w:color="auto"/>
              <w:right w:val="single" w:sz="4" w:space="0" w:color="auto"/>
            </w:tcBorders>
            <w:shd w:val="clear" w:color="auto" w:fill="auto"/>
            <w:noWrap/>
            <w:vAlign w:val="center"/>
            <w:hideMark/>
          </w:tcPr>
          <w:p w14:paraId="7214E265"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noWrap/>
            <w:vAlign w:val="center"/>
            <w:hideMark/>
          </w:tcPr>
          <w:p w14:paraId="263E3960"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3C2BD4F1"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7894FCCF"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333C9E63" w14:textId="6C079315" w:rsidR="00D9261E" w:rsidRPr="00254FC5" w:rsidRDefault="00D9261E" w:rsidP="00254FC5">
            <w:pPr>
              <w:autoSpaceDE/>
              <w:autoSpaceDN/>
              <w:adjustRightInd/>
              <w:snapToGrid/>
              <w:spacing w:after="0"/>
              <w:jc w:val="left"/>
              <w:rPr>
                <w:rFonts w:ascii="Calibri" w:eastAsia="Times New Roman" w:hAnsi="Calibri" w:cs="Calibri"/>
                <w:color w:val="00B050"/>
              </w:rPr>
            </w:pPr>
          </w:p>
        </w:tc>
      </w:tr>
      <w:tr w:rsidR="00D9261E" w:rsidRPr="00254FC5" w14:paraId="542A42EB" w14:textId="77777777" w:rsidTr="00365D16">
        <w:trPr>
          <w:trHeight w:val="168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6DD12D3D"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lastRenderedPageBreak/>
              <w:t>ntnUlSyncValidityDuration</w:t>
            </w:r>
          </w:p>
        </w:tc>
        <w:tc>
          <w:tcPr>
            <w:tcW w:w="517" w:type="pct"/>
            <w:tcBorders>
              <w:top w:val="nil"/>
              <w:left w:val="nil"/>
              <w:bottom w:val="single" w:sz="4" w:space="0" w:color="auto"/>
              <w:right w:val="single" w:sz="4" w:space="0" w:color="auto"/>
            </w:tcBorders>
            <w:shd w:val="clear" w:color="auto" w:fill="auto"/>
            <w:noWrap/>
            <w:vAlign w:val="center"/>
            <w:hideMark/>
          </w:tcPr>
          <w:p w14:paraId="0CC1680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485280CC"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w:t>
            </w:r>
            <w:r w:rsidRPr="00254FC5">
              <w:rPr>
                <w:rFonts w:ascii="Arial" w:eastAsia="Times New Roman" w:hAnsi="Arial" w:cs="Arial"/>
                <w:sz w:val="18"/>
                <w:szCs w:val="18"/>
              </w:rPr>
              <w:br/>
              <w:t>The unit of ntnUlSyncValidityDuration is second</w:t>
            </w:r>
          </w:p>
        </w:tc>
        <w:tc>
          <w:tcPr>
            <w:tcW w:w="672" w:type="pct"/>
            <w:tcBorders>
              <w:top w:val="nil"/>
              <w:left w:val="nil"/>
              <w:bottom w:val="single" w:sz="4" w:space="0" w:color="auto"/>
              <w:right w:val="single" w:sz="4" w:space="0" w:color="auto"/>
            </w:tcBorders>
            <w:shd w:val="clear" w:color="auto" w:fill="auto"/>
            <w:vAlign w:val="center"/>
            <w:hideMark/>
          </w:tcPr>
          <w:p w14:paraId="2023E090"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 5, 10, 15, 20, 25, 30, 35, 40, 45, 50, 55, 60, 120, 180, 240}</w:t>
            </w:r>
          </w:p>
        </w:tc>
        <w:tc>
          <w:tcPr>
            <w:tcW w:w="259" w:type="pct"/>
            <w:tcBorders>
              <w:top w:val="nil"/>
              <w:left w:val="nil"/>
              <w:bottom w:val="single" w:sz="4" w:space="0" w:color="auto"/>
              <w:right w:val="single" w:sz="4" w:space="0" w:color="auto"/>
            </w:tcBorders>
            <w:shd w:val="clear" w:color="auto" w:fill="auto"/>
            <w:noWrap/>
            <w:vAlign w:val="center"/>
            <w:hideMark/>
          </w:tcPr>
          <w:p w14:paraId="1B6AAE9C"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vAlign w:val="center"/>
            <w:hideMark/>
          </w:tcPr>
          <w:p w14:paraId="66B95649"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br/>
              <w:t>Cell</w:t>
            </w:r>
          </w:p>
        </w:tc>
        <w:tc>
          <w:tcPr>
            <w:tcW w:w="388" w:type="pct"/>
            <w:tcBorders>
              <w:top w:val="nil"/>
              <w:left w:val="nil"/>
              <w:bottom w:val="single" w:sz="4" w:space="0" w:color="auto"/>
              <w:right w:val="single" w:sz="4" w:space="0" w:color="auto"/>
            </w:tcBorders>
            <w:shd w:val="clear" w:color="auto" w:fill="auto"/>
            <w:noWrap/>
            <w:vAlign w:val="center"/>
            <w:hideMark/>
          </w:tcPr>
          <w:p w14:paraId="6F301086"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21F6D50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23FA4B5F" w14:textId="79A274A0" w:rsidR="00D9261E" w:rsidRPr="00254FC5" w:rsidRDefault="00D9261E" w:rsidP="00254FC5">
            <w:pPr>
              <w:autoSpaceDE/>
              <w:autoSpaceDN/>
              <w:adjustRightInd/>
              <w:snapToGrid/>
              <w:spacing w:after="0"/>
              <w:jc w:val="left"/>
              <w:rPr>
                <w:rFonts w:ascii="Calibri" w:eastAsia="Times New Roman" w:hAnsi="Calibri" w:cs="Calibri"/>
                <w:color w:val="ED7D31"/>
              </w:rPr>
            </w:pPr>
          </w:p>
        </w:tc>
      </w:tr>
      <w:tr w:rsidR="00D9261E" w:rsidRPr="00254FC5" w14:paraId="1572504C" w14:textId="77777777" w:rsidTr="00365D16">
        <w:trPr>
          <w:trHeight w:val="1680"/>
        </w:trPr>
        <w:tc>
          <w:tcPr>
            <w:tcW w:w="1496" w:type="pct"/>
            <w:tcBorders>
              <w:top w:val="nil"/>
              <w:left w:val="single" w:sz="4" w:space="0" w:color="auto"/>
              <w:bottom w:val="single" w:sz="4" w:space="0" w:color="auto"/>
              <w:right w:val="single" w:sz="4" w:space="0" w:color="auto"/>
            </w:tcBorders>
            <w:shd w:val="clear" w:color="auto" w:fill="auto"/>
            <w:noWrap/>
            <w:vAlign w:val="center"/>
            <w:hideMark/>
          </w:tcPr>
          <w:p w14:paraId="74560F2E"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xml:space="preserve">EpochTime </w:t>
            </w:r>
          </w:p>
        </w:tc>
        <w:tc>
          <w:tcPr>
            <w:tcW w:w="517" w:type="pct"/>
            <w:tcBorders>
              <w:top w:val="nil"/>
              <w:left w:val="nil"/>
              <w:bottom w:val="single" w:sz="4" w:space="0" w:color="auto"/>
              <w:right w:val="single" w:sz="4" w:space="0" w:color="auto"/>
            </w:tcBorders>
            <w:shd w:val="clear" w:color="auto" w:fill="auto"/>
            <w:noWrap/>
            <w:vAlign w:val="center"/>
            <w:hideMark/>
          </w:tcPr>
          <w:p w14:paraId="2491417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New</w:t>
            </w:r>
          </w:p>
        </w:tc>
        <w:tc>
          <w:tcPr>
            <w:tcW w:w="765" w:type="pct"/>
            <w:tcBorders>
              <w:top w:val="nil"/>
              <w:left w:val="nil"/>
              <w:bottom w:val="single" w:sz="4" w:space="0" w:color="auto"/>
              <w:right w:val="single" w:sz="4" w:space="0" w:color="auto"/>
            </w:tcBorders>
            <w:shd w:val="clear" w:color="auto" w:fill="auto"/>
            <w:vAlign w:val="center"/>
            <w:hideMark/>
          </w:tcPr>
          <w:p w14:paraId="48EF1E46"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Indicate the epoch time for assistance information (i.e. Serving satellite ephemeris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p>
        </w:tc>
        <w:tc>
          <w:tcPr>
            <w:tcW w:w="672" w:type="pct"/>
            <w:tcBorders>
              <w:top w:val="nil"/>
              <w:left w:val="nil"/>
              <w:bottom w:val="single" w:sz="4" w:space="0" w:color="auto"/>
              <w:right w:val="single" w:sz="4" w:space="0" w:color="auto"/>
            </w:tcBorders>
            <w:shd w:val="clear" w:color="auto" w:fill="auto"/>
            <w:vAlign w:val="center"/>
            <w:hideMark/>
          </w:tcPr>
          <w:p w14:paraId="18693062" w14:textId="77777777" w:rsidR="00D9261E" w:rsidRPr="00254FC5" w:rsidRDefault="00D9261E" w:rsidP="00254FC5">
            <w:pPr>
              <w:autoSpaceDE/>
              <w:autoSpaceDN/>
              <w:adjustRightInd/>
              <w:snapToGrid/>
              <w:spacing w:after="0"/>
              <w:jc w:val="left"/>
              <w:rPr>
                <w:rFonts w:ascii="Arial" w:eastAsia="Times New Roman" w:hAnsi="Arial" w:cs="Arial"/>
                <w:sz w:val="18"/>
                <w:szCs w:val="18"/>
              </w:rPr>
            </w:pPr>
            <w:r w:rsidRPr="00254FC5">
              <w:rPr>
                <w:rFonts w:ascii="Arial" w:eastAsia="Times New Roman" w:hAnsi="Arial" w:cs="Arial"/>
                <w:sz w:val="18"/>
                <w:szCs w:val="18"/>
              </w:rPr>
              <w:t>0 to 1023 to indicate SFN and 0 to 9 to indicate the sub-frame number.</w:t>
            </w:r>
          </w:p>
        </w:tc>
        <w:tc>
          <w:tcPr>
            <w:tcW w:w="259" w:type="pct"/>
            <w:tcBorders>
              <w:top w:val="nil"/>
              <w:left w:val="nil"/>
              <w:bottom w:val="single" w:sz="4" w:space="0" w:color="auto"/>
              <w:right w:val="single" w:sz="4" w:space="0" w:color="auto"/>
            </w:tcBorders>
            <w:shd w:val="clear" w:color="auto" w:fill="auto"/>
            <w:noWrap/>
            <w:vAlign w:val="center"/>
            <w:hideMark/>
          </w:tcPr>
          <w:p w14:paraId="1671E7FC"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 </w:t>
            </w:r>
          </w:p>
        </w:tc>
        <w:tc>
          <w:tcPr>
            <w:tcW w:w="194" w:type="pct"/>
            <w:tcBorders>
              <w:top w:val="nil"/>
              <w:left w:val="nil"/>
              <w:bottom w:val="single" w:sz="4" w:space="0" w:color="auto"/>
              <w:right w:val="single" w:sz="4" w:space="0" w:color="auto"/>
            </w:tcBorders>
            <w:shd w:val="clear" w:color="auto" w:fill="auto"/>
            <w:vAlign w:val="center"/>
            <w:hideMark/>
          </w:tcPr>
          <w:p w14:paraId="2ADD73DB"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w:t>
            </w:r>
          </w:p>
        </w:tc>
        <w:tc>
          <w:tcPr>
            <w:tcW w:w="388" w:type="pct"/>
            <w:tcBorders>
              <w:top w:val="nil"/>
              <w:left w:val="nil"/>
              <w:bottom w:val="single" w:sz="4" w:space="0" w:color="auto"/>
              <w:right w:val="single" w:sz="4" w:space="0" w:color="auto"/>
            </w:tcBorders>
            <w:shd w:val="clear" w:color="auto" w:fill="auto"/>
            <w:noWrap/>
            <w:vAlign w:val="center"/>
            <w:hideMark/>
          </w:tcPr>
          <w:p w14:paraId="0CB27313"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Cell-specific</w:t>
            </w:r>
          </w:p>
        </w:tc>
        <w:tc>
          <w:tcPr>
            <w:tcW w:w="423" w:type="pct"/>
            <w:tcBorders>
              <w:top w:val="nil"/>
              <w:left w:val="nil"/>
              <w:bottom w:val="single" w:sz="4" w:space="0" w:color="auto"/>
              <w:right w:val="single" w:sz="4" w:space="0" w:color="auto"/>
            </w:tcBorders>
            <w:shd w:val="clear" w:color="auto" w:fill="auto"/>
            <w:noWrap/>
            <w:vAlign w:val="center"/>
            <w:hideMark/>
          </w:tcPr>
          <w:p w14:paraId="34F56390" w14:textId="77777777" w:rsidR="00D9261E" w:rsidRPr="00254FC5" w:rsidRDefault="00D9261E" w:rsidP="00254FC5">
            <w:pPr>
              <w:autoSpaceDE/>
              <w:autoSpaceDN/>
              <w:adjustRightInd/>
              <w:snapToGrid/>
              <w:spacing w:after="0"/>
              <w:jc w:val="left"/>
              <w:rPr>
                <w:rFonts w:eastAsia="Times New Roman"/>
              </w:rPr>
            </w:pPr>
            <w:r w:rsidRPr="00254FC5">
              <w:rPr>
                <w:rFonts w:eastAsia="Times New Roman"/>
              </w:rPr>
              <w:t>38.331</w:t>
            </w:r>
          </w:p>
        </w:tc>
        <w:tc>
          <w:tcPr>
            <w:tcW w:w="286" w:type="pct"/>
            <w:tcBorders>
              <w:top w:val="nil"/>
              <w:left w:val="nil"/>
              <w:bottom w:val="single" w:sz="4" w:space="0" w:color="auto"/>
              <w:right w:val="single" w:sz="4" w:space="0" w:color="auto"/>
            </w:tcBorders>
            <w:shd w:val="clear" w:color="auto" w:fill="auto"/>
            <w:noWrap/>
            <w:vAlign w:val="bottom"/>
          </w:tcPr>
          <w:p w14:paraId="2EC9F96B" w14:textId="686122D2" w:rsidR="00D9261E" w:rsidRPr="00254FC5" w:rsidRDefault="00D9261E" w:rsidP="00254FC5">
            <w:pPr>
              <w:autoSpaceDE/>
              <w:autoSpaceDN/>
              <w:adjustRightInd/>
              <w:snapToGrid/>
              <w:spacing w:after="0"/>
              <w:jc w:val="left"/>
              <w:rPr>
                <w:rFonts w:ascii="Calibri" w:eastAsia="Times New Roman" w:hAnsi="Calibri" w:cs="Calibri"/>
                <w:color w:val="00B050"/>
              </w:rPr>
            </w:pPr>
          </w:p>
        </w:tc>
      </w:tr>
    </w:tbl>
    <w:p w14:paraId="19A15CD7" w14:textId="77777777" w:rsidR="00104C6B" w:rsidRPr="00E61DEB" w:rsidRDefault="00104C6B" w:rsidP="003B5392"/>
    <w:p w14:paraId="06BC59AE" w14:textId="69A04BA2" w:rsidR="00DD15F7" w:rsidRDefault="00EC07FE" w:rsidP="00EC07FE">
      <w:pPr>
        <w:pStyle w:val="2"/>
        <w:rPr>
          <w:sz w:val="22"/>
        </w:rPr>
      </w:pPr>
      <w:r w:rsidRPr="00E61DEB">
        <w:rPr>
          <w:sz w:val="22"/>
        </w:rPr>
        <w:t xml:space="preserve">Company </w:t>
      </w:r>
      <w:r w:rsidRPr="00EC07FE">
        <w:rPr>
          <w:sz w:val="22"/>
        </w:rPr>
        <w:t>views’ collection for 1st round</w:t>
      </w:r>
    </w:p>
    <w:p w14:paraId="4582774B" w14:textId="0676DB67" w:rsidR="00C21AD7" w:rsidRPr="00C21AD7" w:rsidRDefault="00C21AD7" w:rsidP="00C21AD7">
      <w:r>
        <w:t>Companies contribution to RAN1#108-e:</w:t>
      </w:r>
    </w:p>
    <w:p w14:paraId="2F61D806" w14:textId="39B0B221" w:rsidR="00177FAF" w:rsidRDefault="00177FAF" w:rsidP="00177FAF">
      <w:r w:rsidRPr="00177FAF">
        <w:t>Huawei, HiSilicon</w:t>
      </w:r>
      <w:r>
        <w:t xml:space="preserve"> [</w:t>
      </w:r>
      <w:r w:rsidRPr="00177FAF">
        <w:t>R1-2200938</w:t>
      </w:r>
      <w:r>
        <w:t>] made the following observation and proposal:</w:t>
      </w:r>
    </w:p>
    <w:p w14:paraId="5F6DE455" w14:textId="6C846D4B" w:rsidR="00177FAF" w:rsidRDefault="00177FAF" w:rsidP="00177FAF">
      <w:pPr>
        <w:ind w:left="425"/>
      </w:pPr>
      <w:r w:rsidRPr="00177FAF">
        <w:rPr>
          <w:b/>
        </w:rPr>
        <w:t>Observation 1:</w:t>
      </w:r>
      <w:r>
        <w:t xml:space="preserve"> The velocity range (+/- 8000 m/s) is not correct for the current agreement.</w:t>
      </w:r>
    </w:p>
    <w:p w14:paraId="1256CAED" w14:textId="15DD7955" w:rsidR="00EC07FE" w:rsidRDefault="00177FAF" w:rsidP="00177FAF">
      <w:pPr>
        <w:ind w:left="425"/>
      </w:pPr>
      <w:r w:rsidRPr="00177FAF">
        <w:rPr>
          <w:b/>
        </w:rPr>
        <w:t>Proposal 1:</w:t>
      </w:r>
      <w:r>
        <w:t xml:space="preserve"> The velocity range of +/- 8000 m/s should change to [-7864, 7863] according to the bit allocation and granularity.</w:t>
      </w:r>
    </w:p>
    <w:p w14:paraId="63D75546" w14:textId="68568D44" w:rsidR="00177FAF" w:rsidRDefault="00177FAF" w:rsidP="00EC07FE">
      <w:r w:rsidRPr="00177FAF">
        <w:t>Nokia, Nokia Shanghai Bell</w:t>
      </w:r>
      <w:r>
        <w:t xml:space="preserve"> [</w:t>
      </w:r>
      <w:r w:rsidRPr="00BA62D1">
        <w:rPr>
          <w:bCs/>
          <w:sz w:val="24"/>
          <w:szCs w:val="24"/>
        </w:rPr>
        <w:t>R1-2201648</w:t>
      </w:r>
      <w:r>
        <w:rPr>
          <w:bCs/>
          <w:sz w:val="24"/>
          <w:szCs w:val="24"/>
        </w:rPr>
        <w:t>] made the following proposals:</w:t>
      </w:r>
    </w:p>
    <w:p w14:paraId="76D2DE1E" w14:textId="77777777" w:rsidR="00177FAF" w:rsidRPr="00177FAF" w:rsidRDefault="00177FAF" w:rsidP="00177FAF">
      <w:pPr>
        <w:ind w:left="425"/>
        <w:rPr>
          <w:bCs/>
        </w:rPr>
      </w:pPr>
      <w:r w:rsidRPr="00177FAF">
        <w:rPr>
          <w:b/>
          <w:bCs/>
        </w:rPr>
        <w:t>Proposal 1:</w:t>
      </w:r>
      <w:r w:rsidRPr="00177FAF">
        <w:rPr>
          <w:bCs/>
        </w:rPr>
        <w:t xml:space="preserve">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w:t>
      </w:r>
      <w:r w:rsidRPr="00177FAF">
        <w:rPr>
          <w:bCs/>
        </w:rPr>
        <w:lastRenderedPageBreak/>
        <w:t>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12A01658" w14:textId="77777777" w:rsidR="00177FAF" w:rsidRPr="00177FAF" w:rsidRDefault="00177FAF" w:rsidP="00177FAF">
      <w:pPr>
        <w:ind w:left="425"/>
        <w:rPr>
          <w:bCs/>
        </w:rPr>
      </w:pPr>
      <w:r w:rsidRPr="00177FAF">
        <w:rPr>
          <w:b/>
          <w:bCs/>
        </w:rPr>
        <w:t>Proposal 2:</w:t>
      </w:r>
      <w:r w:rsidRPr="00177FAF">
        <w:rPr>
          <w:bCs/>
        </w:rPr>
        <w:t xml:space="preserve"> Change the RRC parameter name of ServingSatelliteEphemerisInclinationI to ServingSatelliteEphemerisInclination.</w:t>
      </w:r>
    </w:p>
    <w:p w14:paraId="2285E1BF" w14:textId="77777777" w:rsidR="00177FAF" w:rsidRPr="00177FAF" w:rsidRDefault="00177FAF" w:rsidP="00177FAF">
      <w:pPr>
        <w:ind w:left="425"/>
        <w:rPr>
          <w:bCs/>
          <w:sz w:val="16"/>
          <w:szCs w:val="16"/>
        </w:rPr>
      </w:pPr>
      <w:r w:rsidRPr="00177FAF">
        <w:rPr>
          <w:b/>
          <w:bCs/>
        </w:rPr>
        <w:t>Proposal 3:</w:t>
      </w:r>
      <w:r w:rsidRPr="00177FAF">
        <w:rPr>
          <w:bCs/>
        </w:rPr>
        <w:t xml:space="preserve"> Change the RRC parameter name of ServingSatelliteEphemerisMeanAnomalyM to ServingSatelliteEphemerisMeanAnomaly.</w:t>
      </w:r>
    </w:p>
    <w:p w14:paraId="05322393" w14:textId="77777777" w:rsidR="00177FAF" w:rsidRPr="00177FAF" w:rsidRDefault="00177FAF" w:rsidP="00177FAF">
      <w:pPr>
        <w:ind w:left="425"/>
        <w:rPr>
          <w:bCs/>
        </w:rPr>
      </w:pPr>
      <w:r w:rsidRPr="00177FAF">
        <w:rPr>
          <w:b/>
          <w:bCs/>
        </w:rPr>
        <w:t>Proposal 4:</w:t>
      </w:r>
      <w:r w:rsidRPr="00177FAF">
        <w:rPr>
          <w:bCs/>
        </w:rPr>
        <w:t xml:space="preserve"> Update the RRC parameter table, such that </w:t>
      </w:r>
      <w:r w:rsidRPr="00177FAF">
        <w:rPr>
          <w:bCs/>
          <w:i/>
          <w:iCs/>
        </w:rPr>
        <w:t xml:space="preserve">CellSpecific_Koffset </w:t>
      </w:r>
      <w:r w:rsidRPr="00177FAF">
        <w:rPr>
          <w:bCs/>
        </w:rPr>
        <w:t xml:space="preserve">and </w:t>
      </w:r>
      <w:r w:rsidRPr="00177FAF">
        <w:rPr>
          <w:bCs/>
          <w:i/>
          <w:iCs/>
        </w:rPr>
        <w:t>K_mac</w:t>
      </w:r>
      <w:r w:rsidRPr="00177FAF">
        <w:rPr>
          <w:bCs/>
        </w:rPr>
        <w:t xml:space="preserve"> are marked as both cell-specific and UE specific parameters.</w:t>
      </w:r>
    </w:p>
    <w:p w14:paraId="6F8B60F1" w14:textId="77777777" w:rsidR="00177FAF" w:rsidRPr="00177FAF" w:rsidRDefault="00177FAF" w:rsidP="00177FAF">
      <w:pPr>
        <w:ind w:left="425"/>
        <w:rPr>
          <w:bCs/>
        </w:rPr>
      </w:pPr>
      <w:r w:rsidRPr="00177FAF">
        <w:rPr>
          <w:b/>
          <w:bCs/>
        </w:rPr>
        <w:t>Proposal 5:</w:t>
      </w:r>
      <w:r w:rsidRPr="00177FAF">
        <w:rPr>
          <w:bCs/>
        </w:rPr>
        <w:t xml:space="preserve"> RAN1 to update the descriptions and ranges for the above discussed NTN related RRC parameters in order to ensure clear and well-defined interpretations of these.</w:t>
      </w:r>
    </w:p>
    <w:p w14:paraId="5112F3A3" w14:textId="541A747F" w:rsidR="00177FAF" w:rsidRDefault="00177FAF" w:rsidP="00177FAF">
      <w:pPr>
        <w:ind w:left="425"/>
        <w:rPr>
          <w:bCs/>
        </w:rPr>
      </w:pPr>
      <w:r w:rsidRPr="00177FAF">
        <w:rPr>
          <w:b/>
          <w:bCs/>
        </w:rPr>
        <w:t>Proposal 6:</w:t>
      </w:r>
      <w:r w:rsidRPr="00177FAF">
        <w:rPr>
          <w:bCs/>
        </w:rPr>
        <w:t xml:space="preserve"> Write an LS to RAN2 to inform of the suggested and required changes of RRC parameter properties and names.</w:t>
      </w:r>
    </w:p>
    <w:p w14:paraId="15F419AF" w14:textId="20EEF732" w:rsidR="00195721" w:rsidRDefault="00195721" w:rsidP="00195721">
      <w:pPr>
        <w:rPr>
          <w:bCs/>
        </w:rPr>
      </w:pPr>
      <w:r>
        <w:rPr>
          <w:bCs/>
        </w:rPr>
        <w:t>Apple</w:t>
      </w:r>
      <w:r w:rsidR="00BE07A3">
        <w:rPr>
          <w:bCs/>
        </w:rPr>
        <w:t xml:space="preserve"> [</w:t>
      </w:r>
      <w:hyperlink r:id="rId11" w:history="1">
        <w:r w:rsidR="00BE07A3" w:rsidRPr="008F1384">
          <w:rPr>
            <w:rStyle w:val="a4"/>
            <w:b/>
            <w:bCs/>
          </w:rPr>
          <w:t>R1-2201772</w:t>
        </w:r>
      </w:hyperlink>
      <w:r w:rsidR="00BE07A3">
        <w:rPr>
          <w:b/>
          <w:bCs/>
          <w:color w:val="0000FF"/>
          <w:u w:val="single"/>
        </w:rPr>
        <w:t>]</w:t>
      </w:r>
      <w:r>
        <w:rPr>
          <w:bCs/>
        </w:rPr>
        <w:t xml:space="preserve"> made the following proposal:</w:t>
      </w:r>
    </w:p>
    <w:p w14:paraId="6B4F14A3" w14:textId="77777777" w:rsidR="00195721" w:rsidRPr="00195721" w:rsidRDefault="00195721" w:rsidP="00195721">
      <w:pPr>
        <w:ind w:firstLine="425"/>
        <w:rPr>
          <w:bCs/>
        </w:rPr>
      </w:pPr>
      <w:r w:rsidRPr="00195721">
        <w:rPr>
          <w:b/>
          <w:bCs/>
        </w:rPr>
        <w:t>Proposal 4:</w:t>
      </w:r>
      <w:r w:rsidRPr="00195721">
        <w:rPr>
          <w:bCs/>
        </w:rPr>
        <w:t xml:space="preserve"> In the higher layer parameter list for NR NTN, </w:t>
      </w:r>
    </w:p>
    <w:p w14:paraId="53D790BF" w14:textId="77777777" w:rsidR="00195721" w:rsidRPr="00195721" w:rsidRDefault="00195721" w:rsidP="00195721">
      <w:pPr>
        <w:rPr>
          <w:bCs/>
        </w:rPr>
      </w:pPr>
      <w:r w:rsidRPr="00195721">
        <w:rPr>
          <w:bCs/>
        </w:rPr>
        <w:tab/>
        <w:t xml:space="preserve">includes the quantization step for serving satellite ephemeris position and velocity state vector parameters, </w:t>
      </w:r>
    </w:p>
    <w:p w14:paraId="504F0E98" w14:textId="0FD8E002" w:rsidR="00195721" w:rsidRPr="00177FAF" w:rsidRDefault="00195721" w:rsidP="00195721">
      <w:pPr>
        <w:rPr>
          <w:bCs/>
        </w:rPr>
      </w:pPr>
      <w:r w:rsidRPr="00195721">
        <w:rPr>
          <w:bCs/>
        </w:rPr>
        <w:tab/>
        <w:t>includes the bit allocation for serving satellite ephemeris orbital parameters.</w:t>
      </w:r>
    </w:p>
    <w:p w14:paraId="0106514E" w14:textId="77777777" w:rsidR="000D595D" w:rsidRDefault="000D595D" w:rsidP="00EC07FE"/>
    <w:p w14:paraId="3C3C6D7E" w14:textId="71FEE92C" w:rsidR="000D595D" w:rsidRDefault="000D595D" w:rsidP="00EC07FE">
      <w:r>
        <w:t>Moderator note: on Proposal 1, Nokia provided the following reason:</w:t>
      </w:r>
    </w:p>
    <w:tbl>
      <w:tblPr>
        <w:tblStyle w:val="ac"/>
        <w:tblW w:w="0" w:type="auto"/>
        <w:tblLook w:val="04A0" w:firstRow="1" w:lastRow="0" w:firstColumn="1" w:lastColumn="0" w:noHBand="0" w:noVBand="1"/>
      </w:tblPr>
      <w:tblGrid>
        <w:gridCol w:w="20118"/>
      </w:tblGrid>
      <w:tr w:rsidR="00D2507B" w14:paraId="6C62A10B" w14:textId="77777777" w:rsidTr="00D2507B">
        <w:tc>
          <w:tcPr>
            <w:tcW w:w="20118" w:type="dxa"/>
          </w:tcPr>
          <w:p w14:paraId="339D12F2" w14:textId="3ED38353" w:rsidR="00D2507B" w:rsidRDefault="00D2507B" w:rsidP="00D2507B">
            <w:r w:rsidRPr="00BA62D1">
              <w:rPr>
                <w:bCs/>
                <w:sz w:val="24"/>
                <w:szCs w:val="24"/>
              </w:rPr>
              <w:t>R1-2201648</w:t>
            </w:r>
            <w:r>
              <w:rPr>
                <w:bCs/>
                <w:sz w:val="24"/>
                <w:szCs w:val="24"/>
              </w:rPr>
              <w:t xml:space="preserve"> - </w:t>
            </w:r>
            <w:r w:rsidRPr="00D2507B">
              <w:t>Nokia, Nokia Shanghai Bell:</w:t>
            </w:r>
          </w:p>
          <w:p w14:paraId="1EC90E85" w14:textId="70E59BF6" w:rsidR="00D2507B" w:rsidRDefault="00D2507B" w:rsidP="00D2507B">
            <w:r>
              <w:t>And the subsequent definition of RRC parameters for supporting serving satellite ephemeris information as well as Common TA related information for NR over NTN seems to correctly reflect these, as they are all denoted as they are defined on a per-cell level and designated to be cell-specific.</w:t>
            </w:r>
          </w:p>
          <w:p w14:paraId="223ED0F8" w14:textId="77777777" w:rsidR="00D2507B" w:rsidRDefault="00D2507B" w:rsidP="00D2507B">
            <w:r>
              <w:t>However, when looking at the agreement on the Epoch time which was reached at the same meeting, it reads:</w:t>
            </w:r>
          </w:p>
          <w:p w14:paraId="5EE38CF6" w14:textId="77777777" w:rsidR="00D2507B" w:rsidRPr="009A0EEF" w:rsidRDefault="00D2507B" w:rsidP="00D2507B">
            <w:pPr>
              <w:autoSpaceDE/>
              <w:autoSpaceDN/>
              <w:adjustRightInd/>
              <w:spacing w:after="0"/>
              <w:ind w:left="284"/>
              <w:rPr>
                <w:rFonts w:eastAsia="Batang"/>
                <w:szCs w:val="24"/>
                <w:lang w:val="fr-FR"/>
              </w:rPr>
            </w:pPr>
            <w:r w:rsidRPr="009A0EEF">
              <w:rPr>
                <w:rFonts w:eastAsia="Batang"/>
                <w:szCs w:val="24"/>
                <w:highlight w:val="green"/>
              </w:rPr>
              <w:t>Agreement</w:t>
            </w:r>
          </w:p>
          <w:p w14:paraId="5AA3B586" w14:textId="77777777" w:rsidR="00D2507B" w:rsidRPr="009A0EEF" w:rsidRDefault="00D2507B" w:rsidP="00D2507B">
            <w:pPr>
              <w:numPr>
                <w:ilvl w:val="0"/>
                <w:numId w:val="42"/>
              </w:numPr>
              <w:autoSpaceDE/>
              <w:autoSpaceDN/>
              <w:adjustRightInd/>
              <w:snapToGrid/>
              <w:spacing w:after="0" w:line="259" w:lineRule="auto"/>
              <w:ind w:left="1004"/>
              <w:contextualSpacing/>
              <w:jc w:val="left"/>
              <w:rPr>
                <w:lang w:eastAsia="ja-JP"/>
              </w:rPr>
            </w:pPr>
            <w:r w:rsidRPr="009A0EEF">
              <w:rPr>
                <w:lang w:eastAsia="ja-JP"/>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577AEB2" w14:textId="77777777" w:rsidR="00D2507B" w:rsidRPr="009A0EEF" w:rsidRDefault="00D2507B" w:rsidP="00D2507B">
            <w:pPr>
              <w:numPr>
                <w:ilvl w:val="0"/>
                <w:numId w:val="42"/>
              </w:numPr>
              <w:autoSpaceDE/>
              <w:autoSpaceDN/>
              <w:adjustRightInd/>
              <w:snapToGrid/>
              <w:spacing w:after="0" w:line="259" w:lineRule="auto"/>
              <w:ind w:left="1004"/>
              <w:contextualSpacing/>
              <w:jc w:val="left"/>
              <w:rPr>
                <w:lang w:eastAsia="ja-JP"/>
              </w:rPr>
            </w:pPr>
            <w:r w:rsidRPr="009A0EEF">
              <w:rPr>
                <w:lang w:eastAsia="ja-JP"/>
              </w:rPr>
              <w:t>Otherwise, when indicated in SIB (other than SIB1), epoch time of assistance information (i.e. Serving satellite ephemeris and Common TA parameters) is implicitly known as the end of the SI window during which the SI message is transmitted.</w:t>
            </w:r>
          </w:p>
          <w:p w14:paraId="6B75B469" w14:textId="77777777" w:rsidR="00D2507B" w:rsidRDefault="00D2507B" w:rsidP="00D2507B">
            <w:pPr>
              <w:numPr>
                <w:ilvl w:val="0"/>
                <w:numId w:val="42"/>
              </w:numPr>
              <w:autoSpaceDE/>
              <w:autoSpaceDN/>
              <w:adjustRightInd/>
              <w:snapToGrid/>
              <w:spacing w:after="0" w:line="259" w:lineRule="auto"/>
              <w:ind w:left="1004"/>
              <w:contextualSpacing/>
              <w:jc w:val="left"/>
              <w:rPr>
                <w:lang w:eastAsia="ja-JP"/>
              </w:rPr>
            </w:pPr>
            <w:r w:rsidRPr="009A0EEF">
              <w:rPr>
                <w:lang w:eastAsia="ja-JP"/>
              </w:rPr>
              <w:t>When provided through dedicated signaling, epoch time of assistance information (i.e. Serving satellite ephemeris and Common TA parameters) is the starting time of a DL sub-frame, indicated by a SFN and a sub-frame number.</w:t>
            </w:r>
          </w:p>
          <w:p w14:paraId="1D970081" w14:textId="77777777" w:rsidR="00D2507B" w:rsidRPr="009A0EEF" w:rsidRDefault="00D2507B" w:rsidP="00D2507B">
            <w:pPr>
              <w:autoSpaceDE/>
              <w:autoSpaceDN/>
              <w:adjustRightInd/>
              <w:spacing w:after="0"/>
              <w:ind w:left="1004"/>
              <w:contextualSpacing/>
              <w:rPr>
                <w:lang w:eastAsia="ja-JP"/>
              </w:rPr>
            </w:pPr>
          </w:p>
          <w:p w14:paraId="44FB1F1E" w14:textId="77777777" w:rsidR="00D2507B" w:rsidRDefault="00D2507B" w:rsidP="00D2507B">
            <w:r>
              <w:t xml:space="preserve">Which agreement clearly indicates that the assistance information, which is subject to the Epoch time, may be provided either as cell-specific information (as broadcast information) or UE-specific information (as indicated through “through dedicated signaling”). This formulation was introduced to ensure that it is possible to convey the ephemeris related information to UEs that are assigned to a bandwidth part which does not have a common </w:t>
            </w:r>
            <w:r>
              <w:lastRenderedPageBreak/>
              <w:t>search space configured. If this is not ensured, it would not be possible to have such operation. Hence, the following parameters in the provided list of RRC parameters need to have their properties modified and RAN2 need to be informed by an LS of the needed change.</w:t>
            </w:r>
          </w:p>
          <w:p w14:paraId="38493AD4" w14:textId="77777777" w:rsidR="00D2507B" w:rsidRDefault="00D2507B" w:rsidP="00EC07FE"/>
        </w:tc>
      </w:tr>
    </w:tbl>
    <w:p w14:paraId="5B444281" w14:textId="53A8C3C4" w:rsidR="00D2507B" w:rsidRDefault="00D2507B" w:rsidP="00EC07FE"/>
    <w:p w14:paraId="7DBEEAAF" w14:textId="77777777" w:rsidR="000F3A9D" w:rsidRDefault="000F3A9D" w:rsidP="00EC07FE">
      <w:r>
        <w:t xml:space="preserve">Moderator view: Following </w:t>
      </w:r>
      <w:r w:rsidRPr="000F3A9D">
        <w:t>R1-2110415</w:t>
      </w:r>
      <w:r>
        <w:t xml:space="preserve"> - </w:t>
      </w:r>
      <w:r w:rsidRPr="000F3A9D">
        <w:t>Recommendations for RAN1 RRC Parameter Preparation</w:t>
      </w:r>
      <w:r>
        <w:t xml:space="preserve">: </w:t>
      </w:r>
      <w:r w:rsidRPr="000F3A9D">
        <w:t>Column N: cell-specific or UE-specific  to indicate if a parameter is common to all UEs or specific to UE, respectively.</w:t>
      </w:r>
      <w:r>
        <w:t xml:space="preserve"> </w:t>
      </w:r>
    </w:p>
    <w:p w14:paraId="6650C4B9" w14:textId="77777777" w:rsidR="00864E7A" w:rsidRDefault="000F3A9D" w:rsidP="00EC07FE">
      <w:r>
        <w:t xml:space="preserve">Therefore, Moderator understanding is the parameters mentioned in Nokia Proposal are </w:t>
      </w:r>
      <w:r w:rsidRPr="000F3A9D">
        <w:t>cell-specific</w:t>
      </w:r>
      <w:r w:rsidR="006D3233">
        <w:t xml:space="preserve"> (ephemeris, common TA parameters…)</w:t>
      </w:r>
      <w:r>
        <w:t xml:space="preserve">. </w:t>
      </w:r>
    </w:p>
    <w:p w14:paraId="0C6B0C86" w14:textId="61AA88D9" w:rsidR="000F3A9D" w:rsidRDefault="00FE2178" w:rsidP="00EC07FE">
      <w:r>
        <w:t xml:space="preserve">We may add comment to indicate that these parameters can be </w:t>
      </w:r>
      <w:r w:rsidRPr="00FE2178">
        <w:t>provided through dedicated signaling</w:t>
      </w:r>
      <w:r>
        <w:t>?</w:t>
      </w:r>
    </w:p>
    <w:p w14:paraId="36632740" w14:textId="0D26B7BA" w:rsidR="00C21AD7" w:rsidRDefault="00C21AD7" w:rsidP="00EC07FE"/>
    <w:p w14:paraId="21631ADC" w14:textId="13E93B4B" w:rsidR="00686165" w:rsidRDefault="00686165" w:rsidP="00EC07FE">
      <w:r>
        <w:t xml:space="preserve">Moderator note: Discussions on additional value (s) for </w:t>
      </w:r>
      <w:r w:rsidRPr="00686165">
        <w:t>ntnUlSyncValidityDuration</w:t>
      </w:r>
      <w:r>
        <w:t xml:space="preserve"> in case of  GEO and an optimal Keplerian/orbital parameter bit allocation are ongoing within AI 8.4.2. The RRC parameter list will be updated accordingly.</w:t>
      </w:r>
    </w:p>
    <w:p w14:paraId="5CF80D63" w14:textId="1E284A37" w:rsidR="00177FAF" w:rsidRPr="00EC07FE" w:rsidRDefault="00C21AD7" w:rsidP="00EC07FE">
      <w:r>
        <w:t xml:space="preserve">Based on the above proposals related </w:t>
      </w:r>
      <w:r w:rsidRPr="00C21AD7">
        <w:t xml:space="preserve">RRC parameters </w:t>
      </w:r>
      <w:r>
        <w:t>are updated/modified.</w:t>
      </w:r>
    </w:p>
    <w:p w14:paraId="06BC59AF" w14:textId="0144075F" w:rsidR="003B5392" w:rsidRPr="00E61DEB" w:rsidRDefault="003B5392" w:rsidP="003B5392">
      <w:pPr>
        <w:pStyle w:val="DraftProposal"/>
        <w:numPr>
          <w:ilvl w:val="0"/>
          <w:numId w:val="0"/>
        </w:numPr>
        <w:rPr>
          <w:rFonts w:ascii="Times New Roman" w:hAnsi="Times New Roman" w:cs="Times New Roman"/>
        </w:rPr>
      </w:pPr>
      <w:r w:rsidRPr="00E61DEB">
        <w:rPr>
          <w:rFonts w:ascii="Times New Roman" w:eastAsiaTheme="minorEastAsia" w:hAnsi="Times New Roman" w:cs="Times New Roman"/>
          <w:bCs w:val="0"/>
          <w:highlight w:val="yellow"/>
        </w:rPr>
        <w:t>C</w:t>
      </w:r>
      <w:r w:rsidRPr="00E61DEB">
        <w:rPr>
          <w:rFonts w:ascii="Times New Roman" w:hAnsi="Times New Roman" w:cs="Times New Roman"/>
          <w:highlight w:val="yellow"/>
        </w:rPr>
        <w:t>ompanies are encouraged to provide comm</w:t>
      </w:r>
      <w:r w:rsidR="0030359E" w:rsidRPr="00E61DEB">
        <w:rPr>
          <w:rFonts w:ascii="Times New Roman" w:hAnsi="Times New Roman" w:cs="Times New Roman"/>
          <w:highlight w:val="yellow"/>
        </w:rPr>
        <w:t xml:space="preserve">ents on </w:t>
      </w:r>
      <w:r w:rsidR="00C21AD7">
        <w:rPr>
          <w:rFonts w:ascii="Times New Roman" w:hAnsi="Times New Roman" w:cs="Times New Roman"/>
          <w:highlight w:val="yellow"/>
        </w:rPr>
        <w:t xml:space="preserve">updated </w:t>
      </w:r>
      <w:r w:rsidR="0030359E" w:rsidRPr="00E61DEB">
        <w:rPr>
          <w:rFonts w:ascii="Times New Roman" w:hAnsi="Times New Roman" w:cs="Times New Roman"/>
          <w:highlight w:val="yellow"/>
        </w:rPr>
        <w:t>RRC parameters</w:t>
      </w:r>
      <w:r w:rsidR="004F66CC" w:rsidRPr="00E61DEB">
        <w:rPr>
          <w:rFonts w:ascii="Times New Roman" w:hAnsi="Times New Roman" w:cs="Times New Roman"/>
          <w:highlight w:val="yellow"/>
        </w:rPr>
        <w:t xml:space="preserve"> list</w:t>
      </w:r>
      <w:r w:rsidR="0030359E" w:rsidRPr="00E61DEB">
        <w:rPr>
          <w:rFonts w:ascii="Times New Roman" w:hAnsi="Times New Roman" w:cs="Times New Roman"/>
          <w:highlight w:val="yellow"/>
        </w:rPr>
        <w:t xml:space="preserve"> (section 3.1):</w:t>
      </w:r>
    </w:p>
    <w:tbl>
      <w:tblPr>
        <w:tblStyle w:val="ac"/>
        <w:tblW w:w="4973" w:type="pct"/>
        <w:tblLook w:val="04A0" w:firstRow="1" w:lastRow="0" w:firstColumn="1" w:lastColumn="0" w:noHBand="0" w:noVBand="1"/>
      </w:tblPr>
      <w:tblGrid>
        <w:gridCol w:w="3662"/>
        <w:gridCol w:w="16347"/>
      </w:tblGrid>
      <w:tr w:rsidR="00AA2894" w:rsidRPr="00E61DEB" w14:paraId="781C2653" w14:textId="77777777" w:rsidTr="00D543BB">
        <w:trPr>
          <w:tblHeader/>
        </w:trPr>
        <w:tc>
          <w:tcPr>
            <w:tcW w:w="915" w:type="pct"/>
            <w:shd w:val="clear" w:color="auto" w:fill="00B0F0"/>
          </w:tcPr>
          <w:p w14:paraId="6AA4C90C" w14:textId="77777777" w:rsidR="00AA2894" w:rsidRPr="00E61DEB" w:rsidRDefault="00AA2894" w:rsidP="00D543BB">
            <w:pPr>
              <w:rPr>
                <w:b/>
                <w:color w:val="FFFFFF" w:themeColor="background1"/>
              </w:rPr>
            </w:pPr>
          </w:p>
        </w:tc>
        <w:tc>
          <w:tcPr>
            <w:tcW w:w="4085" w:type="pct"/>
            <w:shd w:val="clear" w:color="auto" w:fill="00B0F0"/>
          </w:tcPr>
          <w:p w14:paraId="4EC1B3D1" w14:textId="77777777" w:rsidR="00AA2894" w:rsidRPr="00E61DEB" w:rsidRDefault="00AA2894" w:rsidP="00D543BB">
            <w:pPr>
              <w:rPr>
                <w:b/>
                <w:color w:val="FFFFFF" w:themeColor="background1"/>
              </w:rPr>
            </w:pPr>
          </w:p>
        </w:tc>
      </w:tr>
      <w:tr w:rsidR="005D6829" w:rsidRPr="00E61DEB" w14:paraId="1A7357D9" w14:textId="77777777" w:rsidTr="00D543BB">
        <w:tc>
          <w:tcPr>
            <w:tcW w:w="915" w:type="pct"/>
          </w:tcPr>
          <w:p w14:paraId="6AF73057" w14:textId="1EBC7B9D" w:rsidR="005D6829" w:rsidRPr="00E61DEB" w:rsidRDefault="005D6829" w:rsidP="005D6829">
            <w:pPr>
              <w:rPr>
                <w:rFonts w:eastAsia="Malgun Gothic"/>
                <w:bCs/>
                <w:lang w:eastAsia="ko-KR"/>
              </w:rPr>
            </w:pPr>
            <w:r>
              <w:rPr>
                <w:rFonts w:eastAsia="Malgun Gothic"/>
                <w:bCs/>
                <w:lang w:eastAsia="ko-KR"/>
              </w:rPr>
              <w:t>Nokia, Nokia Shanghai Bell</w:t>
            </w:r>
          </w:p>
        </w:tc>
        <w:tc>
          <w:tcPr>
            <w:tcW w:w="4085" w:type="pct"/>
          </w:tcPr>
          <w:p w14:paraId="3FDEFD11" w14:textId="77777777" w:rsidR="005D6829" w:rsidRDefault="005D6829" w:rsidP="005D6829">
            <w:pPr>
              <w:rPr>
                <w:color w:val="000000"/>
              </w:rPr>
            </w:pPr>
            <w:r>
              <w:rPr>
                <w:color w:val="000000"/>
              </w:rPr>
              <w:t xml:space="preserve">According to our calculations, the value range for TACommon should be updated: </w:t>
            </w:r>
            <w:r w:rsidRPr="00254FC5">
              <w:rPr>
                <w:rFonts w:ascii="Arial" w:eastAsia="Times New Roman" w:hAnsi="Arial" w:cs="Arial"/>
                <w:sz w:val="18"/>
                <w:szCs w:val="18"/>
              </w:rPr>
              <w:t>(i.e: 0… 270</w:t>
            </w:r>
            <w:r w:rsidRPr="0079620A">
              <w:rPr>
                <w:rFonts w:ascii="Arial" w:eastAsia="Times New Roman" w:hAnsi="Arial" w:cs="Arial"/>
                <w:sz w:val="18"/>
                <w:szCs w:val="18"/>
              </w:rPr>
              <w:t xml:space="preserve">.597031 </w:t>
            </w:r>
            <w:r w:rsidRPr="00254FC5">
              <w:rPr>
                <w:rFonts w:ascii="Arial" w:eastAsia="Times New Roman" w:hAnsi="Arial" w:cs="Arial"/>
                <w:sz w:val="18"/>
                <w:szCs w:val="18"/>
              </w:rPr>
              <w:t>ms)</w:t>
            </w:r>
          </w:p>
          <w:p w14:paraId="689F5681" w14:textId="77777777" w:rsidR="005D6829" w:rsidRDefault="005D6829" w:rsidP="005D6829">
            <w:pPr>
              <w:rPr>
                <w:rFonts w:ascii="Arial" w:eastAsia="Times New Roman" w:hAnsi="Arial" w:cs="Arial"/>
                <w:sz w:val="18"/>
                <w:szCs w:val="18"/>
              </w:rPr>
            </w:pPr>
            <w:r>
              <w:rPr>
                <w:color w:val="000000"/>
              </w:rPr>
              <w:t xml:space="preserve">According to our calculations, the value range for TACommonDrift should be updated: </w:t>
            </w:r>
            <w:r w:rsidRPr="00254FC5">
              <w:rPr>
                <w:rFonts w:ascii="Arial" w:eastAsia="Times New Roman" w:hAnsi="Arial" w:cs="Arial"/>
                <w:sz w:val="18"/>
                <w:szCs w:val="18"/>
              </w:rPr>
              <w:t>(i.e: -</w:t>
            </w:r>
            <w:r>
              <w:rPr>
                <w:rFonts w:ascii="Arial" w:eastAsia="Times New Roman" w:hAnsi="Arial" w:cs="Arial"/>
                <w:sz w:val="18"/>
                <w:szCs w:val="18"/>
              </w:rPr>
              <w:t>52.387</w:t>
            </w:r>
            <w:r w:rsidRPr="00254FC5">
              <w:rPr>
                <w:rFonts w:ascii="Arial" w:eastAsia="Times New Roman" w:hAnsi="Arial" w:cs="Arial"/>
                <w:sz w:val="18"/>
                <w:szCs w:val="18"/>
              </w:rPr>
              <w:t xml:space="preserve"> μs⁄s    … +</w:t>
            </w:r>
            <w:r>
              <w:rPr>
                <w:rFonts w:ascii="Arial" w:eastAsia="Times New Roman" w:hAnsi="Arial" w:cs="Arial"/>
                <w:sz w:val="18"/>
                <w:szCs w:val="18"/>
              </w:rPr>
              <w:t>52.387</w:t>
            </w:r>
            <w:r w:rsidRPr="00254FC5">
              <w:rPr>
                <w:rFonts w:ascii="Arial" w:eastAsia="Times New Roman" w:hAnsi="Arial" w:cs="Arial"/>
                <w:sz w:val="18"/>
                <w:szCs w:val="18"/>
              </w:rPr>
              <w:t xml:space="preserve"> μs⁄s)</w:t>
            </w:r>
          </w:p>
          <w:p w14:paraId="43C69131" w14:textId="77777777" w:rsidR="005D6829" w:rsidRDefault="005D6829" w:rsidP="005D6829">
            <w:pPr>
              <w:rPr>
                <w:rFonts w:ascii="Arial" w:eastAsia="Times New Roman" w:hAnsi="Arial" w:cs="Arial"/>
                <w:sz w:val="18"/>
                <w:szCs w:val="18"/>
              </w:rPr>
            </w:pPr>
            <w:r>
              <w:rPr>
                <w:color w:val="000000"/>
              </w:rPr>
              <w:t xml:space="preserve">According to our calculations, the value range for TACommonDriftVariation should be updated: </w:t>
            </w:r>
            <w:r w:rsidRPr="00254FC5">
              <w:rPr>
                <w:rFonts w:ascii="Arial" w:eastAsia="Times New Roman" w:hAnsi="Arial" w:cs="Arial"/>
                <w:sz w:val="18"/>
                <w:szCs w:val="18"/>
              </w:rPr>
              <w:t>(i.e. 0…0.</w:t>
            </w:r>
            <w:r>
              <w:rPr>
                <w:rFonts w:ascii="Arial" w:eastAsia="Times New Roman" w:hAnsi="Arial" w:cs="Arial"/>
                <w:sz w:val="18"/>
                <w:szCs w:val="18"/>
              </w:rPr>
              <w:t>5894</w:t>
            </w:r>
            <w:r w:rsidRPr="00254FC5">
              <w:rPr>
                <w:rFonts w:ascii="Arial" w:eastAsia="Times New Roman" w:hAnsi="Arial" w:cs="Arial"/>
                <w:sz w:val="18"/>
                <w:szCs w:val="18"/>
              </w:rPr>
              <w:t xml:space="preserve"> μs⁄s^2)</w:t>
            </w:r>
          </w:p>
          <w:p w14:paraId="33BCE815" w14:textId="77777777" w:rsidR="005D6829" w:rsidRDefault="005D6829" w:rsidP="005D6829">
            <w:pPr>
              <w:rPr>
                <w:color w:val="000000"/>
              </w:rPr>
            </w:pPr>
            <w:r>
              <w:rPr>
                <w:color w:val="000000"/>
              </w:rPr>
              <w:t>For indicating the x,y,z position, we would suggest to also include the actual value range in [m] for the provided parameter span.</w:t>
            </w:r>
          </w:p>
          <w:p w14:paraId="71203AF4" w14:textId="77777777" w:rsidR="005D6829" w:rsidRDefault="005D6829" w:rsidP="005D6829">
            <w:pPr>
              <w:rPr>
                <w:color w:val="000000"/>
              </w:rPr>
            </w:pPr>
            <w:r>
              <w:rPr>
                <w:color w:val="000000"/>
              </w:rPr>
              <w:t>For indicating the x,y,z velocity, we would suggest to also include the actual value range in [m/s] for the provided parameter span.</w:t>
            </w:r>
          </w:p>
          <w:p w14:paraId="7C828DDC" w14:textId="77777777" w:rsidR="005D6829" w:rsidRDefault="005D6829" w:rsidP="005D6829">
            <w:pPr>
              <w:rPr>
                <w:color w:val="000000"/>
              </w:rPr>
            </w:pPr>
            <w:r>
              <w:rPr>
                <w:color w:val="000000"/>
              </w:rPr>
              <w:t>For the indication of the x,y,z velocity, it is a bit unclear whether the value range is the signaled value (with integer values) or the provided value span (in m/s).</w:t>
            </w:r>
          </w:p>
          <w:p w14:paraId="37892E6D" w14:textId="77777777" w:rsidR="005D6829" w:rsidRDefault="005D6829" w:rsidP="005D6829">
            <w:pPr>
              <w:rPr>
                <w:color w:val="000000"/>
              </w:rPr>
            </w:pPr>
            <w:r>
              <w:rPr>
                <w:color w:val="000000"/>
              </w:rPr>
              <w:t>For the orbital parameters there is no indication of the granularity.</w:t>
            </w:r>
          </w:p>
          <w:p w14:paraId="280672EB" w14:textId="24C6EF08" w:rsidR="005D6829" w:rsidRPr="00E01387" w:rsidRDefault="005D6829" w:rsidP="005D6829">
            <w:pPr>
              <w:rPr>
                <w:color w:val="000000"/>
              </w:rPr>
            </w:pPr>
            <w:r>
              <w:rPr>
                <w:color w:val="000000"/>
              </w:rPr>
              <w:t>Additionally, all parameters discussed in this part need to be conveyed to the UE through UE specific signaling such that UEs configured with a BWP which does not have a common search space configured may still be operational.</w:t>
            </w:r>
          </w:p>
        </w:tc>
      </w:tr>
      <w:tr w:rsidR="00AA2894" w:rsidRPr="00E61DEB" w14:paraId="137EF3F4" w14:textId="77777777" w:rsidTr="00D543BB">
        <w:tc>
          <w:tcPr>
            <w:tcW w:w="915" w:type="pct"/>
          </w:tcPr>
          <w:p w14:paraId="55FDD554" w14:textId="050C7D37" w:rsidR="00AA2894" w:rsidRPr="00E61DEB" w:rsidRDefault="00A97EC4" w:rsidP="00D543BB">
            <w:pPr>
              <w:rPr>
                <w:rFonts w:eastAsiaTheme="minorHAnsi"/>
                <w:bCs/>
              </w:rPr>
            </w:pPr>
            <w:r>
              <w:rPr>
                <w:rFonts w:eastAsiaTheme="minorHAnsi"/>
                <w:bCs/>
              </w:rPr>
              <w:t>Ericsson</w:t>
            </w:r>
          </w:p>
        </w:tc>
        <w:tc>
          <w:tcPr>
            <w:tcW w:w="4085" w:type="pct"/>
          </w:tcPr>
          <w:p w14:paraId="4B2C63BF" w14:textId="77777777" w:rsidR="00A97EC4" w:rsidRPr="002801AD" w:rsidRDefault="00A97EC4" w:rsidP="00A97EC4">
            <w:pPr>
              <w:pStyle w:val="af3"/>
              <w:numPr>
                <w:ilvl w:val="0"/>
                <w:numId w:val="44"/>
              </w:numPr>
              <w:jc w:val="left"/>
            </w:pPr>
            <w:r>
              <w:rPr>
                <w:color w:val="000000"/>
              </w:rPr>
              <w:t>The RAN1 agreements from RAN1#107-e on value ranges for the state vector ephemeris parameters are not consistent with the agreements on field sizes and step sizes. To align, we propose to adjust the value ranges based on current agreements on field sizes and step sizes:</w:t>
            </w:r>
          </w:p>
          <w:p w14:paraId="00FB7C25" w14:textId="77777777" w:rsidR="00A97EC4" w:rsidRPr="002801AD" w:rsidRDefault="00A97EC4" w:rsidP="00A97EC4">
            <w:pPr>
              <w:pStyle w:val="af3"/>
              <w:numPr>
                <w:ilvl w:val="1"/>
                <w:numId w:val="44"/>
              </w:numPr>
              <w:jc w:val="left"/>
            </w:pPr>
            <w:r>
              <w:rPr>
                <w:color w:val="000000"/>
              </w:rPr>
              <w:t xml:space="preserve">Position state vectors: 26 bits with step size 1.3 m </w:t>
            </w:r>
            <w:r w:rsidRPr="00FF70B4">
              <w:rPr>
                <w:color w:val="000000"/>
              </w:rPr>
              <w:sym w:font="Wingdings" w:char="F0E0"/>
            </w:r>
            <w:r>
              <w:rPr>
                <w:color w:val="000000"/>
              </w:rPr>
              <w:t xml:space="preserve"> value range = {</w:t>
            </w:r>
            <w:r w:rsidRPr="00FF70B4">
              <w:rPr>
                <w:color w:val="000000"/>
              </w:rPr>
              <w:t>-33554432..33554431</w:t>
            </w:r>
            <w:r>
              <w:rPr>
                <w:color w:val="000000"/>
              </w:rPr>
              <w:t xml:space="preserve">} * 1.3 m = </w:t>
            </w:r>
            <w:r w:rsidRPr="002801AD">
              <w:rPr>
                <w:color w:val="000000"/>
              </w:rPr>
              <w:t>{-43620761.6 m, -43620760.3 m,…, 43620759.0 m, 43620760.3 m}</w:t>
            </w:r>
            <w:r>
              <w:rPr>
                <w:color w:val="000000"/>
              </w:rPr>
              <w:t xml:space="preserve"> </w:t>
            </w:r>
          </w:p>
          <w:p w14:paraId="4AD63E2E" w14:textId="77777777" w:rsidR="00A97EC4" w:rsidRDefault="00A97EC4" w:rsidP="00A97EC4">
            <w:pPr>
              <w:pStyle w:val="af3"/>
              <w:numPr>
                <w:ilvl w:val="1"/>
                <w:numId w:val="44"/>
              </w:numPr>
              <w:jc w:val="left"/>
            </w:pPr>
            <w:r>
              <w:rPr>
                <w:color w:val="000000"/>
              </w:rPr>
              <w:lastRenderedPageBreak/>
              <w:t>V</w:t>
            </w:r>
            <w:r w:rsidRPr="002801AD">
              <w:rPr>
                <w:color w:val="000000"/>
              </w:rPr>
              <w:t>elocity state vectors</w:t>
            </w:r>
            <w:r>
              <w:rPr>
                <w:color w:val="000000"/>
              </w:rPr>
              <w:t xml:space="preserve">: 18 bits with step size 0.06 m/s </w:t>
            </w:r>
            <w:r w:rsidRPr="00FF70B4">
              <w:rPr>
                <w:color w:val="000000"/>
              </w:rPr>
              <w:sym w:font="Wingdings" w:char="F0E0"/>
            </w:r>
            <w:r>
              <w:rPr>
                <w:color w:val="000000"/>
              </w:rPr>
              <w:t xml:space="preserve"> value range = {</w:t>
            </w:r>
            <w:r w:rsidRPr="00FF70B4">
              <w:rPr>
                <w:color w:val="000000"/>
              </w:rPr>
              <w:t>-131072..131071</w:t>
            </w:r>
            <w:r>
              <w:rPr>
                <w:color w:val="000000"/>
              </w:rPr>
              <w:t xml:space="preserve">} * 0.06 m/s = </w:t>
            </w:r>
            <w:r w:rsidRPr="002801AD">
              <w:t>{-7864.32 m/s, -7864.26 m/s,…, 7864.20 m/s,7864.26 m/s}</w:t>
            </w:r>
          </w:p>
          <w:p w14:paraId="05EDEBE2" w14:textId="181C4108" w:rsidR="00AA2894" w:rsidRPr="00A97EC4" w:rsidRDefault="00A97EC4" w:rsidP="00A97EC4">
            <w:pPr>
              <w:pStyle w:val="af3"/>
              <w:numPr>
                <w:ilvl w:val="0"/>
                <w:numId w:val="44"/>
              </w:numPr>
              <w:jc w:val="left"/>
              <w:rPr>
                <w:lang w:val="x-none" w:eastAsia="x-none"/>
              </w:rPr>
            </w:pPr>
            <w:r w:rsidRPr="00A97EC4">
              <w:rPr>
                <w:color w:val="000000"/>
              </w:rPr>
              <w:t>We think Nokia is right that if the parameters can be signaled in both UE-specific and cell-specific signaling, they should be marked "UE-specific and cell-specific". A comment could be added in the table to clarify what we mean.</w:t>
            </w:r>
          </w:p>
        </w:tc>
      </w:tr>
      <w:tr w:rsidR="00AA2894" w:rsidRPr="00E61DEB" w14:paraId="3201A79E" w14:textId="77777777" w:rsidTr="00D543BB">
        <w:tc>
          <w:tcPr>
            <w:tcW w:w="915" w:type="pct"/>
          </w:tcPr>
          <w:p w14:paraId="0861899F" w14:textId="39FA57C8" w:rsidR="00AA2894" w:rsidRPr="00E61DEB" w:rsidRDefault="008B0CDD" w:rsidP="00D543BB">
            <w:pPr>
              <w:rPr>
                <w:rFonts w:eastAsiaTheme="minorHAnsi"/>
                <w:bCs/>
              </w:rPr>
            </w:pPr>
            <w:r>
              <w:rPr>
                <w:rFonts w:eastAsiaTheme="minorHAnsi"/>
                <w:bCs/>
              </w:rPr>
              <w:lastRenderedPageBreak/>
              <w:t>MediaTek</w:t>
            </w:r>
          </w:p>
        </w:tc>
        <w:tc>
          <w:tcPr>
            <w:tcW w:w="4085" w:type="pct"/>
          </w:tcPr>
          <w:p w14:paraId="20E95229" w14:textId="4B49E574" w:rsidR="00AA2894" w:rsidRPr="00E61DEB" w:rsidRDefault="008B0CDD" w:rsidP="00D543BB">
            <w:pPr>
              <w:pStyle w:val="af3"/>
              <w:adjustRightInd w:val="0"/>
              <w:snapToGrid w:val="0"/>
              <w:spacing w:after="120"/>
              <w:ind w:left="0"/>
              <w:rPr>
                <w:rFonts w:eastAsiaTheme="minorHAnsi" w:cs="Times New Roman"/>
                <w:bCs/>
                <w:szCs w:val="22"/>
              </w:rPr>
            </w:pPr>
            <w:r>
              <w:rPr>
                <w:rFonts w:eastAsiaTheme="minorHAnsi" w:cs="Times New Roman"/>
                <w:bCs/>
                <w:szCs w:val="22"/>
              </w:rPr>
              <w:t xml:space="preserve">Ephemeris range details should first be discussed and agreed in </w:t>
            </w:r>
            <w:r w:rsidRPr="008B0CDD">
              <w:rPr>
                <w:rFonts w:eastAsiaTheme="minorHAnsi" w:cs="Times New Roman"/>
                <w:bCs/>
                <w:szCs w:val="22"/>
              </w:rPr>
              <w:t xml:space="preserve"> AI 8.4.2</w:t>
            </w:r>
            <w:r>
              <w:rPr>
                <w:rFonts w:eastAsiaTheme="minorHAnsi" w:cs="Times New Roman"/>
                <w:bCs/>
                <w:szCs w:val="22"/>
              </w:rPr>
              <w:t>, then corresponding RRC parameters can be revised accordingly</w:t>
            </w:r>
            <w:r w:rsidRPr="008B0CDD">
              <w:rPr>
                <w:rFonts w:eastAsiaTheme="minorHAnsi" w:cs="Times New Roman"/>
                <w:bCs/>
                <w:szCs w:val="22"/>
              </w:rPr>
              <w:t>.</w:t>
            </w:r>
          </w:p>
        </w:tc>
      </w:tr>
      <w:tr w:rsidR="00AA2894" w:rsidRPr="00E61DEB" w14:paraId="463A8DA6" w14:textId="77777777" w:rsidTr="00D543BB">
        <w:tc>
          <w:tcPr>
            <w:tcW w:w="915" w:type="pct"/>
          </w:tcPr>
          <w:p w14:paraId="04881F22" w14:textId="17F6C496" w:rsidR="00AA2894" w:rsidRPr="00324F55" w:rsidRDefault="00324F55" w:rsidP="00D543BB">
            <w:pPr>
              <w:rPr>
                <w:rFonts w:hint="eastAsia"/>
                <w:bCs/>
                <w:lang w:eastAsia="zh-CN"/>
              </w:rPr>
            </w:pPr>
            <w:r>
              <w:rPr>
                <w:rFonts w:hint="eastAsia"/>
                <w:bCs/>
                <w:lang w:eastAsia="zh-CN"/>
              </w:rPr>
              <w:t>Z</w:t>
            </w:r>
            <w:r>
              <w:rPr>
                <w:bCs/>
                <w:lang w:eastAsia="zh-CN"/>
              </w:rPr>
              <w:t>TE</w:t>
            </w:r>
          </w:p>
        </w:tc>
        <w:tc>
          <w:tcPr>
            <w:tcW w:w="4085" w:type="pct"/>
          </w:tcPr>
          <w:p w14:paraId="751F20CF" w14:textId="72882CBA" w:rsidR="00AA2894" w:rsidRPr="00324F55" w:rsidRDefault="00324F55" w:rsidP="00E32351">
            <w:pPr>
              <w:pStyle w:val="af3"/>
              <w:adjustRightInd w:val="0"/>
              <w:snapToGrid w:val="0"/>
              <w:spacing w:after="120"/>
              <w:ind w:left="0"/>
              <w:rPr>
                <w:rFonts w:cs="Times New Roman" w:hint="eastAsia"/>
                <w:bCs/>
                <w:szCs w:val="22"/>
              </w:rPr>
            </w:pPr>
            <w:r>
              <w:rPr>
                <w:rFonts w:cs="Times New Roman" w:hint="eastAsia"/>
                <w:bCs/>
                <w:szCs w:val="22"/>
              </w:rPr>
              <w:t>I</w:t>
            </w:r>
            <w:r>
              <w:rPr>
                <w:rFonts w:cs="Times New Roman"/>
                <w:bCs/>
                <w:szCs w:val="22"/>
              </w:rPr>
              <w:t>t can be concluded once the agreement is made.</w:t>
            </w:r>
            <w:r w:rsidR="00E32351">
              <w:rPr>
                <w:rFonts w:cs="Times New Roman"/>
                <w:bCs/>
                <w:szCs w:val="22"/>
              </w:rPr>
              <w:t xml:space="preserve"> Regarding the discussion on “UE/Cell specific”, similar as previous comment, n</w:t>
            </w:r>
            <w:r w:rsidR="00E32351">
              <w:rPr>
                <w:color w:val="000000" w:themeColor="text1"/>
              </w:rPr>
              <w:t>o further updates on the signaling are preferred.</w:t>
            </w:r>
          </w:p>
        </w:tc>
      </w:tr>
      <w:tr w:rsidR="00AA2894" w:rsidRPr="00E61DEB" w14:paraId="757D721D" w14:textId="77777777" w:rsidTr="00D543BB">
        <w:tc>
          <w:tcPr>
            <w:tcW w:w="915" w:type="pct"/>
          </w:tcPr>
          <w:p w14:paraId="4F58FB3C" w14:textId="77777777" w:rsidR="00AA2894" w:rsidRPr="00E61DEB" w:rsidRDefault="00AA2894" w:rsidP="00D543BB">
            <w:pPr>
              <w:rPr>
                <w:bCs/>
                <w:lang w:eastAsia="zh-CN"/>
              </w:rPr>
            </w:pPr>
          </w:p>
        </w:tc>
        <w:tc>
          <w:tcPr>
            <w:tcW w:w="4085" w:type="pct"/>
          </w:tcPr>
          <w:p w14:paraId="23AB1626" w14:textId="77777777" w:rsidR="00AA2894" w:rsidRPr="00E61DEB" w:rsidRDefault="00AA2894" w:rsidP="00D543BB">
            <w:pPr>
              <w:jc w:val="left"/>
              <w:rPr>
                <w:color w:val="FF0000"/>
                <w:lang w:eastAsia="zh-CN"/>
              </w:rPr>
            </w:pPr>
          </w:p>
        </w:tc>
      </w:tr>
    </w:tbl>
    <w:p w14:paraId="58254E53" w14:textId="35E8112A" w:rsidR="00BF5057" w:rsidRDefault="00BF5057" w:rsidP="00AF0206"/>
    <w:p w14:paraId="4A205868" w14:textId="77777777" w:rsidR="00AF0206" w:rsidRPr="00AF0206" w:rsidRDefault="00AF0206" w:rsidP="00AF0206"/>
    <w:p w14:paraId="06BC59C0" w14:textId="77777777" w:rsidR="00E302D0" w:rsidRPr="00E61DEB" w:rsidRDefault="00E302D0" w:rsidP="00E302D0">
      <w:pPr>
        <w:pStyle w:val="1"/>
        <w:rPr>
          <w:sz w:val="22"/>
          <w:szCs w:val="22"/>
        </w:rPr>
      </w:pPr>
      <w:bookmarkStart w:id="11" w:name="_Toc79484739"/>
      <w:bookmarkStart w:id="12" w:name="_Toc82188772"/>
      <w:r w:rsidRPr="00E61DEB">
        <w:rPr>
          <w:sz w:val="22"/>
          <w:szCs w:val="22"/>
        </w:rPr>
        <w:t>Enhancements on HARQ</w:t>
      </w:r>
      <w:bookmarkEnd w:id="11"/>
      <w:bookmarkEnd w:id="12"/>
    </w:p>
    <w:p w14:paraId="06BC59C1" w14:textId="77777777" w:rsidR="003B5392" w:rsidRPr="00E61DEB" w:rsidRDefault="003B5392" w:rsidP="003B5392">
      <w:pPr>
        <w:pStyle w:val="2"/>
        <w:rPr>
          <w:sz w:val="22"/>
        </w:rPr>
      </w:pPr>
      <w:bookmarkStart w:id="13" w:name="_Toc82188773"/>
      <w:r w:rsidRPr="00E61DEB">
        <w:rPr>
          <w:sz w:val="22"/>
        </w:rPr>
        <w:t>Related RRC parameters</w:t>
      </w:r>
      <w:bookmarkEnd w:id="13"/>
    </w:p>
    <w:p w14:paraId="06BC59C2" w14:textId="391A4B1C" w:rsidR="003B5392" w:rsidRDefault="003826AC" w:rsidP="003B5392">
      <w:r w:rsidRPr="00E61DEB">
        <w:t>Based on the ag</w:t>
      </w:r>
      <w:r w:rsidR="00C055CF">
        <w:t>reements to date (up to RAN1#10</w:t>
      </w:r>
      <w:r w:rsidR="0045656B">
        <w:t>7</w:t>
      </w:r>
      <w:r w:rsidRPr="00E61DEB">
        <w:t>-e)</w:t>
      </w:r>
      <w:r w:rsidR="00D3042F" w:rsidRPr="00E61DEB">
        <w:t xml:space="preserve"> and the companies</w:t>
      </w:r>
      <w:r w:rsidR="0045656B">
        <w:t xml:space="preserve"> proposals submitted to RAN1#108</w:t>
      </w:r>
      <w:r w:rsidR="00D3042F" w:rsidRPr="00E61DEB">
        <w:t>-e</w:t>
      </w:r>
      <w:r w:rsidR="00C055CF">
        <w:t xml:space="preserve">, an updated </w:t>
      </w:r>
      <w:r w:rsidRPr="00E61DEB">
        <w:t xml:space="preserve">list of RRC parameters pertinent to NR NTN </w:t>
      </w:r>
      <w:r w:rsidR="00D939A5" w:rsidRPr="00E61DEB">
        <w:t>and related to the e</w:t>
      </w:r>
      <w:r w:rsidRPr="00E61DEB">
        <w:t>nhancements on HARQ is given within the following table:</w:t>
      </w:r>
    </w:p>
    <w:p w14:paraId="5463F7F3" w14:textId="1A2BFE4B" w:rsidR="0045656B" w:rsidRDefault="0045656B" w:rsidP="003B5392"/>
    <w:tbl>
      <w:tblPr>
        <w:tblW w:w="5000" w:type="pct"/>
        <w:tblLook w:val="04A0" w:firstRow="1" w:lastRow="0" w:firstColumn="1" w:lastColumn="0" w:noHBand="0" w:noVBand="1"/>
      </w:tblPr>
      <w:tblGrid>
        <w:gridCol w:w="3797"/>
        <w:gridCol w:w="1567"/>
        <w:gridCol w:w="2211"/>
        <w:gridCol w:w="2160"/>
        <w:gridCol w:w="894"/>
        <w:gridCol w:w="994"/>
        <w:gridCol w:w="1267"/>
        <w:gridCol w:w="1461"/>
        <w:gridCol w:w="4939"/>
        <w:gridCol w:w="828"/>
      </w:tblGrid>
      <w:tr w:rsidR="0045656B" w:rsidRPr="0045656B" w14:paraId="17056810" w14:textId="77777777" w:rsidTr="0045656B">
        <w:trPr>
          <w:trHeight w:val="765"/>
        </w:trPr>
        <w:tc>
          <w:tcPr>
            <w:tcW w:w="628"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EFE961A"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Parameter name in the spec</w:t>
            </w:r>
          </w:p>
        </w:tc>
        <w:tc>
          <w:tcPr>
            <w:tcW w:w="256" w:type="pct"/>
            <w:tcBorders>
              <w:top w:val="single" w:sz="4" w:space="0" w:color="auto"/>
              <w:left w:val="nil"/>
              <w:bottom w:val="single" w:sz="4" w:space="0" w:color="auto"/>
              <w:right w:val="single" w:sz="4" w:space="0" w:color="auto"/>
            </w:tcBorders>
            <w:shd w:val="clear" w:color="000000" w:fill="00B0F0"/>
            <w:vAlign w:val="center"/>
            <w:hideMark/>
          </w:tcPr>
          <w:p w14:paraId="07D16DEB"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New or existing?</w:t>
            </w:r>
          </w:p>
        </w:tc>
        <w:tc>
          <w:tcPr>
            <w:tcW w:w="887" w:type="pct"/>
            <w:tcBorders>
              <w:top w:val="single" w:sz="4" w:space="0" w:color="auto"/>
              <w:left w:val="nil"/>
              <w:bottom w:val="single" w:sz="4" w:space="0" w:color="auto"/>
              <w:right w:val="single" w:sz="4" w:space="0" w:color="auto"/>
            </w:tcBorders>
            <w:shd w:val="clear" w:color="000000" w:fill="00B0F0"/>
            <w:vAlign w:val="center"/>
            <w:hideMark/>
          </w:tcPr>
          <w:p w14:paraId="2A56033B"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Description</w:t>
            </w:r>
          </w:p>
        </w:tc>
        <w:tc>
          <w:tcPr>
            <w:tcW w:w="493" w:type="pct"/>
            <w:tcBorders>
              <w:top w:val="single" w:sz="4" w:space="0" w:color="auto"/>
              <w:left w:val="nil"/>
              <w:bottom w:val="single" w:sz="4" w:space="0" w:color="auto"/>
              <w:right w:val="single" w:sz="4" w:space="0" w:color="auto"/>
            </w:tcBorders>
            <w:shd w:val="clear" w:color="000000" w:fill="00B0F0"/>
            <w:vAlign w:val="center"/>
            <w:hideMark/>
          </w:tcPr>
          <w:p w14:paraId="40C6C99F"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Value range</w:t>
            </w:r>
          </w:p>
        </w:tc>
        <w:tc>
          <w:tcPr>
            <w:tcW w:w="306" w:type="pct"/>
            <w:tcBorders>
              <w:top w:val="single" w:sz="4" w:space="0" w:color="auto"/>
              <w:left w:val="nil"/>
              <w:bottom w:val="single" w:sz="4" w:space="0" w:color="auto"/>
              <w:right w:val="single" w:sz="4" w:space="0" w:color="auto"/>
            </w:tcBorders>
            <w:shd w:val="clear" w:color="000000" w:fill="00B0F0"/>
            <w:vAlign w:val="center"/>
            <w:hideMark/>
          </w:tcPr>
          <w:p w14:paraId="2531B4C7"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Default value aspect</w:t>
            </w:r>
          </w:p>
        </w:tc>
        <w:tc>
          <w:tcPr>
            <w:tcW w:w="306" w:type="pct"/>
            <w:tcBorders>
              <w:top w:val="single" w:sz="4" w:space="0" w:color="auto"/>
              <w:left w:val="nil"/>
              <w:bottom w:val="single" w:sz="4" w:space="0" w:color="auto"/>
              <w:right w:val="single" w:sz="4" w:space="0" w:color="auto"/>
            </w:tcBorders>
            <w:shd w:val="clear" w:color="000000" w:fill="00B0F0"/>
            <w:vAlign w:val="center"/>
            <w:hideMark/>
          </w:tcPr>
          <w:p w14:paraId="7EF0EBDD"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Per (UE, cell, TRP, …)</w:t>
            </w:r>
          </w:p>
        </w:tc>
        <w:tc>
          <w:tcPr>
            <w:tcW w:w="402" w:type="pct"/>
            <w:tcBorders>
              <w:top w:val="single" w:sz="4" w:space="0" w:color="auto"/>
              <w:left w:val="nil"/>
              <w:bottom w:val="single" w:sz="4" w:space="0" w:color="auto"/>
              <w:right w:val="single" w:sz="4" w:space="0" w:color="auto"/>
            </w:tcBorders>
            <w:shd w:val="clear" w:color="000000" w:fill="00B0F0"/>
            <w:vAlign w:val="center"/>
            <w:hideMark/>
          </w:tcPr>
          <w:p w14:paraId="7B95789D"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UE-specific or Cell-specific</w:t>
            </w:r>
          </w:p>
        </w:tc>
        <w:tc>
          <w:tcPr>
            <w:tcW w:w="334" w:type="pct"/>
            <w:tcBorders>
              <w:top w:val="single" w:sz="4" w:space="0" w:color="auto"/>
              <w:left w:val="nil"/>
              <w:bottom w:val="single" w:sz="4" w:space="0" w:color="auto"/>
              <w:right w:val="single" w:sz="4" w:space="0" w:color="auto"/>
            </w:tcBorders>
            <w:shd w:val="clear" w:color="000000" w:fill="00B0F0"/>
            <w:vAlign w:val="center"/>
            <w:hideMark/>
          </w:tcPr>
          <w:p w14:paraId="30411EA4"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Specification</w:t>
            </w:r>
          </w:p>
        </w:tc>
        <w:tc>
          <w:tcPr>
            <w:tcW w:w="1169" w:type="pct"/>
            <w:tcBorders>
              <w:top w:val="single" w:sz="4" w:space="0" w:color="auto"/>
              <w:left w:val="nil"/>
              <w:bottom w:val="single" w:sz="4" w:space="0" w:color="auto"/>
              <w:right w:val="single" w:sz="4" w:space="0" w:color="auto"/>
            </w:tcBorders>
            <w:shd w:val="clear" w:color="000000" w:fill="00B0F0"/>
            <w:vAlign w:val="center"/>
            <w:hideMark/>
          </w:tcPr>
          <w:p w14:paraId="4D4139F1" w14:textId="77777777"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sidRPr="0045656B">
              <w:rPr>
                <w:rFonts w:ascii="Arial" w:eastAsia="Times New Roman" w:hAnsi="Arial" w:cs="Arial"/>
                <w:b/>
                <w:bCs/>
                <w:color w:val="FFFFFF"/>
                <w:sz w:val="20"/>
                <w:szCs w:val="20"/>
              </w:rPr>
              <w:t>Comment</w:t>
            </w:r>
          </w:p>
        </w:tc>
        <w:tc>
          <w:tcPr>
            <w:tcW w:w="219" w:type="pct"/>
            <w:tcBorders>
              <w:top w:val="single" w:sz="4" w:space="0" w:color="auto"/>
              <w:left w:val="nil"/>
              <w:bottom w:val="single" w:sz="4" w:space="0" w:color="auto"/>
              <w:right w:val="single" w:sz="4" w:space="0" w:color="auto"/>
            </w:tcBorders>
            <w:shd w:val="clear" w:color="000000" w:fill="00B0F0"/>
            <w:vAlign w:val="center"/>
            <w:hideMark/>
          </w:tcPr>
          <w:p w14:paraId="5A58AD83" w14:textId="7813F990" w:rsidR="0045656B" w:rsidRPr="0045656B" w:rsidRDefault="0045656B" w:rsidP="0045656B">
            <w:pPr>
              <w:autoSpaceDE/>
              <w:autoSpaceDN/>
              <w:adjustRightInd/>
              <w:snapToGrid/>
              <w:spacing w:after="0"/>
              <w:jc w:val="left"/>
              <w:rPr>
                <w:rFonts w:ascii="Arial" w:eastAsia="Times New Roman" w:hAnsi="Arial" w:cs="Arial"/>
                <w:b/>
                <w:bCs/>
                <w:color w:val="FFFFFF"/>
                <w:sz w:val="20"/>
                <w:szCs w:val="20"/>
              </w:rPr>
            </w:pPr>
            <w:r>
              <w:rPr>
                <w:rFonts w:ascii="Arial" w:eastAsia="Times New Roman" w:hAnsi="Arial" w:cs="Arial"/>
                <w:b/>
                <w:bCs/>
                <w:color w:val="FFFFFF"/>
                <w:sz w:val="20"/>
                <w:szCs w:val="20"/>
              </w:rPr>
              <w:t>Status [108-e</w:t>
            </w:r>
            <w:r w:rsidRPr="0045656B">
              <w:rPr>
                <w:rFonts w:ascii="Arial" w:eastAsia="Times New Roman" w:hAnsi="Arial" w:cs="Arial"/>
                <w:b/>
                <w:bCs/>
                <w:color w:val="FFFFFF"/>
                <w:sz w:val="20"/>
                <w:szCs w:val="20"/>
              </w:rPr>
              <w:t>]</w:t>
            </w:r>
          </w:p>
        </w:tc>
      </w:tr>
      <w:tr w:rsidR="0045656B" w:rsidRPr="0045656B" w14:paraId="0939FF09" w14:textId="77777777" w:rsidTr="00B30263">
        <w:trPr>
          <w:trHeight w:val="72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4575EFC0"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harq-ProcessNumberSizeDCI-1-2-r17</w:t>
            </w:r>
          </w:p>
        </w:tc>
        <w:tc>
          <w:tcPr>
            <w:tcW w:w="256" w:type="pct"/>
            <w:tcBorders>
              <w:top w:val="nil"/>
              <w:left w:val="nil"/>
              <w:bottom w:val="single" w:sz="4" w:space="0" w:color="auto"/>
              <w:right w:val="single" w:sz="4" w:space="0" w:color="auto"/>
            </w:tcBorders>
            <w:shd w:val="clear" w:color="auto" w:fill="auto"/>
            <w:noWrap/>
            <w:vAlign w:val="center"/>
            <w:hideMark/>
          </w:tcPr>
          <w:p w14:paraId="587B6C98"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6E02E92D"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Configure the number of bits for the field "HARQ process number" in DCI format 1_2 (see TS 38.212 , clause 7.3.1).</w:t>
            </w:r>
          </w:p>
        </w:tc>
        <w:tc>
          <w:tcPr>
            <w:tcW w:w="493" w:type="pct"/>
            <w:tcBorders>
              <w:top w:val="nil"/>
              <w:left w:val="nil"/>
              <w:bottom w:val="single" w:sz="4" w:space="0" w:color="auto"/>
              <w:right w:val="single" w:sz="4" w:space="0" w:color="auto"/>
            </w:tcBorders>
            <w:shd w:val="clear" w:color="auto" w:fill="auto"/>
            <w:vAlign w:val="center"/>
            <w:hideMark/>
          </w:tcPr>
          <w:p w14:paraId="00B8605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 </w:t>
            </w:r>
            <w:r w:rsidRPr="0045656B">
              <w:rPr>
                <w:rFonts w:ascii="Arial" w:eastAsia="Times New Roman" w:hAnsi="Arial" w:cs="Arial"/>
                <w:sz w:val="18"/>
                <w:szCs w:val="18"/>
              </w:rPr>
              <w:br/>
              <w:t xml:space="preserve">0..5      </w:t>
            </w:r>
          </w:p>
        </w:tc>
        <w:tc>
          <w:tcPr>
            <w:tcW w:w="306" w:type="pct"/>
            <w:tcBorders>
              <w:top w:val="nil"/>
              <w:left w:val="nil"/>
              <w:bottom w:val="single" w:sz="4" w:space="0" w:color="auto"/>
              <w:right w:val="single" w:sz="4" w:space="0" w:color="auto"/>
            </w:tcBorders>
            <w:shd w:val="clear" w:color="auto" w:fill="auto"/>
            <w:noWrap/>
            <w:vAlign w:val="center"/>
            <w:hideMark/>
          </w:tcPr>
          <w:p w14:paraId="3C544F75"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0979064A"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02F2E81A"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3BBEEF28"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26E9B6D7"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6F181066" w14:textId="2F20EC43"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71FB9F1F" w14:textId="77777777" w:rsidTr="00B30263">
        <w:trPr>
          <w:trHeight w:val="72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10F9B7FE"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HARQ-ProcessNumberSizeDCI-0-2-r17</w:t>
            </w:r>
          </w:p>
        </w:tc>
        <w:tc>
          <w:tcPr>
            <w:tcW w:w="256" w:type="pct"/>
            <w:tcBorders>
              <w:top w:val="nil"/>
              <w:left w:val="nil"/>
              <w:bottom w:val="single" w:sz="4" w:space="0" w:color="auto"/>
              <w:right w:val="single" w:sz="4" w:space="0" w:color="auto"/>
            </w:tcBorders>
            <w:shd w:val="clear" w:color="auto" w:fill="auto"/>
            <w:noWrap/>
            <w:vAlign w:val="center"/>
            <w:hideMark/>
          </w:tcPr>
          <w:p w14:paraId="571435D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759258A2"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Configure the number of bits for the field "HARQ process number" in DCI format 0_2 (see TS 38.212 , clause 7.3.1).</w:t>
            </w:r>
          </w:p>
        </w:tc>
        <w:tc>
          <w:tcPr>
            <w:tcW w:w="493" w:type="pct"/>
            <w:tcBorders>
              <w:top w:val="nil"/>
              <w:left w:val="nil"/>
              <w:bottom w:val="single" w:sz="4" w:space="0" w:color="auto"/>
              <w:right w:val="single" w:sz="4" w:space="0" w:color="auto"/>
            </w:tcBorders>
            <w:shd w:val="clear" w:color="auto" w:fill="auto"/>
            <w:vAlign w:val="center"/>
            <w:hideMark/>
          </w:tcPr>
          <w:p w14:paraId="0A5F2D39"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 </w:t>
            </w:r>
            <w:r w:rsidRPr="0045656B">
              <w:rPr>
                <w:rFonts w:ascii="Arial" w:eastAsia="Times New Roman" w:hAnsi="Arial" w:cs="Arial"/>
                <w:sz w:val="18"/>
                <w:szCs w:val="18"/>
              </w:rPr>
              <w:br/>
              <w:t xml:space="preserve">0..5      </w:t>
            </w:r>
          </w:p>
        </w:tc>
        <w:tc>
          <w:tcPr>
            <w:tcW w:w="306" w:type="pct"/>
            <w:tcBorders>
              <w:top w:val="nil"/>
              <w:left w:val="nil"/>
              <w:bottom w:val="single" w:sz="4" w:space="0" w:color="auto"/>
              <w:right w:val="single" w:sz="4" w:space="0" w:color="auto"/>
            </w:tcBorders>
            <w:shd w:val="clear" w:color="auto" w:fill="auto"/>
            <w:noWrap/>
            <w:vAlign w:val="center"/>
            <w:hideMark/>
          </w:tcPr>
          <w:p w14:paraId="0056AC9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1828D2C3"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712A4081"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7CF98FE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vAlign w:val="center"/>
            <w:hideMark/>
          </w:tcPr>
          <w:p w14:paraId="0D116FE7"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 R17: For enhancement on the HARQ process indication, extend the HARQ process ID field up to 5 bits for DCI 0-2                        </w:t>
            </w:r>
          </w:p>
        </w:tc>
        <w:tc>
          <w:tcPr>
            <w:tcW w:w="219" w:type="pct"/>
            <w:tcBorders>
              <w:top w:val="nil"/>
              <w:left w:val="nil"/>
              <w:bottom w:val="single" w:sz="4" w:space="0" w:color="auto"/>
              <w:right w:val="single" w:sz="4" w:space="0" w:color="auto"/>
            </w:tcBorders>
            <w:shd w:val="clear" w:color="auto" w:fill="auto"/>
            <w:noWrap/>
            <w:vAlign w:val="bottom"/>
          </w:tcPr>
          <w:p w14:paraId="70FE9734" w14:textId="1D1485E2"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07580BEF" w14:textId="77777777" w:rsidTr="00B30263">
        <w:trPr>
          <w:trHeight w:val="72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5D146491"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HARQ-ProcessNumberSizeDCI-1-1-r17</w:t>
            </w:r>
          </w:p>
        </w:tc>
        <w:tc>
          <w:tcPr>
            <w:tcW w:w="256" w:type="pct"/>
            <w:tcBorders>
              <w:top w:val="nil"/>
              <w:left w:val="nil"/>
              <w:bottom w:val="single" w:sz="4" w:space="0" w:color="auto"/>
              <w:right w:val="single" w:sz="4" w:space="0" w:color="auto"/>
            </w:tcBorders>
            <w:shd w:val="clear" w:color="auto" w:fill="auto"/>
            <w:noWrap/>
            <w:vAlign w:val="center"/>
            <w:hideMark/>
          </w:tcPr>
          <w:p w14:paraId="7262F5B3"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New</w:t>
            </w:r>
          </w:p>
        </w:tc>
        <w:tc>
          <w:tcPr>
            <w:tcW w:w="887" w:type="pct"/>
            <w:tcBorders>
              <w:top w:val="nil"/>
              <w:left w:val="nil"/>
              <w:bottom w:val="single" w:sz="4" w:space="0" w:color="auto"/>
              <w:right w:val="single" w:sz="4" w:space="0" w:color="auto"/>
            </w:tcBorders>
            <w:shd w:val="clear" w:color="auto" w:fill="auto"/>
            <w:vAlign w:val="center"/>
            <w:hideMark/>
          </w:tcPr>
          <w:p w14:paraId="0A0B5D6D"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Configure the number of bits for the field "HARQ process number" in DCI format 1_1</w:t>
            </w:r>
          </w:p>
        </w:tc>
        <w:tc>
          <w:tcPr>
            <w:tcW w:w="493" w:type="pct"/>
            <w:tcBorders>
              <w:top w:val="nil"/>
              <w:left w:val="nil"/>
              <w:bottom w:val="single" w:sz="4" w:space="0" w:color="auto"/>
              <w:right w:val="single" w:sz="4" w:space="0" w:color="auto"/>
            </w:tcBorders>
            <w:shd w:val="clear" w:color="auto" w:fill="auto"/>
            <w:vAlign w:val="center"/>
            <w:hideMark/>
          </w:tcPr>
          <w:p w14:paraId="710BC99B"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xml:space="preserve"> </w:t>
            </w:r>
            <w:r w:rsidRPr="0045656B">
              <w:rPr>
                <w:rFonts w:ascii="Arial" w:eastAsia="Times New Roman" w:hAnsi="Arial" w:cs="Arial"/>
                <w:sz w:val="18"/>
                <w:szCs w:val="18"/>
              </w:rPr>
              <w:br/>
              <w:t>5</w:t>
            </w:r>
          </w:p>
        </w:tc>
        <w:tc>
          <w:tcPr>
            <w:tcW w:w="306" w:type="pct"/>
            <w:tcBorders>
              <w:top w:val="nil"/>
              <w:left w:val="nil"/>
              <w:bottom w:val="single" w:sz="4" w:space="0" w:color="auto"/>
              <w:right w:val="single" w:sz="4" w:space="0" w:color="auto"/>
            </w:tcBorders>
            <w:shd w:val="clear" w:color="auto" w:fill="auto"/>
            <w:noWrap/>
            <w:vAlign w:val="center"/>
            <w:hideMark/>
          </w:tcPr>
          <w:p w14:paraId="6C42233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404CC739"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5C83A701"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41AAAE46"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4BEC9642"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4E4D5238" w14:textId="3760FAC8"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0FD0EF22" w14:textId="77777777" w:rsidTr="00B30263">
        <w:trPr>
          <w:trHeight w:val="48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57CE7E47"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lastRenderedPageBreak/>
              <w:t>HARQ-ProcessNumberSizeDCI-0-1-r17</w:t>
            </w:r>
          </w:p>
        </w:tc>
        <w:tc>
          <w:tcPr>
            <w:tcW w:w="256" w:type="pct"/>
            <w:tcBorders>
              <w:top w:val="nil"/>
              <w:left w:val="nil"/>
              <w:bottom w:val="single" w:sz="4" w:space="0" w:color="auto"/>
              <w:right w:val="single" w:sz="4" w:space="0" w:color="auto"/>
            </w:tcBorders>
            <w:shd w:val="clear" w:color="auto" w:fill="auto"/>
            <w:noWrap/>
            <w:vAlign w:val="center"/>
            <w:hideMark/>
          </w:tcPr>
          <w:p w14:paraId="27CF5B5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New</w:t>
            </w:r>
          </w:p>
        </w:tc>
        <w:tc>
          <w:tcPr>
            <w:tcW w:w="887" w:type="pct"/>
            <w:tcBorders>
              <w:top w:val="nil"/>
              <w:left w:val="nil"/>
              <w:bottom w:val="single" w:sz="4" w:space="0" w:color="auto"/>
              <w:right w:val="single" w:sz="4" w:space="0" w:color="auto"/>
            </w:tcBorders>
            <w:shd w:val="clear" w:color="auto" w:fill="auto"/>
            <w:vAlign w:val="center"/>
            <w:hideMark/>
          </w:tcPr>
          <w:p w14:paraId="5B47F684"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Configure the number of bits for the field "HARQ process number" in DCI format 0_1</w:t>
            </w:r>
          </w:p>
        </w:tc>
        <w:tc>
          <w:tcPr>
            <w:tcW w:w="493" w:type="pct"/>
            <w:tcBorders>
              <w:top w:val="nil"/>
              <w:left w:val="nil"/>
              <w:bottom w:val="single" w:sz="4" w:space="0" w:color="auto"/>
              <w:right w:val="single" w:sz="4" w:space="0" w:color="auto"/>
            </w:tcBorders>
            <w:shd w:val="clear" w:color="auto" w:fill="auto"/>
            <w:vAlign w:val="center"/>
            <w:hideMark/>
          </w:tcPr>
          <w:p w14:paraId="72C91DD6"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5</w:t>
            </w:r>
          </w:p>
        </w:tc>
        <w:tc>
          <w:tcPr>
            <w:tcW w:w="306" w:type="pct"/>
            <w:tcBorders>
              <w:top w:val="nil"/>
              <w:left w:val="nil"/>
              <w:bottom w:val="single" w:sz="4" w:space="0" w:color="auto"/>
              <w:right w:val="single" w:sz="4" w:space="0" w:color="auto"/>
            </w:tcBorders>
            <w:shd w:val="clear" w:color="auto" w:fill="auto"/>
            <w:noWrap/>
            <w:vAlign w:val="center"/>
            <w:hideMark/>
          </w:tcPr>
          <w:p w14:paraId="288A8C8F"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663F207D"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1ECE53BF"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6C6F9549"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0FBEF5A1"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2BE1C861" w14:textId="1E818FAB"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4E855312" w14:textId="77777777" w:rsidTr="00B30263">
        <w:trPr>
          <w:trHeight w:val="96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5D72A02D"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nrofHARQ-ProcessesForPDSCH-r17</w:t>
            </w:r>
          </w:p>
        </w:tc>
        <w:tc>
          <w:tcPr>
            <w:tcW w:w="256" w:type="pct"/>
            <w:tcBorders>
              <w:top w:val="nil"/>
              <w:left w:val="nil"/>
              <w:bottom w:val="single" w:sz="4" w:space="0" w:color="auto"/>
              <w:right w:val="single" w:sz="4" w:space="0" w:color="auto"/>
            </w:tcBorders>
            <w:shd w:val="clear" w:color="auto" w:fill="auto"/>
            <w:noWrap/>
            <w:vAlign w:val="center"/>
            <w:hideMark/>
          </w:tcPr>
          <w:p w14:paraId="1177BA5D"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49999964"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number of HARQ processes to be used on the PDSCH of a serving cell. Value n2 corresponds to 2 HARQ processes, value n4 to 4 HARQ processes, and so on. If the field is absent, the UE uses 8 HARQ processes (see TS 38.214 , clause 5.1).</w:t>
            </w:r>
          </w:p>
        </w:tc>
        <w:tc>
          <w:tcPr>
            <w:tcW w:w="493" w:type="pct"/>
            <w:tcBorders>
              <w:top w:val="nil"/>
              <w:left w:val="nil"/>
              <w:bottom w:val="single" w:sz="4" w:space="0" w:color="auto"/>
              <w:right w:val="single" w:sz="4" w:space="0" w:color="auto"/>
            </w:tcBorders>
            <w:shd w:val="clear" w:color="auto" w:fill="auto"/>
            <w:vAlign w:val="bottom"/>
            <w:hideMark/>
          </w:tcPr>
          <w:p w14:paraId="249E6A6B"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xml:space="preserve">{n2, n4, n6, n10, n12, n16, n32} </w:t>
            </w:r>
          </w:p>
        </w:tc>
        <w:tc>
          <w:tcPr>
            <w:tcW w:w="306" w:type="pct"/>
            <w:tcBorders>
              <w:top w:val="nil"/>
              <w:left w:val="nil"/>
              <w:bottom w:val="single" w:sz="4" w:space="0" w:color="auto"/>
              <w:right w:val="single" w:sz="4" w:space="0" w:color="auto"/>
            </w:tcBorders>
            <w:shd w:val="clear" w:color="auto" w:fill="auto"/>
            <w:noWrap/>
            <w:vAlign w:val="center"/>
            <w:hideMark/>
          </w:tcPr>
          <w:p w14:paraId="6C656395"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08AA4DBC"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0874C97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03628FFD"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773A8CA3"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maximal supported HARQ process number is up to 32.</w:t>
            </w:r>
          </w:p>
        </w:tc>
        <w:tc>
          <w:tcPr>
            <w:tcW w:w="219" w:type="pct"/>
            <w:tcBorders>
              <w:top w:val="nil"/>
              <w:left w:val="nil"/>
              <w:bottom w:val="single" w:sz="4" w:space="0" w:color="auto"/>
              <w:right w:val="single" w:sz="4" w:space="0" w:color="auto"/>
            </w:tcBorders>
            <w:shd w:val="clear" w:color="auto" w:fill="auto"/>
            <w:noWrap/>
            <w:vAlign w:val="bottom"/>
          </w:tcPr>
          <w:p w14:paraId="1C323E1B" w14:textId="6B7151C2"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48EED6AF" w14:textId="77777777" w:rsidTr="00B30263">
        <w:trPr>
          <w:trHeight w:val="96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6BD0BB6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nrofHARQ-ProcessesForPUSCH-r17</w:t>
            </w:r>
          </w:p>
        </w:tc>
        <w:tc>
          <w:tcPr>
            <w:tcW w:w="256" w:type="pct"/>
            <w:tcBorders>
              <w:top w:val="nil"/>
              <w:left w:val="nil"/>
              <w:bottom w:val="single" w:sz="4" w:space="0" w:color="auto"/>
              <w:right w:val="single" w:sz="4" w:space="0" w:color="auto"/>
            </w:tcBorders>
            <w:shd w:val="clear" w:color="auto" w:fill="auto"/>
            <w:noWrap/>
            <w:vAlign w:val="center"/>
            <w:hideMark/>
          </w:tcPr>
          <w:p w14:paraId="41B1F413"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New</w:t>
            </w:r>
          </w:p>
        </w:tc>
        <w:tc>
          <w:tcPr>
            <w:tcW w:w="887" w:type="pct"/>
            <w:tcBorders>
              <w:top w:val="nil"/>
              <w:left w:val="nil"/>
              <w:bottom w:val="single" w:sz="4" w:space="0" w:color="auto"/>
              <w:right w:val="single" w:sz="4" w:space="0" w:color="auto"/>
            </w:tcBorders>
            <w:shd w:val="clear" w:color="auto" w:fill="auto"/>
            <w:vAlign w:val="center"/>
            <w:hideMark/>
          </w:tcPr>
          <w:p w14:paraId="433FEA10"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number of HARQ processes to be used on the PUSCH of a serving cell. Value n16 corresponds to 16 HARQ processes, value n32 to 32 HARQ processes. If the field is absent, the UE uses 16 UL HARQ processes (see TS 38.214 , clause X.Y).</w:t>
            </w:r>
          </w:p>
        </w:tc>
        <w:tc>
          <w:tcPr>
            <w:tcW w:w="493" w:type="pct"/>
            <w:tcBorders>
              <w:top w:val="nil"/>
              <w:left w:val="nil"/>
              <w:bottom w:val="single" w:sz="4" w:space="0" w:color="auto"/>
              <w:right w:val="single" w:sz="4" w:space="0" w:color="auto"/>
            </w:tcBorders>
            <w:shd w:val="clear" w:color="auto" w:fill="auto"/>
            <w:noWrap/>
            <w:vAlign w:val="bottom"/>
            <w:hideMark/>
          </w:tcPr>
          <w:p w14:paraId="0603364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xml:space="preserve">{ n16, n32} </w:t>
            </w:r>
          </w:p>
        </w:tc>
        <w:tc>
          <w:tcPr>
            <w:tcW w:w="306" w:type="pct"/>
            <w:tcBorders>
              <w:top w:val="nil"/>
              <w:left w:val="nil"/>
              <w:bottom w:val="single" w:sz="4" w:space="0" w:color="auto"/>
              <w:right w:val="single" w:sz="4" w:space="0" w:color="auto"/>
            </w:tcBorders>
            <w:shd w:val="clear" w:color="auto" w:fill="auto"/>
            <w:noWrap/>
            <w:vAlign w:val="center"/>
            <w:hideMark/>
          </w:tcPr>
          <w:p w14:paraId="444588FF"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3AA5849D"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7ADD5D0A"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194738F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5C60A6E8"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maximal supported HARQ process number is up to 32.</w:t>
            </w:r>
          </w:p>
        </w:tc>
        <w:tc>
          <w:tcPr>
            <w:tcW w:w="219" w:type="pct"/>
            <w:tcBorders>
              <w:top w:val="nil"/>
              <w:left w:val="nil"/>
              <w:bottom w:val="single" w:sz="4" w:space="0" w:color="auto"/>
              <w:right w:val="single" w:sz="4" w:space="0" w:color="auto"/>
            </w:tcBorders>
            <w:shd w:val="clear" w:color="auto" w:fill="auto"/>
            <w:noWrap/>
            <w:vAlign w:val="bottom"/>
          </w:tcPr>
          <w:p w14:paraId="02EFE9F4" w14:textId="755A79FB"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1A5A2873" w14:textId="77777777" w:rsidTr="00B30263">
        <w:trPr>
          <w:trHeight w:val="48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0DAED564"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nrofHARQ-Processes-r17</w:t>
            </w:r>
          </w:p>
        </w:tc>
        <w:tc>
          <w:tcPr>
            <w:tcW w:w="256" w:type="pct"/>
            <w:tcBorders>
              <w:top w:val="nil"/>
              <w:left w:val="nil"/>
              <w:bottom w:val="single" w:sz="4" w:space="0" w:color="auto"/>
              <w:right w:val="single" w:sz="4" w:space="0" w:color="auto"/>
            </w:tcBorders>
            <w:shd w:val="clear" w:color="auto" w:fill="auto"/>
            <w:noWrap/>
            <w:vAlign w:val="center"/>
            <w:hideMark/>
          </w:tcPr>
          <w:p w14:paraId="073D115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2DCDB9DA"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The number of HARQ processes configured for UL configured grant. It applies for both Type 1 and Type 2. See TS 38.321 , clause 5.4.1</w:t>
            </w:r>
          </w:p>
        </w:tc>
        <w:tc>
          <w:tcPr>
            <w:tcW w:w="493" w:type="pct"/>
            <w:tcBorders>
              <w:top w:val="nil"/>
              <w:left w:val="nil"/>
              <w:bottom w:val="single" w:sz="4" w:space="0" w:color="auto"/>
              <w:right w:val="single" w:sz="4" w:space="0" w:color="auto"/>
            </w:tcBorders>
            <w:shd w:val="clear" w:color="auto" w:fill="auto"/>
            <w:noWrap/>
            <w:vAlign w:val="center"/>
            <w:hideMark/>
          </w:tcPr>
          <w:p w14:paraId="485FB10B"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1..32</w:t>
            </w:r>
          </w:p>
        </w:tc>
        <w:tc>
          <w:tcPr>
            <w:tcW w:w="306" w:type="pct"/>
            <w:tcBorders>
              <w:top w:val="nil"/>
              <w:left w:val="nil"/>
              <w:bottom w:val="single" w:sz="4" w:space="0" w:color="auto"/>
              <w:right w:val="single" w:sz="4" w:space="0" w:color="auto"/>
            </w:tcBorders>
            <w:shd w:val="clear" w:color="auto" w:fill="auto"/>
            <w:noWrap/>
            <w:vAlign w:val="center"/>
            <w:hideMark/>
          </w:tcPr>
          <w:p w14:paraId="1A17CC77"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1E0BA01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3F084D72"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3C8FDAC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75C86E90"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25467097" w14:textId="2B0691CA"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3922B9B7" w14:textId="77777777" w:rsidTr="00B30263">
        <w:trPr>
          <w:trHeight w:val="48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14:paraId="0FCE8438"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nrofHARQ-Processes-r17</w:t>
            </w:r>
          </w:p>
        </w:tc>
        <w:tc>
          <w:tcPr>
            <w:tcW w:w="256" w:type="pct"/>
            <w:tcBorders>
              <w:top w:val="nil"/>
              <w:left w:val="nil"/>
              <w:bottom w:val="single" w:sz="4" w:space="0" w:color="auto"/>
              <w:right w:val="single" w:sz="4" w:space="0" w:color="auto"/>
            </w:tcBorders>
            <w:shd w:val="clear" w:color="auto" w:fill="auto"/>
            <w:noWrap/>
            <w:vAlign w:val="center"/>
            <w:hideMark/>
          </w:tcPr>
          <w:p w14:paraId="00B313EA"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extension of R16</w:t>
            </w:r>
          </w:p>
        </w:tc>
        <w:tc>
          <w:tcPr>
            <w:tcW w:w="887" w:type="pct"/>
            <w:tcBorders>
              <w:top w:val="nil"/>
              <w:left w:val="nil"/>
              <w:bottom w:val="single" w:sz="4" w:space="0" w:color="auto"/>
              <w:right w:val="single" w:sz="4" w:space="0" w:color="auto"/>
            </w:tcBorders>
            <w:shd w:val="clear" w:color="auto" w:fill="auto"/>
            <w:vAlign w:val="center"/>
            <w:hideMark/>
          </w:tcPr>
          <w:p w14:paraId="03858AF4"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Number of configured HARQ processes for SPS DL. see TS 38.321, clause 5.8.1</w:t>
            </w:r>
          </w:p>
        </w:tc>
        <w:tc>
          <w:tcPr>
            <w:tcW w:w="493" w:type="pct"/>
            <w:tcBorders>
              <w:top w:val="nil"/>
              <w:left w:val="nil"/>
              <w:bottom w:val="single" w:sz="4" w:space="0" w:color="auto"/>
              <w:right w:val="single" w:sz="4" w:space="0" w:color="auto"/>
            </w:tcBorders>
            <w:shd w:val="clear" w:color="auto" w:fill="auto"/>
            <w:noWrap/>
            <w:vAlign w:val="center"/>
            <w:hideMark/>
          </w:tcPr>
          <w:p w14:paraId="35306837"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1..32</w:t>
            </w:r>
          </w:p>
        </w:tc>
        <w:tc>
          <w:tcPr>
            <w:tcW w:w="306" w:type="pct"/>
            <w:tcBorders>
              <w:top w:val="nil"/>
              <w:left w:val="nil"/>
              <w:bottom w:val="single" w:sz="4" w:space="0" w:color="auto"/>
              <w:right w:val="single" w:sz="4" w:space="0" w:color="auto"/>
            </w:tcBorders>
            <w:shd w:val="clear" w:color="auto" w:fill="auto"/>
            <w:noWrap/>
            <w:vAlign w:val="center"/>
            <w:hideMark/>
          </w:tcPr>
          <w:p w14:paraId="1D1ADAF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noWrap/>
            <w:vAlign w:val="center"/>
            <w:hideMark/>
          </w:tcPr>
          <w:p w14:paraId="2A4E755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noWrap/>
            <w:vAlign w:val="center"/>
            <w:hideMark/>
          </w:tcPr>
          <w:p w14:paraId="1EF96FD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noWrap/>
            <w:vAlign w:val="center"/>
            <w:hideMark/>
          </w:tcPr>
          <w:p w14:paraId="62454D85"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noWrap/>
            <w:vAlign w:val="center"/>
            <w:hideMark/>
          </w:tcPr>
          <w:p w14:paraId="17BBD829"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1C606581" w14:textId="3613B2BF"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05F1A16F" w14:textId="77777777" w:rsidTr="00B30263">
        <w:trPr>
          <w:trHeight w:val="1440"/>
        </w:trPr>
        <w:tc>
          <w:tcPr>
            <w:tcW w:w="628" w:type="pct"/>
            <w:tcBorders>
              <w:top w:val="nil"/>
              <w:left w:val="single" w:sz="4" w:space="0" w:color="auto"/>
              <w:bottom w:val="single" w:sz="4" w:space="0" w:color="auto"/>
              <w:right w:val="single" w:sz="4" w:space="0" w:color="auto"/>
            </w:tcBorders>
            <w:shd w:val="clear" w:color="auto" w:fill="auto"/>
            <w:vAlign w:val="center"/>
            <w:hideMark/>
          </w:tcPr>
          <w:p w14:paraId="043B6FA2"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lastRenderedPageBreak/>
              <w:t>HARQ-feedbackEnablingforSPSactive-r17</w:t>
            </w:r>
          </w:p>
        </w:tc>
        <w:tc>
          <w:tcPr>
            <w:tcW w:w="256" w:type="pct"/>
            <w:tcBorders>
              <w:top w:val="nil"/>
              <w:left w:val="nil"/>
              <w:bottom w:val="single" w:sz="4" w:space="0" w:color="auto"/>
              <w:right w:val="single" w:sz="4" w:space="0" w:color="auto"/>
            </w:tcBorders>
            <w:shd w:val="clear" w:color="auto" w:fill="auto"/>
            <w:vAlign w:val="center"/>
            <w:hideMark/>
          </w:tcPr>
          <w:p w14:paraId="77365EA2"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New</w:t>
            </w:r>
          </w:p>
        </w:tc>
        <w:tc>
          <w:tcPr>
            <w:tcW w:w="887" w:type="pct"/>
            <w:tcBorders>
              <w:top w:val="nil"/>
              <w:left w:val="nil"/>
              <w:bottom w:val="single" w:sz="4" w:space="0" w:color="auto"/>
              <w:right w:val="single" w:sz="4" w:space="0" w:color="auto"/>
            </w:tcBorders>
            <w:shd w:val="clear" w:color="auto" w:fill="auto"/>
            <w:vAlign w:val="center"/>
            <w:hideMark/>
          </w:tcPr>
          <w:p w14:paraId="5DC3D4A5"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If enabled, UE reports ACK/NACK for the first SPS PDSCH after activation, regardless of if HARQ feedback is enabled or disabled corresponding to the first SPS PDSCH after activation</w:t>
            </w:r>
            <w:r w:rsidRPr="0045656B">
              <w:rPr>
                <w:rFonts w:ascii="Arial" w:eastAsia="Times New Roman" w:hAnsi="Arial" w:cs="Arial"/>
                <w:sz w:val="18"/>
                <w:szCs w:val="18"/>
              </w:rPr>
              <w:br/>
              <w:t>Otherwise, UE follows configuration of HARQ feedback enabled/disabled corresponding to the first SPS PDSCH after activation</w:t>
            </w:r>
          </w:p>
        </w:tc>
        <w:tc>
          <w:tcPr>
            <w:tcW w:w="493" w:type="pct"/>
            <w:tcBorders>
              <w:top w:val="nil"/>
              <w:left w:val="nil"/>
              <w:bottom w:val="single" w:sz="4" w:space="0" w:color="auto"/>
              <w:right w:val="single" w:sz="4" w:space="0" w:color="auto"/>
            </w:tcBorders>
            <w:shd w:val="clear" w:color="auto" w:fill="auto"/>
            <w:vAlign w:val="center"/>
            <w:hideMark/>
          </w:tcPr>
          <w:p w14:paraId="3CC19D07"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BOOLEAN</w:t>
            </w:r>
          </w:p>
        </w:tc>
        <w:tc>
          <w:tcPr>
            <w:tcW w:w="306" w:type="pct"/>
            <w:tcBorders>
              <w:top w:val="nil"/>
              <w:left w:val="nil"/>
              <w:bottom w:val="single" w:sz="4" w:space="0" w:color="auto"/>
              <w:right w:val="single" w:sz="4" w:space="0" w:color="auto"/>
            </w:tcBorders>
            <w:shd w:val="clear" w:color="auto" w:fill="auto"/>
            <w:vAlign w:val="center"/>
            <w:hideMark/>
          </w:tcPr>
          <w:p w14:paraId="6AB1DC46"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vAlign w:val="center"/>
            <w:hideMark/>
          </w:tcPr>
          <w:p w14:paraId="445C554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vAlign w:val="center"/>
            <w:hideMark/>
          </w:tcPr>
          <w:p w14:paraId="253F60B4"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vAlign w:val="center"/>
            <w:hideMark/>
          </w:tcPr>
          <w:p w14:paraId="0B6D94D0"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vAlign w:val="center"/>
            <w:hideMark/>
          </w:tcPr>
          <w:p w14:paraId="05F2A49E"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tcPr>
          <w:p w14:paraId="48A1E597" w14:textId="2CBD245A" w:rsidR="0045656B" w:rsidRPr="0045656B" w:rsidRDefault="0045656B" w:rsidP="0045656B">
            <w:pPr>
              <w:autoSpaceDE/>
              <w:autoSpaceDN/>
              <w:adjustRightInd/>
              <w:snapToGrid/>
              <w:spacing w:after="0"/>
              <w:jc w:val="left"/>
              <w:rPr>
                <w:rFonts w:ascii="Calibri" w:eastAsia="Times New Roman" w:hAnsi="Calibri" w:cs="Calibri"/>
                <w:color w:val="00B050"/>
              </w:rPr>
            </w:pPr>
          </w:p>
        </w:tc>
      </w:tr>
      <w:tr w:rsidR="0045656B" w:rsidRPr="0045656B" w14:paraId="404A78D2" w14:textId="77777777" w:rsidTr="0045656B">
        <w:trPr>
          <w:trHeight w:val="2700"/>
        </w:trPr>
        <w:tc>
          <w:tcPr>
            <w:tcW w:w="628" w:type="pct"/>
            <w:tcBorders>
              <w:top w:val="nil"/>
              <w:left w:val="single" w:sz="4" w:space="0" w:color="auto"/>
              <w:bottom w:val="single" w:sz="4" w:space="0" w:color="auto"/>
              <w:right w:val="single" w:sz="4" w:space="0" w:color="auto"/>
            </w:tcBorders>
            <w:shd w:val="clear" w:color="auto" w:fill="auto"/>
            <w:vAlign w:val="center"/>
            <w:hideMark/>
          </w:tcPr>
          <w:p w14:paraId="21CACF0E"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HARQ-feedbackEnabling-disablingperHARQprocess-r17</w:t>
            </w:r>
          </w:p>
        </w:tc>
        <w:tc>
          <w:tcPr>
            <w:tcW w:w="256" w:type="pct"/>
            <w:tcBorders>
              <w:top w:val="nil"/>
              <w:left w:val="nil"/>
              <w:bottom w:val="single" w:sz="4" w:space="0" w:color="auto"/>
              <w:right w:val="single" w:sz="4" w:space="0" w:color="auto"/>
            </w:tcBorders>
            <w:shd w:val="clear" w:color="auto" w:fill="auto"/>
            <w:vAlign w:val="center"/>
            <w:hideMark/>
          </w:tcPr>
          <w:p w14:paraId="7C761A9C"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New</w:t>
            </w:r>
          </w:p>
        </w:tc>
        <w:tc>
          <w:tcPr>
            <w:tcW w:w="887" w:type="pct"/>
            <w:tcBorders>
              <w:top w:val="nil"/>
              <w:left w:val="nil"/>
              <w:bottom w:val="single" w:sz="4" w:space="0" w:color="auto"/>
              <w:right w:val="single" w:sz="4" w:space="0" w:color="auto"/>
            </w:tcBorders>
            <w:shd w:val="clear" w:color="auto" w:fill="auto"/>
            <w:vAlign w:val="center"/>
            <w:hideMark/>
          </w:tcPr>
          <w:p w14:paraId="29E2D78B"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To enble/disable the HARQ-feedback per HARQ process</w:t>
            </w:r>
          </w:p>
        </w:tc>
        <w:tc>
          <w:tcPr>
            <w:tcW w:w="493" w:type="pct"/>
            <w:tcBorders>
              <w:top w:val="nil"/>
              <w:left w:val="nil"/>
              <w:bottom w:val="single" w:sz="4" w:space="0" w:color="auto"/>
              <w:right w:val="single" w:sz="4" w:space="0" w:color="auto"/>
            </w:tcBorders>
            <w:shd w:val="clear" w:color="auto" w:fill="auto"/>
            <w:vAlign w:val="center"/>
            <w:hideMark/>
          </w:tcPr>
          <w:p w14:paraId="7E73B27A"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Bitmap with corresponding length determined by max(nrofHARQ-ProcessesForPDSCH-r17, nrofHARQ-Processes-r17)</w:t>
            </w:r>
          </w:p>
        </w:tc>
        <w:tc>
          <w:tcPr>
            <w:tcW w:w="306" w:type="pct"/>
            <w:tcBorders>
              <w:top w:val="nil"/>
              <w:left w:val="nil"/>
              <w:bottom w:val="single" w:sz="4" w:space="0" w:color="auto"/>
              <w:right w:val="single" w:sz="4" w:space="0" w:color="auto"/>
            </w:tcBorders>
            <w:shd w:val="clear" w:color="auto" w:fill="auto"/>
            <w:vAlign w:val="center"/>
            <w:hideMark/>
          </w:tcPr>
          <w:p w14:paraId="3793015C"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 </w:t>
            </w:r>
          </w:p>
        </w:tc>
        <w:tc>
          <w:tcPr>
            <w:tcW w:w="306" w:type="pct"/>
            <w:tcBorders>
              <w:top w:val="nil"/>
              <w:left w:val="nil"/>
              <w:bottom w:val="single" w:sz="4" w:space="0" w:color="auto"/>
              <w:right w:val="single" w:sz="4" w:space="0" w:color="auto"/>
            </w:tcBorders>
            <w:shd w:val="clear" w:color="auto" w:fill="auto"/>
            <w:vAlign w:val="center"/>
            <w:hideMark/>
          </w:tcPr>
          <w:p w14:paraId="1DA7F6D3"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BWP</w:t>
            </w:r>
          </w:p>
        </w:tc>
        <w:tc>
          <w:tcPr>
            <w:tcW w:w="402" w:type="pct"/>
            <w:tcBorders>
              <w:top w:val="nil"/>
              <w:left w:val="nil"/>
              <w:bottom w:val="single" w:sz="4" w:space="0" w:color="auto"/>
              <w:right w:val="single" w:sz="4" w:space="0" w:color="auto"/>
            </w:tcBorders>
            <w:shd w:val="clear" w:color="auto" w:fill="auto"/>
            <w:vAlign w:val="center"/>
            <w:hideMark/>
          </w:tcPr>
          <w:p w14:paraId="4FB4AC4E"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UE-specific</w:t>
            </w:r>
          </w:p>
        </w:tc>
        <w:tc>
          <w:tcPr>
            <w:tcW w:w="334" w:type="pct"/>
            <w:tcBorders>
              <w:top w:val="nil"/>
              <w:left w:val="nil"/>
              <w:bottom w:val="single" w:sz="4" w:space="0" w:color="auto"/>
              <w:right w:val="single" w:sz="4" w:space="0" w:color="auto"/>
            </w:tcBorders>
            <w:shd w:val="clear" w:color="auto" w:fill="auto"/>
            <w:vAlign w:val="center"/>
            <w:hideMark/>
          </w:tcPr>
          <w:p w14:paraId="61431A41" w14:textId="77777777" w:rsidR="0045656B" w:rsidRPr="0045656B" w:rsidRDefault="0045656B" w:rsidP="0045656B">
            <w:pPr>
              <w:autoSpaceDE/>
              <w:autoSpaceDN/>
              <w:adjustRightInd/>
              <w:snapToGrid/>
              <w:spacing w:after="0"/>
              <w:jc w:val="left"/>
              <w:rPr>
                <w:rFonts w:eastAsia="Times New Roman"/>
              </w:rPr>
            </w:pPr>
            <w:r w:rsidRPr="0045656B">
              <w:rPr>
                <w:rFonts w:eastAsia="Times New Roman"/>
              </w:rPr>
              <w:t>38.331</w:t>
            </w:r>
          </w:p>
        </w:tc>
        <w:tc>
          <w:tcPr>
            <w:tcW w:w="1169" w:type="pct"/>
            <w:tcBorders>
              <w:top w:val="nil"/>
              <w:left w:val="nil"/>
              <w:bottom w:val="single" w:sz="4" w:space="0" w:color="auto"/>
              <w:right w:val="single" w:sz="4" w:space="0" w:color="auto"/>
            </w:tcBorders>
            <w:shd w:val="clear" w:color="auto" w:fill="auto"/>
            <w:vAlign w:val="center"/>
            <w:hideMark/>
          </w:tcPr>
          <w:p w14:paraId="66531B5C" w14:textId="77777777" w:rsidR="0045656B" w:rsidRPr="0045656B" w:rsidRDefault="0045656B" w:rsidP="0045656B">
            <w:pPr>
              <w:autoSpaceDE/>
              <w:autoSpaceDN/>
              <w:adjustRightInd/>
              <w:snapToGrid/>
              <w:spacing w:after="0"/>
              <w:jc w:val="left"/>
              <w:rPr>
                <w:rFonts w:ascii="Arial" w:eastAsia="Times New Roman" w:hAnsi="Arial" w:cs="Arial"/>
                <w:sz w:val="18"/>
                <w:szCs w:val="18"/>
              </w:rPr>
            </w:pPr>
            <w:r w:rsidRPr="0045656B">
              <w:rPr>
                <w:rFonts w:ascii="Arial" w:eastAsia="Times New Roman" w:hAnsi="Arial" w:cs="Arial"/>
                <w:sz w:val="18"/>
                <w:szCs w:val="18"/>
              </w:rPr>
              <w:t> </w:t>
            </w:r>
          </w:p>
        </w:tc>
        <w:tc>
          <w:tcPr>
            <w:tcW w:w="219" w:type="pct"/>
            <w:tcBorders>
              <w:top w:val="nil"/>
              <w:left w:val="nil"/>
              <w:bottom w:val="single" w:sz="4" w:space="0" w:color="auto"/>
              <w:right w:val="single" w:sz="4" w:space="0" w:color="auto"/>
            </w:tcBorders>
            <w:shd w:val="clear" w:color="auto" w:fill="auto"/>
            <w:noWrap/>
            <w:vAlign w:val="bottom"/>
            <w:hideMark/>
          </w:tcPr>
          <w:p w14:paraId="1D4D79E8" w14:textId="77777777" w:rsidR="0045656B" w:rsidRPr="0045656B" w:rsidRDefault="0045656B" w:rsidP="0045656B">
            <w:pPr>
              <w:autoSpaceDE/>
              <w:autoSpaceDN/>
              <w:adjustRightInd/>
              <w:snapToGrid/>
              <w:spacing w:after="0"/>
              <w:jc w:val="left"/>
              <w:rPr>
                <w:rFonts w:ascii="Calibri" w:eastAsia="Times New Roman" w:hAnsi="Calibri" w:cs="Calibri"/>
                <w:color w:val="00B050"/>
              </w:rPr>
            </w:pPr>
            <w:r w:rsidRPr="0045656B">
              <w:rPr>
                <w:rFonts w:ascii="Calibri" w:eastAsia="Times New Roman" w:hAnsi="Calibri" w:cs="Calibri"/>
                <w:color w:val="00B050"/>
              </w:rPr>
              <w:t> </w:t>
            </w:r>
          </w:p>
        </w:tc>
      </w:tr>
    </w:tbl>
    <w:p w14:paraId="24C754FF" w14:textId="77777777" w:rsidR="0045656B" w:rsidRPr="00E61DEB" w:rsidRDefault="0045656B" w:rsidP="003B5392"/>
    <w:p w14:paraId="06BC5A0A" w14:textId="77777777" w:rsidR="007D253F" w:rsidRPr="00E61DEB" w:rsidRDefault="007D253F" w:rsidP="007D253F"/>
    <w:p w14:paraId="06BC5A0B" w14:textId="0AE082F3" w:rsidR="00DD15F7" w:rsidRPr="00EC07FE" w:rsidRDefault="00EC07FE" w:rsidP="00EC07FE">
      <w:pPr>
        <w:pStyle w:val="2"/>
        <w:rPr>
          <w:sz w:val="22"/>
        </w:rPr>
      </w:pPr>
      <w:r w:rsidRPr="00EC07FE">
        <w:rPr>
          <w:sz w:val="22"/>
        </w:rPr>
        <w:t>Company views’ collection for 1st round</w:t>
      </w:r>
    </w:p>
    <w:p w14:paraId="06BC5A0C" w14:textId="53C033A3" w:rsidR="003B5392" w:rsidRPr="00E61DEB" w:rsidRDefault="004F66CC" w:rsidP="003B5392">
      <w:pPr>
        <w:pStyle w:val="DraftProposal"/>
        <w:numPr>
          <w:ilvl w:val="0"/>
          <w:numId w:val="0"/>
        </w:numPr>
        <w:rPr>
          <w:rFonts w:ascii="Times New Roman" w:hAnsi="Times New Roman" w:cs="Times New Roman"/>
        </w:rPr>
      </w:pPr>
      <w:r w:rsidRPr="00E61DEB">
        <w:rPr>
          <w:rFonts w:ascii="Times New Roman" w:eastAsiaTheme="minorEastAsia" w:hAnsi="Times New Roman" w:cs="Times New Roman"/>
          <w:bCs w:val="0"/>
          <w:highlight w:val="yellow"/>
        </w:rPr>
        <w:t>C</w:t>
      </w:r>
      <w:r w:rsidRPr="00E61DEB">
        <w:rPr>
          <w:rFonts w:ascii="Times New Roman" w:hAnsi="Times New Roman" w:cs="Times New Roman"/>
          <w:highlight w:val="yellow"/>
        </w:rPr>
        <w:t>ompanies are encouraged to provide comments on RRC parameters list (section 4.1):</w:t>
      </w:r>
    </w:p>
    <w:tbl>
      <w:tblPr>
        <w:tblStyle w:val="ac"/>
        <w:tblW w:w="4973" w:type="pct"/>
        <w:tblLook w:val="04A0" w:firstRow="1" w:lastRow="0" w:firstColumn="1" w:lastColumn="0" w:noHBand="0" w:noVBand="1"/>
      </w:tblPr>
      <w:tblGrid>
        <w:gridCol w:w="3662"/>
        <w:gridCol w:w="16347"/>
      </w:tblGrid>
      <w:tr w:rsidR="00F875BE" w:rsidRPr="00E61DEB" w14:paraId="28F2388B" w14:textId="77777777" w:rsidTr="00D543BB">
        <w:trPr>
          <w:tblHeader/>
        </w:trPr>
        <w:tc>
          <w:tcPr>
            <w:tcW w:w="915" w:type="pct"/>
            <w:shd w:val="clear" w:color="auto" w:fill="00B0F0"/>
          </w:tcPr>
          <w:p w14:paraId="46D12FD2" w14:textId="77777777" w:rsidR="00F875BE" w:rsidRPr="00E61DEB" w:rsidRDefault="00F875BE" w:rsidP="00D543BB">
            <w:pPr>
              <w:rPr>
                <w:b/>
                <w:color w:val="FFFFFF" w:themeColor="background1"/>
              </w:rPr>
            </w:pPr>
          </w:p>
        </w:tc>
        <w:tc>
          <w:tcPr>
            <w:tcW w:w="4085" w:type="pct"/>
            <w:shd w:val="clear" w:color="auto" w:fill="00B0F0"/>
          </w:tcPr>
          <w:p w14:paraId="622462E1" w14:textId="77777777" w:rsidR="00F875BE" w:rsidRPr="00E61DEB" w:rsidRDefault="00F875BE" w:rsidP="00D543BB">
            <w:pPr>
              <w:rPr>
                <w:b/>
                <w:color w:val="FFFFFF" w:themeColor="background1"/>
              </w:rPr>
            </w:pPr>
          </w:p>
        </w:tc>
      </w:tr>
      <w:tr w:rsidR="005D6829" w:rsidRPr="00E61DEB" w14:paraId="6A81E8B8" w14:textId="77777777" w:rsidTr="00D543BB">
        <w:tc>
          <w:tcPr>
            <w:tcW w:w="915" w:type="pct"/>
          </w:tcPr>
          <w:p w14:paraId="6F6FE810" w14:textId="60CEAD4D" w:rsidR="005D6829" w:rsidRPr="00E61DEB" w:rsidRDefault="005D6829" w:rsidP="005D6829">
            <w:pPr>
              <w:rPr>
                <w:rFonts w:eastAsia="Malgun Gothic"/>
                <w:bCs/>
                <w:lang w:eastAsia="ko-KR"/>
              </w:rPr>
            </w:pPr>
            <w:r>
              <w:rPr>
                <w:rFonts w:eastAsia="Malgun Gothic"/>
                <w:bCs/>
                <w:lang w:eastAsia="ko-KR"/>
              </w:rPr>
              <w:t>Nokia, Nokia Shanghai Bell</w:t>
            </w:r>
          </w:p>
        </w:tc>
        <w:tc>
          <w:tcPr>
            <w:tcW w:w="4085" w:type="pct"/>
          </w:tcPr>
          <w:p w14:paraId="3326972A" w14:textId="73DB43A1" w:rsidR="005D6829" w:rsidRPr="00E01387" w:rsidRDefault="005D6829" w:rsidP="005D6829">
            <w:pPr>
              <w:rPr>
                <w:color w:val="000000"/>
              </w:rPr>
            </w:pPr>
            <w:r>
              <w:rPr>
                <w:color w:val="000000"/>
              </w:rPr>
              <w:t>No comments on this section for now.</w:t>
            </w:r>
          </w:p>
        </w:tc>
      </w:tr>
      <w:tr w:rsidR="00F875BE" w:rsidRPr="00E61DEB" w14:paraId="366404D4" w14:textId="77777777" w:rsidTr="00D543BB">
        <w:tc>
          <w:tcPr>
            <w:tcW w:w="915" w:type="pct"/>
          </w:tcPr>
          <w:p w14:paraId="14C9B91B" w14:textId="219E4A26" w:rsidR="00F875BE" w:rsidRPr="00E61DEB" w:rsidRDefault="00A97EC4" w:rsidP="00D543BB">
            <w:pPr>
              <w:rPr>
                <w:rFonts w:eastAsiaTheme="minorHAnsi"/>
                <w:bCs/>
              </w:rPr>
            </w:pPr>
            <w:r>
              <w:rPr>
                <w:rFonts w:eastAsiaTheme="minorHAnsi"/>
                <w:bCs/>
              </w:rPr>
              <w:t>Ericsson</w:t>
            </w:r>
          </w:p>
        </w:tc>
        <w:tc>
          <w:tcPr>
            <w:tcW w:w="4085" w:type="pct"/>
          </w:tcPr>
          <w:p w14:paraId="51EF6188" w14:textId="77777777" w:rsidR="00A97EC4" w:rsidRPr="00216710" w:rsidRDefault="00A97EC4" w:rsidP="00A97EC4">
            <w:pPr>
              <w:pStyle w:val="af3"/>
              <w:numPr>
                <w:ilvl w:val="0"/>
                <w:numId w:val="45"/>
              </w:numPr>
              <w:rPr>
                <w:rFonts w:ascii="Arial" w:hAnsi="Arial" w:cs="Arial"/>
                <w:color w:val="000000"/>
                <w:sz w:val="20"/>
                <w:szCs w:val="20"/>
              </w:rPr>
            </w:pPr>
            <w:r w:rsidRPr="00216710">
              <w:rPr>
                <w:rFonts w:ascii="Arial" w:eastAsia="Times New Roman" w:hAnsi="Arial" w:cs="Arial"/>
                <w:sz w:val="20"/>
                <w:szCs w:val="20"/>
              </w:rPr>
              <w:t>HARQ-feedbackEnabling-disablingperHARQprocess-r17</w:t>
            </w:r>
          </w:p>
          <w:p w14:paraId="568433DC" w14:textId="77777777" w:rsidR="00A97EC4" w:rsidRDefault="00A97EC4" w:rsidP="00A97EC4">
            <w:pPr>
              <w:pStyle w:val="af3"/>
              <w:numPr>
                <w:ilvl w:val="1"/>
                <w:numId w:val="45"/>
              </w:numPr>
              <w:rPr>
                <w:rFonts w:ascii="Arial" w:hAnsi="Arial" w:cs="Arial"/>
                <w:color w:val="000000"/>
                <w:sz w:val="20"/>
                <w:szCs w:val="20"/>
              </w:rPr>
            </w:pPr>
            <w:r w:rsidRPr="00216710">
              <w:rPr>
                <w:rFonts w:ascii="Arial" w:hAnsi="Arial" w:cs="Arial"/>
                <w:color w:val="000000"/>
                <w:sz w:val="20"/>
                <w:szCs w:val="20"/>
              </w:rPr>
              <w:t xml:space="preserve">Description: "enble" </w:t>
            </w:r>
            <w:r w:rsidRPr="00216710">
              <w:rPr>
                <w:rFonts w:ascii="Arial" w:hAnsi="Arial" w:cs="Arial"/>
                <w:color w:val="000000"/>
                <w:sz w:val="20"/>
                <w:szCs w:val="20"/>
              </w:rPr>
              <w:sym w:font="Wingdings" w:char="F0E0"/>
            </w:r>
            <w:r w:rsidRPr="00216710">
              <w:rPr>
                <w:rFonts w:ascii="Arial" w:hAnsi="Arial" w:cs="Arial"/>
                <w:color w:val="000000"/>
                <w:sz w:val="20"/>
                <w:szCs w:val="20"/>
              </w:rPr>
              <w:t xml:space="preserve"> "enable"</w:t>
            </w:r>
          </w:p>
          <w:p w14:paraId="19CF079E" w14:textId="76EBFE35" w:rsidR="00F875BE" w:rsidRPr="00A97EC4" w:rsidRDefault="00A97EC4" w:rsidP="00A97EC4">
            <w:pPr>
              <w:pStyle w:val="af3"/>
              <w:numPr>
                <w:ilvl w:val="1"/>
                <w:numId w:val="45"/>
              </w:numPr>
              <w:rPr>
                <w:rFonts w:ascii="Arial" w:hAnsi="Arial" w:cs="Arial"/>
                <w:color w:val="000000"/>
                <w:sz w:val="20"/>
                <w:szCs w:val="20"/>
              </w:rPr>
            </w:pPr>
            <w:r w:rsidRPr="00A97EC4">
              <w:rPr>
                <w:rFonts w:ascii="Arial" w:hAnsi="Arial" w:cs="Arial"/>
                <w:color w:val="000000"/>
                <w:sz w:val="20"/>
                <w:szCs w:val="20"/>
              </w:rPr>
              <w:lastRenderedPageBreak/>
              <w:t>Value range: clarify that "</w:t>
            </w:r>
            <w:r w:rsidRPr="00A97EC4">
              <w:rPr>
                <w:rFonts w:ascii="Arial" w:eastAsia="Times New Roman" w:hAnsi="Arial" w:cs="Arial"/>
                <w:sz w:val="20"/>
                <w:szCs w:val="20"/>
              </w:rPr>
              <w:t>nrofHARQ-Processes-r17" is the DL parameter giving the number of configured HARQ processes for SPS DL.</w:t>
            </w:r>
          </w:p>
        </w:tc>
      </w:tr>
      <w:tr w:rsidR="00F875BE" w:rsidRPr="00E61DEB" w14:paraId="2A4C2A7F" w14:textId="77777777" w:rsidTr="00D543BB">
        <w:tc>
          <w:tcPr>
            <w:tcW w:w="915" w:type="pct"/>
          </w:tcPr>
          <w:p w14:paraId="3619F6FB" w14:textId="586CE153" w:rsidR="00F875BE" w:rsidRPr="00AD2C9E" w:rsidRDefault="00AD2C9E" w:rsidP="00D543BB">
            <w:pPr>
              <w:rPr>
                <w:rFonts w:hint="eastAsia"/>
                <w:bCs/>
                <w:lang w:eastAsia="zh-CN"/>
              </w:rPr>
            </w:pPr>
            <w:r>
              <w:rPr>
                <w:rFonts w:hint="eastAsia"/>
                <w:bCs/>
                <w:lang w:eastAsia="zh-CN"/>
              </w:rPr>
              <w:lastRenderedPageBreak/>
              <w:t>Z</w:t>
            </w:r>
            <w:r>
              <w:rPr>
                <w:bCs/>
                <w:lang w:eastAsia="zh-CN"/>
              </w:rPr>
              <w:t>TE</w:t>
            </w:r>
          </w:p>
        </w:tc>
        <w:tc>
          <w:tcPr>
            <w:tcW w:w="4085" w:type="pct"/>
          </w:tcPr>
          <w:p w14:paraId="1D24DD58" w14:textId="282A0C88" w:rsidR="00AD2C9E" w:rsidRPr="00AD2C9E" w:rsidRDefault="00AD2C9E" w:rsidP="00AD2C9E">
            <w:pPr>
              <w:pStyle w:val="af3"/>
              <w:adjustRightInd w:val="0"/>
              <w:snapToGrid w:val="0"/>
              <w:spacing w:after="120"/>
              <w:ind w:left="0"/>
              <w:rPr>
                <w:rFonts w:cs="Times New Roman" w:hint="eastAsia"/>
                <w:bCs/>
                <w:szCs w:val="22"/>
              </w:rPr>
            </w:pPr>
            <w:r>
              <w:rPr>
                <w:rFonts w:cs="Times New Roman" w:hint="eastAsia"/>
                <w:bCs/>
                <w:szCs w:val="22"/>
              </w:rPr>
              <w:t>A</w:t>
            </w:r>
            <w:r>
              <w:rPr>
                <w:rFonts w:cs="Times New Roman"/>
                <w:bCs/>
                <w:szCs w:val="22"/>
              </w:rPr>
              <w:t>gree the updates from Ericsson.</w:t>
            </w:r>
          </w:p>
        </w:tc>
      </w:tr>
      <w:tr w:rsidR="00F875BE" w:rsidRPr="00E61DEB" w14:paraId="5099048E" w14:textId="77777777" w:rsidTr="00D543BB">
        <w:tc>
          <w:tcPr>
            <w:tcW w:w="915" w:type="pct"/>
          </w:tcPr>
          <w:p w14:paraId="47072673" w14:textId="77777777" w:rsidR="00F875BE" w:rsidRPr="00E61DEB" w:rsidRDefault="00F875BE" w:rsidP="00D543BB">
            <w:pPr>
              <w:rPr>
                <w:rFonts w:eastAsiaTheme="minorHAnsi"/>
                <w:bCs/>
              </w:rPr>
            </w:pPr>
          </w:p>
        </w:tc>
        <w:tc>
          <w:tcPr>
            <w:tcW w:w="4085" w:type="pct"/>
          </w:tcPr>
          <w:p w14:paraId="785ADB39" w14:textId="77777777" w:rsidR="00F875BE" w:rsidRPr="00E61DEB" w:rsidRDefault="00F875BE" w:rsidP="00D543BB">
            <w:pPr>
              <w:pStyle w:val="af3"/>
              <w:adjustRightInd w:val="0"/>
              <w:snapToGrid w:val="0"/>
              <w:spacing w:after="120"/>
              <w:ind w:left="0"/>
              <w:rPr>
                <w:rFonts w:eastAsia="Malgun Gothic" w:cs="Times New Roman"/>
                <w:bCs/>
                <w:szCs w:val="22"/>
                <w:lang w:eastAsia="ko-KR"/>
              </w:rPr>
            </w:pPr>
          </w:p>
        </w:tc>
      </w:tr>
      <w:tr w:rsidR="00F875BE" w:rsidRPr="00E61DEB" w14:paraId="7D0B4F24" w14:textId="77777777" w:rsidTr="00D543BB">
        <w:tc>
          <w:tcPr>
            <w:tcW w:w="915" w:type="pct"/>
          </w:tcPr>
          <w:p w14:paraId="19509654" w14:textId="77777777" w:rsidR="00F875BE" w:rsidRPr="00E61DEB" w:rsidRDefault="00F875BE" w:rsidP="00D543BB">
            <w:pPr>
              <w:rPr>
                <w:bCs/>
                <w:lang w:eastAsia="zh-CN"/>
              </w:rPr>
            </w:pPr>
          </w:p>
        </w:tc>
        <w:tc>
          <w:tcPr>
            <w:tcW w:w="4085" w:type="pct"/>
          </w:tcPr>
          <w:p w14:paraId="43A3C6B8" w14:textId="77777777" w:rsidR="00F875BE" w:rsidRPr="00E61DEB" w:rsidRDefault="00F875BE" w:rsidP="00D543BB">
            <w:pPr>
              <w:jc w:val="left"/>
              <w:rPr>
                <w:color w:val="FF0000"/>
                <w:lang w:eastAsia="zh-CN"/>
              </w:rPr>
            </w:pPr>
          </w:p>
        </w:tc>
      </w:tr>
    </w:tbl>
    <w:p w14:paraId="5D371C6E" w14:textId="22E7401E" w:rsidR="00EB2310" w:rsidRPr="00B02C20" w:rsidRDefault="00EB2310" w:rsidP="00B02C20"/>
    <w:p w14:paraId="7A4E09CC" w14:textId="77777777" w:rsidR="00FC05D5" w:rsidRPr="00E61DEB" w:rsidRDefault="00FC05D5" w:rsidP="007D253F"/>
    <w:p w14:paraId="06BC5A1E" w14:textId="77777777" w:rsidR="00E302D0" w:rsidRPr="00E61DEB" w:rsidRDefault="00E302D0" w:rsidP="00E302D0">
      <w:pPr>
        <w:pStyle w:val="1"/>
        <w:rPr>
          <w:sz w:val="22"/>
          <w:szCs w:val="22"/>
        </w:rPr>
      </w:pPr>
      <w:bookmarkStart w:id="14" w:name="_Toc79484740"/>
      <w:bookmarkStart w:id="15" w:name="_Toc82188777"/>
      <w:r w:rsidRPr="00E61DEB">
        <w:rPr>
          <w:sz w:val="22"/>
          <w:szCs w:val="22"/>
        </w:rPr>
        <w:t>Others</w:t>
      </w:r>
      <w:bookmarkEnd w:id="14"/>
      <w:bookmarkEnd w:id="15"/>
    </w:p>
    <w:p w14:paraId="06BC5A1F" w14:textId="77777777" w:rsidR="003B5392" w:rsidRPr="00E61DEB" w:rsidRDefault="003B5392" w:rsidP="003B5392">
      <w:pPr>
        <w:pStyle w:val="2"/>
        <w:rPr>
          <w:sz w:val="22"/>
        </w:rPr>
      </w:pPr>
      <w:bookmarkStart w:id="16" w:name="_Toc82188778"/>
      <w:r w:rsidRPr="00E61DEB">
        <w:rPr>
          <w:sz w:val="22"/>
        </w:rPr>
        <w:t>Related RRC parameters</w:t>
      </w:r>
      <w:bookmarkEnd w:id="16"/>
    </w:p>
    <w:p w14:paraId="06BC5A20" w14:textId="15653B39" w:rsidR="003B5392" w:rsidRPr="00E61DEB" w:rsidRDefault="00273AEA" w:rsidP="003B5392">
      <w:r w:rsidRPr="00E61DEB">
        <w:t>Based on the ag</w:t>
      </w:r>
      <w:r w:rsidR="00185D01">
        <w:t>reements to date (up to RAN1#107</w:t>
      </w:r>
      <w:r w:rsidR="00512287">
        <w:t>-</w:t>
      </w:r>
      <w:r w:rsidRPr="00E61DEB">
        <w:t>e) and the companies pro</w:t>
      </w:r>
      <w:r w:rsidR="00185D01">
        <w:t>posals submitted to RAN1#108</w:t>
      </w:r>
      <w:r w:rsidRPr="00E61DEB">
        <w:t>-e</w:t>
      </w:r>
      <w:r w:rsidR="00512287">
        <w:t xml:space="preserve">, an updated </w:t>
      </w:r>
      <w:r w:rsidR="00D939A5" w:rsidRPr="00E61DEB">
        <w:t>list of RRC parameters related to the polarization indication in NR NTN is given within the following table:</w:t>
      </w:r>
    </w:p>
    <w:p w14:paraId="06BC5A3A" w14:textId="3D668BE7" w:rsidR="003B5392" w:rsidRDefault="003B5392" w:rsidP="003B5392">
      <w:pPr>
        <w:pStyle w:val="DraftProposal"/>
        <w:numPr>
          <w:ilvl w:val="0"/>
          <w:numId w:val="0"/>
        </w:numPr>
        <w:rPr>
          <w:rFonts w:ascii="Times New Roman" w:eastAsiaTheme="minorEastAsia" w:hAnsi="Times New Roman" w:cs="Times New Roman"/>
          <w:b w:val="0"/>
          <w:bCs w:val="0"/>
        </w:rPr>
      </w:pPr>
    </w:p>
    <w:tbl>
      <w:tblPr>
        <w:tblW w:w="5000" w:type="pct"/>
        <w:tblLook w:val="04A0" w:firstRow="1" w:lastRow="0" w:firstColumn="1" w:lastColumn="0" w:noHBand="0" w:noVBand="1"/>
      </w:tblPr>
      <w:tblGrid>
        <w:gridCol w:w="1637"/>
        <w:gridCol w:w="1094"/>
        <w:gridCol w:w="5504"/>
        <w:gridCol w:w="1481"/>
        <w:gridCol w:w="1115"/>
        <w:gridCol w:w="1111"/>
        <w:gridCol w:w="1481"/>
        <w:gridCol w:w="1461"/>
        <w:gridCol w:w="4406"/>
        <w:gridCol w:w="828"/>
      </w:tblGrid>
      <w:tr w:rsidR="008A71DF" w:rsidRPr="008A71DF" w14:paraId="1D205005" w14:textId="77777777" w:rsidTr="008A71DF">
        <w:trPr>
          <w:trHeight w:val="765"/>
        </w:trPr>
        <w:tc>
          <w:tcPr>
            <w:tcW w:w="384"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C29AA64"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Parameter name in the spec</w:t>
            </w:r>
          </w:p>
        </w:tc>
        <w:tc>
          <w:tcPr>
            <w:tcW w:w="245" w:type="pct"/>
            <w:tcBorders>
              <w:top w:val="single" w:sz="4" w:space="0" w:color="auto"/>
              <w:left w:val="nil"/>
              <w:bottom w:val="single" w:sz="4" w:space="0" w:color="auto"/>
              <w:right w:val="single" w:sz="4" w:space="0" w:color="auto"/>
            </w:tcBorders>
            <w:shd w:val="clear" w:color="000000" w:fill="00B0F0"/>
            <w:vAlign w:val="center"/>
            <w:hideMark/>
          </w:tcPr>
          <w:p w14:paraId="657AC8DE"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New or existing?</w:t>
            </w:r>
          </w:p>
        </w:tc>
        <w:tc>
          <w:tcPr>
            <w:tcW w:w="1383" w:type="pct"/>
            <w:tcBorders>
              <w:top w:val="single" w:sz="4" w:space="0" w:color="auto"/>
              <w:left w:val="nil"/>
              <w:bottom w:val="single" w:sz="4" w:space="0" w:color="auto"/>
              <w:right w:val="single" w:sz="4" w:space="0" w:color="auto"/>
            </w:tcBorders>
            <w:shd w:val="clear" w:color="000000" w:fill="00B0F0"/>
            <w:vAlign w:val="center"/>
            <w:hideMark/>
          </w:tcPr>
          <w:p w14:paraId="634E826F"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Description</w:t>
            </w:r>
          </w:p>
        </w:tc>
        <w:tc>
          <w:tcPr>
            <w:tcW w:w="383" w:type="pct"/>
            <w:tcBorders>
              <w:top w:val="single" w:sz="4" w:space="0" w:color="auto"/>
              <w:left w:val="nil"/>
              <w:bottom w:val="single" w:sz="4" w:space="0" w:color="auto"/>
              <w:right w:val="single" w:sz="4" w:space="0" w:color="auto"/>
            </w:tcBorders>
            <w:shd w:val="clear" w:color="000000" w:fill="00B0F0"/>
            <w:vAlign w:val="center"/>
            <w:hideMark/>
          </w:tcPr>
          <w:p w14:paraId="55EEDA21"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Value range</w:t>
            </w:r>
          </w:p>
        </w:tc>
        <w:tc>
          <w:tcPr>
            <w:tcW w:w="292" w:type="pct"/>
            <w:tcBorders>
              <w:top w:val="single" w:sz="4" w:space="0" w:color="auto"/>
              <w:left w:val="nil"/>
              <w:bottom w:val="single" w:sz="4" w:space="0" w:color="auto"/>
              <w:right w:val="single" w:sz="4" w:space="0" w:color="auto"/>
            </w:tcBorders>
            <w:shd w:val="clear" w:color="000000" w:fill="00B0F0"/>
            <w:vAlign w:val="center"/>
            <w:hideMark/>
          </w:tcPr>
          <w:p w14:paraId="4732FCDA"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Default value aspect</w:t>
            </w:r>
          </w:p>
        </w:tc>
        <w:tc>
          <w:tcPr>
            <w:tcW w:w="291" w:type="pct"/>
            <w:tcBorders>
              <w:top w:val="single" w:sz="4" w:space="0" w:color="auto"/>
              <w:left w:val="nil"/>
              <w:bottom w:val="single" w:sz="4" w:space="0" w:color="auto"/>
              <w:right w:val="single" w:sz="4" w:space="0" w:color="auto"/>
            </w:tcBorders>
            <w:shd w:val="clear" w:color="000000" w:fill="00B0F0"/>
            <w:vAlign w:val="center"/>
            <w:hideMark/>
          </w:tcPr>
          <w:p w14:paraId="0A1B215F"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Per (UE, cell, TRP, …)</w:t>
            </w:r>
          </w:p>
        </w:tc>
        <w:tc>
          <w:tcPr>
            <w:tcW w:w="383" w:type="pct"/>
            <w:tcBorders>
              <w:top w:val="single" w:sz="4" w:space="0" w:color="auto"/>
              <w:left w:val="nil"/>
              <w:bottom w:val="single" w:sz="4" w:space="0" w:color="auto"/>
              <w:right w:val="single" w:sz="4" w:space="0" w:color="auto"/>
            </w:tcBorders>
            <w:shd w:val="clear" w:color="000000" w:fill="00B0F0"/>
            <w:vAlign w:val="center"/>
            <w:hideMark/>
          </w:tcPr>
          <w:p w14:paraId="4DDBFBBF"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UE-specific or Cell-specific</w:t>
            </w:r>
          </w:p>
        </w:tc>
        <w:tc>
          <w:tcPr>
            <w:tcW w:w="319" w:type="pct"/>
            <w:tcBorders>
              <w:top w:val="single" w:sz="4" w:space="0" w:color="auto"/>
              <w:left w:val="nil"/>
              <w:bottom w:val="single" w:sz="4" w:space="0" w:color="auto"/>
              <w:right w:val="single" w:sz="4" w:space="0" w:color="auto"/>
            </w:tcBorders>
            <w:shd w:val="clear" w:color="000000" w:fill="00B0F0"/>
            <w:vAlign w:val="center"/>
            <w:hideMark/>
          </w:tcPr>
          <w:p w14:paraId="0B55BE1C"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Specification</w:t>
            </w:r>
          </w:p>
        </w:tc>
        <w:tc>
          <w:tcPr>
            <w:tcW w:w="1110" w:type="pct"/>
            <w:tcBorders>
              <w:top w:val="single" w:sz="4" w:space="0" w:color="auto"/>
              <w:left w:val="nil"/>
              <w:bottom w:val="single" w:sz="4" w:space="0" w:color="auto"/>
              <w:right w:val="single" w:sz="4" w:space="0" w:color="auto"/>
            </w:tcBorders>
            <w:shd w:val="clear" w:color="000000" w:fill="00B0F0"/>
            <w:vAlign w:val="center"/>
            <w:hideMark/>
          </w:tcPr>
          <w:p w14:paraId="736AE4FA" w14:textId="77777777"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Comment</w:t>
            </w:r>
          </w:p>
        </w:tc>
        <w:tc>
          <w:tcPr>
            <w:tcW w:w="210" w:type="pct"/>
            <w:tcBorders>
              <w:top w:val="single" w:sz="4" w:space="0" w:color="auto"/>
              <w:left w:val="nil"/>
              <w:bottom w:val="single" w:sz="4" w:space="0" w:color="auto"/>
              <w:right w:val="single" w:sz="4" w:space="0" w:color="auto"/>
            </w:tcBorders>
            <w:shd w:val="clear" w:color="000000" w:fill="00B0F0"/>
            <w:vAlign w:val="center"/>
            <w:hideMark/>
          </w:tcPr>
          <w:p w14:paraId="66DF3C7C" w14:textId="6A53D4E5" w:rsidR="008A71DF" w:rsidRPr="008A71DF" w:rsidRDefault="008A71DF" w:rsidP="008A71DF">
            <w:pPr>
              <w:autoSpaceDE/>
              <w:autoSpaceDN/>
              <w:adjustRightInd/>
              <w:snapToGrid/>
              <w:spacing w:after="0"/>
              <w:jc w:val="left"/>
              <w:rPr>
                <w:rFonts w:ascii="Arial" w:eastAsia="Times New Roman" w:hAnsi="Arial" w:cs="Arial"/>
                <w:b/>
                <w:bCs/>
                <w:color w:val="FFFFFF"/>
                <w:sz w:val="20"/>
                <w:szCs w:val="20"/>
              </w:rPr>
            </w:pPr>
            <w:r w:rsidRPr="008A71DF">
              <w:rPr>
                <w:rFonts w:ascii="Arial" w:eastAsia="Times New Roman" w:hAnsi="Arial" w:cs="Arial"/>
                <w:b/>
                <w:bCs/>
                <w:color w:val="FFFFFF"/>
                <w:sz w:val="20"/>
                <w:szCs w:val="20"/>
              </w:rPr>
              <w:t>Status [10</w:t>
            </w:r>
            <w:r>
              <w:rPr>
                <w:rFonts w:ascii="Arial" w:eastAsia="Times New Roman" w:hAnsi="Arial" w:cs="Arial"/>
                <w:b/>
                <w:bCs/>
                <w:color w:val="FFFFFF"/>
                <w:sz w:val="20"/>
                <w:szCs w:val="20"/>
              </w:rPr>
              <w:t>8</w:t>
            </w:r>
            <w:r w:rsidRPr="008A71DF">
              <w:rPr>
                <w:rFonts w:ascii="Arial" w:eastAsia="Times New Roman" w:hAnsi="Arial" w:cs="Arial"/>
                <w:b/>
                <w:bCs/>
                <w:color w:val="FFFFFF"/>
                <w:sz w:val="20"/>
                <w:szCs w:val="20"/>
              </w:rPr>
              <w:t>-e]</w:t>
            </w:r>
          </w:p>
        </w:tc>
      </w:tr>
      <w:tr w:rsidR="008A71DF" w:rsidRPr="008A71DF" w14:paraId="7EFF5140" w14:textId="77777777" w:rsidTr="00B30263">
        <w:trPr>
          <w:trHeight w:val="9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7BAA83AA"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ntnPolarizationDL</w:t>
            </w:r>
          </w:p>
        </w:tc>
        <w:tc>
          <w:tcPr>
            <w:tcW w:w="245" w:type="pct"/>
            <w:tcBorders>
              <w:top w:val="nil"/>
              <w:left w:val="nil"/>
              <w:bottom w:val="single" w:sz="4" w:space="0" w:color="auto"/>
              <w:right w:val="single" w:sz="4" w:space="0" w:color="auto"/>
            </w:tcBorders>
            <w:shd w:val="clear" w:color="auto" w:fill="auto"/>
            <w:vAlign w:val="center"/>
            <w:hideMark/>
          </w:tcPr>
          <w:p w14:paraId="578A0545"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New</w:t>
            </w:r>
          </w:p>
        </w:tc>
        <w:tc>
          <w:tcPr>
            <w:tcW w:w="1383" w:type="pct"/>
            <w:tcBorders>
              <w:top w:val="nil"/>
              <w:left w:val="nil"/>
              <w:bottom w:val="single" w:sz="4" w:space="0" w:color="auto"/>
              <w:right w:val="single" w:sz="4" w:space="0" w:color="auto"/>
            </w:tcBorders>
            <w:shd w:val="clear" w:color="auto" w:fill="auto"/>
            <w:vAlign w:val="center"/>
            <w:hideMark/>
          </w:tcPr>
          <w:p w14:paraId="4265D4F3"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If present, this parameter indicates polarization information for Downlink transmission on service link: including Right hand, Left hand circular polarizations (RHCP, LHCP) and Linear polarization</w:t>
            </w:r>
          </w:p>
        </w:tc>
        <w:tc>
          <w:tcPr>
            <w:tcW w:w="383" w:type="pct"/>
            <w:tcBorders>
              <w:top w:val="nil"/>
              <w:left w:val="nil"/>
              <w:bottom w:val="single" w:sz="4" w:space="0" w:color="auto"/>
              <w:right w:val="single" w:sz="4" w:space="0" w:color="auto"/>
            </w:tcBorders>
            <w:shd w:val="clear" w:color="auto" w:fill="auto"/>
            <w:vAlign w:val="center"/>
            <w:hideMark/>
          </w:tcPr>
          <w:p w14:paraId="57A74AAA"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{RHCP, LHCP, Linear }</w:t>
            </w:r>
          </w:p>
        </w:tc>
        <w:tc>
          <w:tcPr>
            <w:tcW w:w="292" w:type="pct"/>
            <w:tcBorders>
              <w:top w:val="nil"/>
              <w:left w:val="nil"/>
              <w:bottom w:val="single" w:sz="4" w:space="0" w:color="auto"/>
              <w:right w:val="single" w:sz="4" w:space="0" w:color="auto"/>
            </w:tcBorders>
            <w:shd w:val="clear" w:color="auto" w:fill="auto"/>
            <w:vAlign w:val="center"/>
            <w:hideMark/>
          </w:tcPr>
          <w:p w14:paraId="47E8342C"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 </w:t>
            </w:r>
          </w:p>
        </w:tc>
        <w:tc>
          <w:tcPr>
            <w:tcW w:w="291" w:type="pct"/>
            <w:tcBorders>
              <w:top w:val="nil"/>
              <w:left w:val="nil"/>
              <w:bottom w:val="single" w:sz="4" w:space="0" w:color="auto"/>
              <w:right w:val="single" w:sz="4" w:space="0" w:color="auto"/>
            </w:tcBorders>
            <w:shd w:val="clear" w:color="auto" w:fill="auto"/>
            <w:vAlign w:val="center"/>
            <w:hideMark/>
          </w:tcPr>
          <w:p w14:paraId="322662B6"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cell</w:t>
            </w:r>
          </w:p>
        </w:tc>
        <w:tc>
          <w:tcPr>
            <w:tcW w:w="383" w:type="pct"/>
            <w:tcBorders>
              <w:top w:val="nil"/>
              <w:left w:val="nil"/>
              <w:bottom w:val="single" w:sz="4" w:space="0" w:color="auto"/>
              <w:right w:val="single" w:sz="4" w:space="0" w:color="auto"/>
            </w:tcBorders>
            <w:shd w:val="clear" w:color="auto" w:fill="auto"/>
            <w:vAlign w:val="center"/>
            <w:hideMark/>
          </w:tcPr>
          <w:p w14:paraId="05A5BB16"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Cell-specific</w:t>
            </w:r>
          </w:p>
        </w:tc>
        <w:tc>
          <w:tcPr>
            <w:tcW w:w="319" w:type="pct"/>
            <w:tcBorders>
              <w:top w:val="nil"/>
              <w:left w:val="nil"/>
              <w:bottom w:val="single" w:sz="4" w:space="0" w:color="auto"/>
              <w:right w:val="single" w:sz="4" w:space="0" w:color="auto"/>
            </w:tcBorders>
            <w:shd w:val="clear" w:color="auto" w:fill="auto"/>
            <w:vAlign w:val="center"/>
            <w:hideMark/>
          </w:tcPr>
          <w:p w14:paraId="4206DBBC"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38.331</w:t>
            </w:r>
          </w:p>
        </w:tc>
        <w:tc>
          <w:tcPr>
            <w:tcW w:w="1110" w:type="pct"/>
            <w:tcBorders>
              <w:top w:val="nil"/>
              <w:left w:val="nil"/>
              <w:bottom w:val="single" w:sz="4" w:space="0" w:color="auto"/>
              <w:right w:val="single" w:sz="4" w:space="0" w:color="auto"/>
            </w:tcBorders>
            <w:shd w:val="clear" w:color="auto" w:fill="auto"/>
            <w:vAlign w:val="center"/>
            <w:hideMark/>
          </w:tcPr>
          <w:p w14:paraId="1C28A399"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 xml:space="preserve">The indicated polarization information refers to the polarization type used at satellite side for DL transmission. </w:t>
            </w:r>
          </w:p>
        </w:tc>
        <w:tc>
          <w:tcPr>
            <w:tcW w:w="210" w:type="pct"/>
            <w:tcBorders>
              <w:top w:val="nil"/>
              <w:left w:val="nil"/>
              <w:bottom w:val="single" w:sz="4" w:space="0" w:color="auto"/>
              <w:right w:val="single" w:sz="4" w:space="0" w:color="auto"/>
            </w:tcBorders>
            <w:shd w:val="clear" w:color="auto" w:fill="auto"/>
            <w:noWrap/>
            <w:vAlign w:val="bottom"/>
          </w:tcPr>
          <w:p w14:paraId="5E18F86D" w14:textId="6F2857CD" w:rsidR="008A71DF" w:rsidRPr="008A71DF" w:rsidRDefault="008A71DF" w:rsidP="008A71DF">
            <w:pPr>
              <w:autoSpaceDE/>
              <w:autoSpaceDN/>
              <w:adjustRightInd/>
              <w:snapToGrid/>
              <w:spacing w:after="0"/>
              <w:jc w:val="left"/>
              <w:rPr>
                <w:rFonts w:ascii="Calibri" w:eastAsia="Times New Roman" w:hAnsi="Calibri" w:cs="Calibri"/>
                <w:color w:val="00B050"/>
              </w:rPr>
            </w:pPr>
          </w:p>
        </w:tc>
      </w:tr>
      <w:tr w:rsidR="008A71DF" w:rsidRPr="008A71DF" w14:paraId="5AAD7684" w14:textId="77777777" w:rsidTr="00B30263">
        <w:trPr>
          <w:trHeight w:val="12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23DCF46B"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ntnPolarizationUL</w:t>
            </w:r>
          </w:p>
        </w:tc>
        <w:tc>
          <w:tcPr>
            <w:tcW w:w="245" w:type="pct"/>
            <w:tcBorders>
              <w:top w:val="nil"/>
              <w:left w:val="nil"/>
              <w:bottom w:val="single" w:sz="4" w:space="0" w:color="auto"/>
              <w:right w:val="single" w:sz="4" w:space="0" w:color="auto"/>
            </w:tcBorders>
            <w:shd w:val="clear" w:color="auto" w:fill="auto"/>
            <w:vAlign w:val="center"/>
            <w:hideMark/>
          </w:tcPr>
          <w:p w14:paraId="6E998390"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New</w:t>
            </w:r>
          </w:p>
        </w:tc>
        <w:tc>
          <w:tcPr>
            <w:tcW w:w="1383" w:type="pct"/>
            <w:tcBorders>
              <w:top w:val="nil"/>
              <w:left w:val="nil"/>
              <w:bottom w:val="single" w:sz="4" w:space="0" w:color="auto"/>
              <w:right w:val="single" w:sz="4" w:space="0" w:color="auto"/>
            </w:tcBorders>
            <w:shd w:val="clear" w:color="auto" w:fill="auto"/>
            <w:vAlign w:val="center"/>
            <w:hideMark/>
          </w:tcPr>
          <w:p w14:paraId="7D10505C" w14:textId="77777777" w:rsidR="008A71DF" w:rsidRPr="008A71DF" w:rsidRDefault="008A71DF" w:rsidP="008A71DF">
            <w:pPr>
              <w:autoSpaceDE/>
              <w:autoSpaceDN/>
              <w:adjustRightInd/>
              <w:snapToGrid/>
              <w:spacing w:after="0"/>
              <w:jc w:val="left"/>
              <w:rPr>
                <w:rFonts w:ascii="Arial" w:eastAsia="Times New Roman" w:hAnsi="Arial" w:cs="Arial"/>
                <w:sz w:val="18"/>
                <w:szCs w:val="18"/>
              </w:rPr>
            </w:pPr>
            <w:r w:rsidRPr="008A71DF">
              <w:rPr>
                <w:rFonts w:ascii="Arial" w:eastAsia="Times New Roman" w:hAnsi="Arial" w:cs="Arial"/>
                <w:sz w:val="18"/>
                <w:szCs w:val="18"/>
              </w:rPr>
              <w:t>If present, this parameter indicates Polarization information for Uplink service link.</w:t>
            </w:r>
            <w:r w:rsidRPr="008A71DF">
              <w:rPr>
                <w:rFonts w:ascii="Arial" w:eastAsia="Times New Roman" w:hAnsi="Arial" w:cs="Arial"/>
                <w:sz w:val="18"/>
                <w:szCs w:val="18"/>
              </w:rPr>
              <w:br/>
              <w:t>If not and  ntnPolarizationDL is present,  UE assumes a same polarization for UL and DL</w:t>
            </w:r>
          </w:p>
        </w:tc>
        <w:tc>
          <w:tcPr>
            <w:tcW w:w="383" w:type="pct"/>
            <w:tcBorders>
              <w:top w:val="nil"/>
              <w:left w:val="nil"/>
              <w:bottom w:val="single" w:sz="4" w:space="0" w:color="auto"/>
              <w:right w:val="single" w:sz="4" w:space="0" w:color="auto"/>
            </w:tcBorders>
            <w:shd w:val="clear" w:color="auto" w:fill="auto"/>
            <w:vAlign w:val="center"/>
            <w:hideMark/>
          </w:tcPr>
          <w:p w14:paraId="75E7E4A3"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{RHCP, LHCP, Linear }</w:t>
            </w:r>
          </w:p>
        </w:tc>
        <w:tc>
          <w:tcPr>
            <w:tcW w:w="292" w:type="pct"/>
            <w:tcBorders>
              <w:top w:val="nil"/>
              <w:left w:val="nil"/>
              <w:bottom w:val="single" w:sz="4" w:space="0" w:color="auto"/>
              <w:right w:val="single" w:sz="4" w:space="0" w:color="auto"/>
            </w:tcBorders>
            <w:shd w:val="clear" w:color="auto" w:fill="auto"/>
            <w:vAlign w:val="center"/>
            <w:hideMark/>
          </w:tcPr>
          <w:p w14:paraId="5C3B2DEF"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 </w:t>
            </w:r>
          </w:p>
        </w:tc>
        <w:tc>
          <w:tcPr>
            <w:tcW w:w="291" w:type="pct"/>
            <w:tcBorders>
              <w:top w:val="nil"/>
              <w:left w:val="nil"/>
              <w:bottom w:val="single" w:sz="4" w:space="0" w:color="auto"/>
              <w:right w:val="single" w:sz="4" w:space="0" w:color="auto"/>
            </w:tcBorders>
            <w:shd w:val="clear" w:color="auto" w:fill="auto"/>
            <w:vAlign w:val="center"/>
            <w:hideMark/>
          </w:tcPr>
          <w:p w14:paraId="655E193E"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cell</w:t>
            </w:r>
          </w:p>
        </w:tc>
        <w:tc>
          <w:tcPr>
            <w:tcW w:w="383" w:type="pct"/>
            <w:tcBorders>
              <w:top w:val="nil"/>
              <w:left w:val="nil"/>
              <w:bottom w:val="single" w:sz="4" w:space="0" w:color="auto"/>
              <w:right w:val="single" w:sz="4" w:space="0" w:color="auto"/>
            </w:tcBorders>
            <w:shd w:val="clear" w:color="auto" w:fill="auto"/>
            <w:vAlign w:val="center"/>
            <w:hideMark/>
          </w:tcPr>
          <w:p w14:paraId="65FB3D2F"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Cell-specific</w:t>
            </w:r>
          </w:p>
        </w:tc>
        <w:tc>
          <w:tcPr>
            <w:tcW w:w="319" w:type="pct"/>
            <w:tcBorders>
              <w:top w:val="nil"/>
              <w:left w:val="nil"/>
              <w:bottom w:val="single" w:sz="4" w:space="0" w:color="auto"/>
              <w:right w:val="single" w:sz="4" w:space="0" w:color="auto"/>
            </w:tcBorders>
            <w:shd w:val="clear" w:color="auto" w:fill="auto"/>
            <w:vAlign w:val="center"/>
            <w:hideMark/>
          </w:tcPr>
          <w:p w14:paraId="72670FDC"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38.331</w:t>
            </w:r>
          </w:p>
        </w:tc>
        <w:tc>
          <w:tcPr>
            <w:tcW w:w="1110" w:type="pct"/>
            <w:tcBorders>
              <w:top w:val="nil"/>
              <w:left w:val="nil"/>
              <w:bottom w:val="single" w:sz="4" w:space="0" w:color="auto"/>
              <w:right w:val="single" w:sz="4" w:space="0" w:color="auto"/>
            </w:tcBorders>
            <w:shd w:val="clear" w:color="auto" w:fill="auto"/>
            <w:vAlign w:val="center"/>
            <w:hideMark/>
          </w:tcPr>
          <w:p w14:paraId="76D85850" w14:textId="77777777" w:rsidR="008A71DF" w:rsidRPr="008A71DF" w:rsidRDefault="008A71DF" w:rsidP="008A71DF">
            <w:pPr>
              <w:autoSpaceDE/>
              <w:autoSpaceDN/>
              <w:adjustRightInd/>
              <w:snapToGrid/>
              <w:spacing w:after="0"/>
              <w:jc w:val="left"/>
              <w:rPr>
                <w:rFonts w:eastAsia="Times New Roman"/>
              </w:rPr>
            </w:pPr>
            <w:r w:rsidRPr="008A71DF">
              <w:rPr>
                <w:rFonts w:eastAsia="Times New Roman"/>
              </w:rPr>
              <w:t>The indicated polarization information refers to the polarization type used at satellite side for UL reception.</w:t>
            </w:r>
          </w:p>
        </w:tc>
        <w:tc>
          <w:tcPr>
            <w:tcW w:w="210" w:type="pct"/>
            <w:tcBorders>
              <w:top w:val="nil"/>
              <w:left w:val="nil"/>
              <w:bottom w:val="single" w:sz="4" w:space="0" w:color="auto"/>
              <w:right w:val="single" w:sz="4" w:space="0" w:color="auto"/>
            </w:tcBorders>
            <w:shd w:val="clear" w:color="auto" w:fill="auto"/>
            <w:noWrap/>
            <w:vAlign w:val="bottom"/>
          </w:tcPr>
          <w:p w14:paraId="64C0FCC1" w14:textId="79BD3BC5" w:rsidR="008A71DF" w:rsidRPr="008A71DF" w:rsidRDefault="008A71DF" w:rsidP="008A71DF">
            <w:pPr>
              <w:autoSpaceDE/>
              <w:autoSpaceDN/>
              <w:adjustRightInd/>
              <w:snapToGrid/>
              <w:spacing w:after="0"/>
              <w:jc w:val="left"/>
              <w:rPr>
                <w:rFonts w:ascii="Calibri" w:eastAsia="Times New Roman" w:hAnsi="Calibri" w:cs="Calibri"/>
                <w:color w:val="00B050"/>
              </w:rPr>
            </w:pPr>
          </w:p>
        </w:tc>
      </w:tr>
    </w:tbl>
    <w:p w14:paraId="2211F543" w14:textId="77777777" w:rsidR="008A71DF" w:rsidRPr="008A71DF" w:rsidRDefault="008A71DF" w:rsidP="008A71DF"/>
    <w:p w14:paraId="7BD6BEAE" w14:textId="77777777" w:rsidR="002D6400" w:rsidRPr="002D6400" w:rsidRDefault="002D6400" w:rsidP="002D6400"/>
    <w:p w14:paraId="06BC5A3B" w14:textId="78718C6D" w:rsidR="00DD15F7" w:rsidRDefault="009E77B0" w:rsidP="009E77B0">
      <w:pPr>
        <w:pStyle w:val="2"/>
        <w:rPr>
          <w:sz w:val="22"/>
        </w:rPr>
      </w:pPr>
      <w:r w:rsidRPr="009E77B0">
        <w:rPr>
          <w:sz w:val="22"/>
        </w:rPr>
        <w:t>Company views’ collection for 1st round</w:t>
      </w:r>
    </w:p>
    <w:p w14:paraId="37252BCE" w14:textId="77777777" w:rsidR="009E77B0" w:rsidRPr="009E77B0" w:rsidRDefault="009E77B0" w:rsidP="009E77B0"/>
    <w:p w14:paraId="06BC5A3C" w14:textId="1CBB4922" w:rsidR="003B5392" w:rsidRPr="00E61DEB" w:rsidRDefault="003B5392" w:rsidP="003B5392">
      <w:pPr>
        <w:pStyle w:val="DraftProposal"/>
        <w:numPr>
          <w:ilvl w:val="0"/>
          <w:numId w:val="0"/>
        </w:numPr>
        <w:rPr>
          <w:rFonts w:ascii="Times New Roman" w:hAnsi="Times New Roman" w:cs="Times New Roman"/>
          <w:b w:val="0"/>
        </w:rPr>
      </w:pPr>
      <w:r w:rsidRPr="00E61DEB">
        <w:rPr>
          <w:rFonts w:ascii="Times New Roman" w:eastAsiaTheme="minorEastAsia" w:hAnsi="Times New Roman" w:cs="Times New Roman"/>
          <w:b w:val="0"/>
          <w:bCs w:val="0"/>
          <w:highlight w:val="yellow"/>
        </w:rPr>
        <w:t>C</w:t>
      </w:r>
      <w:r w:rsidRPr="00E61DEB">
        <w:rPr>
          <w:rFonts w:ascii="Times New Roman" w:hAnsi="Times New Roman" w:cs="Times New Roman"/>
          <w:b w:val="0"/>
          <w:highlight w:val="yellow"/>
        </w:rPr>
        <w:t>ompanies are encouraged to provide comments within the following table:</w:t>
      </w:r>
    </w:p>
    <w:tbl>
      <w:tblPr>
        <w:tblStyle w:val="ac"/>
        <w:tblW w:w="4973" w:type="pct"/>
        <w:tblLook w:val="04A0" w:firstRow="1" w:lastRow="0" w:firstColumn="1" w:lastColumn="0" w:noHBand="0" w:noVBand="1"/>
      </w:tblPr>
      <w:tblGrid>
        <w:gridCol w:w="3662"/>
        <w:gridCol w:w="16347"/>
      </w:tblGrid>
      <w:tr w:rsidR="00C15A1A" w:rsidRPr="00E61DEB" w14:paraId="571ECA81" w14:textId="77777777" w:rsidTr="007308A9">
        <w:tc>
          <w:tcPr>
            <w:tcW w:w="915" w:type="pct"/>
            <w:shd w:val="clear" w:color="auto" w:fill="00B0F0"/>
          </w:tcPr>
          <w:p w14:paraId="6132159D" w14:textId="77777777" w:rsidR="00C15A1A" w:rsidRPr="00E61DEB" w:rsidRDefault="00C15A1A" w:rsidP="007308A9">
            <w:pPr>
              <w:rPr>
                <w:b/>
                <w:color w:val="FFFFFF" w:themeColor="background1"/>
              </w:rPr>
            </w:pPr>
            <w:r w:rsidRPr="00E61DEB">
              <w:rPr>
                <w:b/>
                <w:color w:val="FFFFFF" w:themeColor="background1"/>
              </w:rPr>
              <w:lastRenderedPageBreak/>
              <w:t>Companies</w:t>
            </w:r>
          </w:p>
        </w:tc>
        <w:tc>
          <w:tcPr>
            <w:tcW w:w="4085" w:type="pct"/>
            <w:shd w:val="clear" w:color="auto" w:fill="00B0F0"/>
          </w:tcPr>
          <w:p w14:paraId="597420E5" w14:textId="77777777" w:rsidR="00C15A1A" w:rsidRPr="00E61DEB" w:rsidRDefault="00C15A1A" w:rsidP="007308A9">
            <w:pPr>
              <w:rPr>
                <w:b/>
                <w:color w:val="FFFFFF" w:themeColor="background1"/>
              </w:rPr>
            </w:pPr>
            <w:r w:rsidRPr="00E61DEB">
              <w:rPr>
                <w:b/>
                <w:color w:val="FFFFFF" w:themeColor="background1"/>
              </w:rPr>
              <w:t xml:space="preserve">Comments </w:t>
            </w:r>
          </w:p>
        </w:tc>
      </w:tr>
      <w:tr w:rsidR="005D6829" w:rsidRPr="00E61DEB" w14:paraId="38E74156" w14:textId="77777777" w:rsidTr="007308A9">
        <w:tc>
          <w:tcPr>
            <w:tcW w:w="915" w:type="pct"/>
          </w:tcPr>
          <w:p w14:paraId="534BA47C" w14:textId="0608B9CC" w:rsidR="005D6829" w:rsidRPr="00E61DEB" w:rsidRDefault="005D6829" w:rsidP="005D6829">
            <w:pPr>
              <w:rPr>
                <w:bCs/>
                <w:lang w:eastAsia="zh-CN"/>
              </w:rPr>
            </w:pPr>
            <w:r>
              <w:rPr>
                <w:bCs/>
                <w:lang w:eastAsia="zh-CN"/>
              </w:rPr>
              <w:t>Nokia, Nokia Shanghai Bell</w:t>
            </w:r>
          </w:p>
        </w:tc>
        <w:tc>
          <w:tcPr>
            <w:tcW w:w="4085" w:type="pct"/>
          </w:tcPr>
          <w:p w14:paraId="17F1F8EC" w14:textId="17CC786A" w:rsidR="005D6829" w:rsidRPr="00512287" w:rsidRDefault="005D6829" w:rsidP="005D6829">
            <w:pPr>
              <w:rPr>
                <w:bCs/>
              </w:rPr>
            </w:pPr>
            <w:r>
              <w:rPr>
                <w:bCs/>
              </w:rPr>
              <w:t>Depending on whether or not a cell is allowed to change this parameter, this may potentially also need to be UE specific (again, to address UEs which are configured with a BWP, which does not have a common search space configured).</w:t>
            </w:r>
          </w:p>
        </w:tc>
      </w:tr>
      <w:tr w:rsidR="00C15A1A" w:rsidRPr="00E61DEB" w14:paraId="30621AF2" w14:textId="77777777" w:rsidTr="007308A9">
        <w:tc>
          <w:tcPr>
            <w:tcW w:w="915" w:type="pct"/>
          </w:tcPr>
          <w:p w14:paraId="1AC264A6" w14:textId="124DF3A3" w:rsidR="00C15A1A" w:rsidRPr="00E61DEB" w:rsidRDefault="00A97EC4" w:rsidP="007308A9">
            <w:pPr>
              <w:rPr>
                <w:bCs/>
                <w:lang w:eastAsia="zh-CN"/>
              </w:rPr>
            </w:pPr>
            <w:r>
              <w:rPr>
                <w:bCs/>
                <w:lang w:eastAsia="zh-CN"/>
              </w:rPr>
              <w:t>Ericsson</w:t>
            </w:r>
          </w:p>
        </w:tc>
        <w:tc>
          <w:tcPr>
            <w:tcW w:w="4085" w:type="pct"/>
          </w:tcPr>
          <w:p w14:paraId="553C29C3" w14:textId="77777777" w:rsidR="00A97EC4" w:rsidRPr="00202D5A" w:rsidRDefault="00A97EC4" w:rsidP="00A97EC4">
            <w:pPr>
              <w:pStyle w:val="Proposal"/>
              <w:numPr>
                <w:ilvl w:val="0"/>
                <w:numId w:val="0"/>
              </w:numPr>
              <w:tabs>
                <w:tab w:val="left" w:pos="1701"/>
              </w:tabs>
              <w:spacing w:after="120" w:line="259" w:lineRule="auto"/>
              <w:rPr>
                <w:rFonts w:cs="Arial"/>
                <w:b w:val="0"/>
                <w:bCs/>
                <w:lang w:eastAsia="ja-JP"/>
              </w:rPr>
            </w:pPr>
            <w:bookmarkStart w:id="17" w:name="_Toc95741179"/>
            <w:r w:rsidRPr="00202D5A">
              <w:rPr>
                <w:rFonts w:cs="Arial"/>
                <w:b w:val="0"/>
                <w:bCs/>
                <w:lang w:eastAsia="ja-JP"/>
              </w:rPr>
              <w:t>At RAN1#106bis-e, the following agreements were made:</w:t>
            </w:r>
          </w:p>
          <w:p w14:paraId="001B0937" w14:textId="77777777" w:rsidR="00A97EC4" w:rsidRPr="00202D5A" w:rsidRDefault="00A97EC4" w:rsidP="00A97EC4">
            <w:pPr>
              <w:pStyle w:val="Proposal"/>
              <w:numPr>
                <w:ilvl w:val="0"/>
                <w:numId w:val="45"/>
              </w:numPr>
              <w:tabs>
                <w:tab w:val="left" w:pos="1701"/>
              </w:tabs>
              <w:spacing w:after="120" w:line="259" w:lineRule="auto"/>
              <w:rPr>
                <w:rFonts w:cs="Arial"/>
                <w:b w:val="0"/>
                <w:bCs/>
                <w:lang w:eastAsia="ja-JP"/>
              </w:rPr>
            </w:pPr>
            <w:r w:rsidRPr="00202D5A">
              <w:rPr>
                <w:b w:val="0"/>
                <w:bCs/>
              </w:rPr>
              <w:t>Support polarization signalling for target serving cell in handover command message</w:t>
            </w:r>
          </w:p>
          <w:p w14:paraId="283D419F" w14:textId="77777777" w:rsidR="00A97EC4" w:rsidRPr="00202D5A" w:rsidRDefault="00A97EC4" w:rsidP="00A97EC4">
            <w:pPr>
              <w:pStyle w:val="Proposal"/>
              <w:numPr>
                <w:ilvl w:val="0"/>
                <w:numId w:val="45"/>
              </w:numPr>
              <w:tabs>
                <w:tab w:val="left" w:pos="1701"/>
              </w:tabs>
              <w:spacing w:after="120" w:line="259" w:lineRule="auto"/>
              <w:rPr>
                <w:rFonts w:cs="Arial"/>
                <w:b w:val="0"/>
                <w:bCs/>
                <w:lang w:eastAsia="ja-JP"/>
              </w:rPr>
            </w:pPr>
            <w:r w:rsidRPr="00202D5A">
              <w:rPr>
                <w:b w:val="0"/>
                <w:bCs/>
              </w:rPr>
              <w:t>Support polarization signalling for non-serving cell in RRM measurement configuration</w:t>
            </w:r>
            <w:bookmarkEnd w:id="17"/>
          </w:p>
          <w:p w14:paraId="2E9BF711" w14:textId="0850BAFC" w:rsidR="00C15A1A" w:rsidRPr="00202D5A" w:rsidRDefault="00A97EC4" w:rsidP="00A97EC4">
            <w:pPr>
              <w:shd w:val="clear" w:color="auto" w:fill="FFFFFF"/>
              <w:autoSpaceDE/>
              <w:autoSpaceDN/>
              <w:adjustRightInd/>
              <w:snapToGrid/>
              <w:spacing w:after="0" w:line="300" w:lineRule="atLeast"/>
              <w:rPr>
                <w:rFonts w:eastAsiaTheme="minorHAnsi"/>
                <w:bCs/>
              </w:rPr>
            </w:pPr>
            <w:r w:rsidRPr="00202D5A">
              <w:rPr>
                <w:rFonts w:cs="Arial"/>
                <w:bCs/>
                <w:lang w:eastAsia="ja-JP"/>
              </w:rPr>
              <w:t>To make RAN2 aware of these agreements, RAN1 should include information about the</w:t>
            </w:r>
            <w:r w:rsidR="00977DB6" w:rsidRPr="00202D5A">
              <w:rPr>
                <w:rFonts w:cs="Arial"/>
                <w:bCs/>
                <w:lang w:eastAsia="ja-JP"/>
              </w:rPr>
              <w:t>se</w:t>
            </w:r>
            <w:r w:rsidRPr="00202D5A">
              <w:rPr>
                <w:rFonts w:cs="Arial"/>
                <w:bCs/>
                <w:lang w:eastAsia="ja-JP"/>
              </w:rPr>
              <w:t xml:space="preserve"> UE-specific parameters in the RRC parameter list.</w:t>
            </w:r>
          </w:p>
        </w:tc>
      </w:tr>
      <w:tr w:rsidR="00276BE9" w:rsidRPr="00E61DEB" w14:paraId="4D09A041" w14:textId="77777777" w:rsidTr="007308A9">
        <w:tc>
          <w:tcPr>
            <w:tcW w:w="915" w:type="pct"/>
          </w:tcPr>
          <w:p w14:paraId="3EB0929A" w14:textId="331C4368" w:rsidR="00276BE9" w:rsidRPr="00E61DEB" w:rsidRDefault="00DF3AF7" w:rsidP="007308A9">
            <w:pPr>
              <w:rPr>
                <w:rFonts w:eastAsiaTheme="minorHAnsi"/>
                <w:bCs/>
              </w:rPr>
            </w:pPr>
            <w:r>
              <w:rPr>
                <w:rFonts w:eastAsiaTheme="minorHAnsi"/>
                <w:bCs/>
              </w:rPr>
              <w:t>QC</w:t>
            </w:r>
          </w:p>
        </w:tc>
        <w:tc>
          <w:tcPr>
            <w:tcW w:w="4085" w:type="pct"/>
          </w:tcPr>
          <w:p w14:paraId="16F4EBE0" w14:textId="27CAFF62" w:rsidR="00276BE9" w:rsidRPr="00E61DEB" w:rsidRDefault="00DF3AF7" w:rsidP="007308A9">
            <w:pPr>
              <w:pStyle w:val="af3"/>
              <w:adjustRightInd w:val="0"/>
              <w:snapToGrid w:val="0"/>
              <w:spacing w:after="120"/>
              <w:ind w:left="0"/>
              <w:rPr>
                <w:rFonts w:eastAsiaTheme="minorHAnsi" w:cs="Times New Roman"/>
                <w:bCs/>
                <w:szCs w:val="22"/>
              </w:rPr>
            </w:pPr>
            <w:r>
              <w:rPr>
                <w:rFonts w:eastAsiaTheme="minorHAnsi" w:cs="Times New Roman"/>
                <w:bCs/>
                <w:szCs w:val="22"/>
              </w:rPr>
              <w:t>Only signaling using SIB is agreed. Although dedicated RRC signaling and UE specific could be possible, we need to wait for further discussion beyond Rel-17.</w:t>
            </w:r>
          </w:p>
        </w:tc>
      </w:tr>
      <w:tr w:rsidR="0004452E" w:rsidRPr="00E61DEB" w14:paraId="4BCDBEF6" w14:textId="77777777" w:rsidTr="007308A9">
        <w:tc>
          <w:tcPr>
            <w:tcW w:w="915" w:type="pct"/>
          </w:tcPr>
          <w:p w14:paraId="7DEA8A14" w14:textId="53FA0902" w:rsidR="0004452E" w:rsidRPr="00E61DEB" w:rsidRDefault="00CC6FB0" w:rsidP="007308A9">
            <w:pPr>
              <w:rPr>
                <w:bCs/>
                <w:lang w:eastAsia="zh-CN"/>
              </w:rPr>
            </w:pPr>
            <w:r>
              <w:rPr>
                <w:rFonts w:hint="eastAsia"/>
                <w:bCs/>
                <w:lang w:eastAsia="zh-CN"/>
              </w:rPr>
              <w:t>Z</w:t>
            </w:r>
            <w:r>
              <w:rPr>
                <w:bCs/>
                <w:lang w:eastAsia="zh-CN"/>
              </w:rPr>
              <w:t>TE</w:t>
            </w:r>
          </w:p>
        </w:tc>
        <w:tc>
          <w:tcPr>
            <w:tcW w:w="4085" w:type="pct"/>
          </w:tcPr>
          <w:p w14:paraId="62C78972" w14:textId="133B6793" w:rsidR="0004452E" w:rsidRDefault="00CC6FB0" w:rsidP="00CC6FB0">
            <w:pPr>
              <w:pStyle w:val="af3"/>
              <w:numPr>
                <w:ilvl w:val="0"/>
                <w:numId w:val="46"/>
              </w:numPr>
              <w:adjustRightInd w:val="0"/>
              <w:snapToGrid w:val="0"/>
              <w:spacing w:after="120"/>
              <w:rPr>
                <w:rFonts w:cs="Times New Roman"/>
                <w:bCs/>
                <w:szCs w:val="22"/>
              </w:rPr>
            </w:pPr>
            <w:r>
              <w:rPr>
                <w:rFonts w:cs="Times New Roman"/>
                <w:bCs/>
                <w:szCs w:val="22"/>
              </w:rPr>
              <w:t>Share the view as Ericsson</w:t>
            </w:r>
          </w:p>
          <w:p w14:paraId="29C02810" w14:textId="67E12379" w:rsidR="00CC6FB0" w:rsidRPr="00E61DEB" w:rsidRDefault="00CC6FB0" w:rsidP="00CC6FB0">
            <w:pPr>
              <w:pStyle w:val="af3"/>
              <w:numPr>
                <w:ilvl w:val="0"/>
                <w:numId w:val="46"/>
              </w:numPr>
              <w:adjustRightInd w:val="0"/>
              <w:snapToGrid w:val="0"/>
              <w:spacing w:after="120"/>
              <w:rPr>
                <w:rFonts w:cs="Times New Roman"/>
                <w:bCs/>
                <w:szCs w:val="22"/>
              </w:rPr>
            </w:pPr>
            <w:r>
              <w:rPr>
                <w:rFonts w:cs="Times New Roman"/>
                <w:bCs/>
                <w:szCs w:val="22"/>
              </w:rPr>
              <w:t xml:space="preserve">Regarding the value range of this parameter, we still prefer to introduce the list of polarization </w:t>
            </w:r>
            <w:bookmarkStart w:id="18" w:name="_GoBack"/>
            <w:bookmarkEnd w:id="18"/>
            <w:r>
              <w:rPr>
                <w:rFonts w:cs="Times New Roman"/>
                <w:bCs/>
                <w:szCs w:val="22"/>
              </w:rPr>
              <w:t>information (to support the case that one cell with multiple beams + polarization for frequency reuse), may be updates on this meeting is possible according to the discussion in section 8.4.4.</w:t>
            </w:r>
          </w:p>
        </w:tc>
      </w:tr>
      <w:tr w:rsidR="0004452E" w:rsidRPr="00E61DEB" w14:paraId="50238FE8" w14:textId="77777777" w:rsidTr="007308A9">
        <w:tc>
          <w:tcPr>
            <w:tcW w:w="915" w:type="pct"/>
          </w:tcPr>
          <w:p w14:paraId="2D9E3994" w14:textId="534349CE" w:rsidR="0004452E" w:rsidRPr="00E61DEB" w:rsidRDefault="0004452E" w:rsidP="007308A9">
            <w:pPr>
              <w:rPr>
                <w:rFonts w:eastAsiaTheme="minorHAnsi"/>
                <w:bCs/>
              </w:rPr>
            </w:pPr>
          </w:p>
        </w:tc>
        <w:tc>
          <w:tcPr>
            <w:tcW w:w="4085" w:type="pct"/>
          </w:tcPr>
          <w:p w14:paraId="2A13AEBF" w14:textId="77777777" w:rsidR="0004452E" w:rsidRPr="00E61DEB" w:rsidRDefault="0004452E" w:rsidP="007308A9">
            <w:pPr>
              <w:pStyle w:val="af3"/>
              <w:adjustRightInd w:val="0"/>
              <w:snapToGrid w:val="0"/>
              <w:spacing w:after="120"/>
              <w:ind w:left="0"/>
              <w:rPr>
                <w:rFonts w:cs="Times New Roman"/>
                <w:bCs/>
                <w:szCs w:val="22"/>
              </w:rPr>
            </w:pPr>
          </w:p>
        </w:tc>
      </w:tr>
      <w:tr w:rsidR="0004452E" w:rsidRPr="00E61DEB" w14:paraId="56332BD9" w14:textId="77777777" w:rsidTr="007308A9">
        <w:tc>
          <w:tcPr>
            <w:tcW w:w="915" w:type="pct"/>
          </w:tcPr>
          <w:p w14:paraId="4D820582" w14:textId="77777777" w:rsidR="0004452E" w:rsidRPr="00E61DEB" w:rsidRDefault="0004452E" w:rsidP="007308A9">
            <w:pPr>
              <w:rPr>
                <w:rFonts w:eastAsiaTheme="minorHAnsi"/>
                <w:bCs/>
              </w:rPr>
            </w:pPr>
          </w:p>
        </w:tc>
        <w:tc>
          <w:tcPr>
            <w:tcW w:w="4085" w:type="pct"/>
          </w:tcPr>
          <w:p w14:paraId="101A2612" w14:textId="77777777" w:rsidR="0004452E" w:rsidRPr="00E61DEB" w:rsidRDefault="0004452E" w:rsidP="007308A9">
            <w:pPr>
              <w:pStyle w:val="af3"/>
              <w:adjustRightInd w:val="0"/>
              <w:snapToGrid w:val="0"/>
              <w:spacing w:after="120"/>
              <w:ind w:left="0"/>
              <w:rPr>
                <w:rFonts w:cs="Times New Roman"/>
                <w:bCs/>
                <w:szCs w:val="22"/>
              </w:rPr>
            </w:pPr>
          </w:p>
        </w:tc>
      </w:tr>
    </w:tbl>
    <w:p w14:paraId="06BC5A4B" w14:textId="1C9379CB" w:rsidR="00987FF5" w:rsidRPr="00E61DEB" w:rsidRDefault="00987FF5" w:rsidP="00E302D0"/>
    <w:bookmarkStart w:id="19"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E61DEB" w:rsidRDefault="0021038F" w:rsidP="000A0FB7">
          <w:pPr>
            <w:pStyle w:val="1"/>
            <w:rPr>
              <w:sz w:val="22"/>
              <w:szCs w:val="22"/>
            </w:rPr>
          </w:pPr>
          <w:r w:rsidRPr="00E61DEB">
            <w:rPr>
              <w:sz w:val="22"/>
              <w:szCs w:val="22"/>
            </w:rPr>
            <w:t>Reference</w:t>
          </w:r>
          <w:bookmarkEnd w:id="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E61DEB" w14:paraId="06BC5A4F" w14:textId="77777777" w:rsidTr="0021038F">
            <w:trPr>
              <w:tblCellSpacing w:w="15" w:type="dxa"/>
            </w:trPr>
            <w:tc>
              <w:tcPr>
                <w:tcW w:w="157" w:type="pct"/>
              </w:tcPr>
              <w:p w14:paraId="06BC5A4D" w14:textId="77777777" w:rsidR="00A039A4" w:rsidRPr="00E61DEB" w:rsidRDefault="00A039A4">
                <w:pPr>
                  <w:pStyle w:val="af9"/>
                  <w:rPr>
                    <w:noProof/>
                  </w:rPr>
                </w:pPr>
              </w:p>
            </w:tc>
            <w:tc>
              <w:tcPr>
                <w:tcW w:w="0" w:type="auto"/>
              </w:tcPr>
              <w:p w14:paraId="06BC5A4E" w14:textId="77777777" w:rsidR="00A039A4" w:rsidRPr="00E61DEB" w:rsidRDefault="00A039A4" w:rsidP="00C8512C">
                <w:pPr>
                  <w:pStyle w:val="af9"/>
                  <w:rPr>
                    <w:noProof/>
                  </w:rPr>
                </w:pPr>
              </w:p>
            </w:tc>
          </w:tr>
          <w:tr w:rsidR="00A039A4" w:rsidRPr="00E61DEB" w14:paraId="06BC5A54" w14:textId="77777777" w:rsidTr="0021038F">
            <w:trPr>
              <w:tblCellSpacing w:w="15" w:type="dxa"/>
            </w:trPr>
            <w:tc>
              <w:tcPr>
                <w:tcW w:w="157" w:type="pct"/>
              </w:tcPr>
              <w:p w14:paraId="06BC5A50" w14:textId="77777777" w:rsidR="00A039A4" w:rsidRPr="00E61DEB" w:rsidRDefault="00A039A4">
                <w:pPr>
                  <w:pStyle w:val="af9"/>
                  <w:rPr>
                    <w:noProof/>
                  </w:rPr>
                </w:pPr>
              </w:p>
            </w:tc>
            <w:tc>
              <w:tcPr>
                <w:tcW w:w="0" w:type="auto"/>
              </w:tcPr>
              <w:p w14:paraId="0DC6F98D" w14:textId="77777777" w:rsidR="00C614BD" w:rsidRPr="006E65DB" w:rsidRDefault="00A91373" w:rsidP="006E65DB">
                <w:pPr>
                  <w:pStyle w:val="af3"/>
                  <w:numPr>
                    <w:ilvl w:val="0"/>
                    <w:numId w:val="8"/>
                  </w:numPr>
                  <w:rPr>
                    <w:rFonts w:cs="Times New Roman"/>
                    <w:szCs w:val="22"/>
                    <w:lang w:eastAsia="sv-SE"/>
                  </w:rPr>
                </w:pPr>
                <w:r w:rsidRPr="006E65DB">
                  <w:t xml:space="preserve">R1-2112849 </w:t>
                </w:r>
                <w:r w:rsidRPr="006E65DB">
                  <w:rPr>
                    <w:kern w:val="2"/>
                  </w:rPr>
                  <w:t xml:space="preserve">Summary of </w:t>
                </w:r>
                <w:r w:rsidRPr="006E65DB">
                  <w:rPr>
                    <w:lang w:eastAsia="x-none"/>
                  </w:rPr>
                  <w:t>[107-e-R17-RRC-NR-NTN]</w:t>
                </w:r>
                <w:r w:rsidRPr="006E65DB">
                  <w:t xml:space="preserve"> Email discussion on Rel-17 RRC parameters for NR to support NTN, November 2021, Thales</w:t>
                </w:r>
              </w:p>
              <w:p w14:paraId="25605AC9" w14:textId="77777777" w:rsidR="006E65DB" w:rsidRPr="006E65DB" w:rsidRDefault="006E65DB" w:rsidP="006E65DB">
                <w:pPr>
                  <w:pStyle w:val="af3"/>
                  <w:numPr>
                    <w:ilvl w:val="0"/>
                    <w:numId w:val="8"/>
                  </w:numPr>
                  <w:jc w:val="left"/>
                </w:pPr>
                <w:r w:rsidRPr="006E65DB">
                  <w:t>R1-2200938</w:t>
                </w:r>
                <w:r w:rsidRPr="006E65DB">
                  <w:tab/>
                  <w:t>Maintenance on UL time and frequency synchronization enhancement for NTN</w:t>
                </w:r>
                <w:r w:rsidRPr="006E65DB">
                  <w:tab/>
                  <w:t>Huawei, HiSilicon</w:t>
                </w:r>
              </w:p>
              <w:p w14:paraId="6CACD7FB" w14:textId="77777777" w:rsidR="006E65DB" w:rsidRDefault="005026A8" w:rsidP="005026A8">
                <w:pPr>
                  <w:pStyle w:val="af3"/>
                  <w:numPr>
                    <w:ilvl w:val="0"/>
                    <w:numId w:val="8"/>
                  </w:numPr>
                  <w:rPr>
                    <w:rFonts w:cs="Times New Roman"/>
                    <w:szCs w:val="22"/>
                    <w:lang w:eastAsia="sv-SE"/>
                  </w:rPr>
                </w:pPr>
                <w:r w:rsidRPr="00BA62D1">
                  <w:rPr>
                    <w:bCs/>
                    <w:sz w:val="24"/>
                    <w:szCs w:val="24"/>
                  </w:rPr>
                  <w:t>R1-2201648</w:t>
                </w:r>
                <w:r>
                  <w:rPr>
                    <w:bCs/>
                    <w:sz w:val="24"/>
                    <w:szCs w:val="24"/>
                  </w:rPr>
                  <w:t xml:space="preserve"> </w:t>
                </w:r>
                <w:r w:rsidRPr="005026A8">
                  <w:rPr>
                    <w:rFonts w:cs="Times New Roman"/>
                    <w:szCs w:val="22"/>
                    <w:lang w:eastAsia="sv-SE"/>
                  </w:rPr>
                  <w:t>Maintenance aspects of RRC parameters for Rel-17 NR over NTN</w:t>
                </w:r>
                <w:r>
                  <w:rPr>
                    <w:rFonts w:cs="Times New Roman"/>
                    <w:szCs w:val="22"/>
                    <w:lang w:eastAsia="sv-SE"/>
                  </w:rPr>
                  <w:t xml:space="preserve"> </w:t>
                </w:r>
                <w:r w:rsidRPr="005026A8">
                  <w:rPr>
                    <w:rFonts w:cs="Times New Roman"/>
                    <w:szCs w:val="22"/>
                    <w:lang w:eastAsia="sv-SE"/>
                  </w:rPr>
                  <w:t>Nokia, Nokia Shanghai Bell</w:t>
                </w:r>
              </w:p>
              <w:p w14:paraId="06BC5A53" w14:textId="09C435A6" w:rsidR="003B3033" w:rsidRPr="006E65DB" w:rsidRDefault="003B3033" w:rsidP="003B3033">
                <w:pPr>
                  <w:pStyle w:val="af3"/>
                  <w:numPr>
                    <w:ilvl w:val="0"/>
                    <w:numId w:val="8"/>
                  </w:numPr>
                  <w:rPr>
                    <w:rFonts w:cs="Times New Roman"/>
                    <w:szCs w:val="22"/>
                    <w:lang w:eastAsia="sv-SE"/>
                  </w:rPr>
                </w:pPr>
                <w:r w:rsidRPr="003B3033">
                  <w:rPr>
                    <w:rFonts w:cs="Times New Roman"/>
                    <w:szCs w:val="22"/>
                    <w:lang w:eastAsia="sv-SE"/>
                  </w:rPr>
                  <w:t>R1-2110415</w:t>
                </w:r>
                <w:r>
                  <w:rPr>
                    <w:rFonts w:cs="Times New Roman"/>
                    <w:szCs w:val="22"/>
                    <w:lang w:eastAsia="sv-SE"/>
                  </w:rPr>
                  <w:t xml:space="preserve"> </w:t>
                </w:r>
                <w:r w:rsidRPr="003B3033">
                  <w:rPr>
                    <w:rFonts w:cs="Times New Roman"/>
                    <w:szCs w:val="22"/>
                    <w:lang w:eastAsia="sv-SE"/>
                  </w:rPr>
                  <w:t>Recommendations for RAN1 RRC Parameter Preparation</w:t>
                </w:r>
                <w:r>
                  <w:rPr>
                    <w:rFonts w:cs="Times New Roman"/>
                    <w:szCs w:val="22"/>
                    <w:lang w:eastAsia="sv-SE"/>
                  </w:rPr>
                  <w:t xml:space="preserve">, </w:t>
                </w:r>
                <w:r w:rsidRPr="003B3033">
                  <w:rPr>
                    <w:rFonts w:cs="Times New Roman"/>
                    <w:szCs w:val="22"/>
                    <w:lang w:eastAsia="sv-SE"/>
                  </w:rPr>
                  <w:t>Moderator (Ericsson)</w:t>
                </w:r>
              </w:p>
            </w:tc>
          </w:tr>
          <w:tr w:rsidR="00A039A4" w:rsidRPr="00E61DEB" w14:paraId="06BC5A57" w14:textId="77777777" w:rsidTr="0021038F">
            <w:trPr>
              <w:tblCellSpacing w:w="15" w:type="dxa"/>
            </w:trPr>
            <w:tc>
              <w:tcPr>
                <w:tcW w:w="157" w:type="pct"/>
              </w:tcPr>
              <w:p w14:paraId="06BC5A55" w14:textId="77777777" w:rsidR="00A039A4" w:rsidRPr="00E61DEB" w:rsidRDefault="00A039A4" w:rsidP="00A039A4">
                <w:pPr>
                  <w:pStyle w:val="af9"/>
                  <w:rPr>
                    <w:noProof/>
                  </w:rPr>
                </w:pPr>
              </w:p>
            </w:tc>
            <w:tc>
              <w:tcPr>
                <w:tcW w:w="0" w:type="auto"/>
              </w:tcPr>
              <w:p w14:paraId="06BC5A56" w14:textId="77777777" w:rsidR="00A039A4" w:rsidRPr="00E61DEB" w:rsidRDefault="00A039A4">
                <w:pPr>
                  <w:pStyle w:val="af9"/>
                  <w:rPr>
                    <w:noProof/>
                  </w:rPr>
                </w:pPr>
              </w:p>
            </w:tc>
          </w:tr>
          <w:tr w:rsidR="00A039A4" w:rsidRPr="00E61DEB" w14:paraId="06BC5A5A" w14:textId="77777777" w:rsidTr="0021038F">
            <w:trPr>
              <w:tblCellSpacing w:w="15" w:type="dxa"/>
            </w:trPr>
            <w:tc>
              <w:tcPr>
                <w:tcW w:w="157" w:type="pct"/>
              </w:tcPr>
              <w:p w14:paraId="06BC5A58" w14:textId="77777777" w:rsidR="00A039A4" w:rsidRPr="00E61DEB" w:rsidRDefault="00A039A4">
                <w:pPr>
                  <w:pStyle w:val="af9"/>
                  <w:rPr>
                    <w:noProof/>
                  </w:rPr>
                </w:pPr>
              </w:p>
            </w:tc>
            <w:tc>
              <w:tcPr>
                <w:tcW w:w="0" w:type="auto"/>
              </w:tcPr>
              <w:p w14:paraId="06BC5A59" w14:textId="77777777" w:rsidR="00A039A4" w:rsidRPr="00E61DEB" w:rsidRDefault="00A039A4">
                <w:pPr>
                  <w:pStyle w:val="af9"/>
                  <w:rPr>
                    <w:noProof/>
                  </w:rPr>
                </w:pPr>
              </w:p>
            </w:tc>
          </w:tr>
        </w:tbl>
        <w:p w14:paraId="06BC5A5B" w14:textId="77777777" w:rsidR="000777B2" w:rsidRPr="00E61DEB" w:rsidRDefault="00C06E36" w:rsidP="000777B2"/>
      </w:sdtContent>
    </w:sdt>
    <w:sectPr w:rsidR="000777B2" w:rsidRPr="00E61DEB"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2D54D" w14:textId="77777777" w:rsidR="00C06E36" w:rsidRDefault="00C06E36">
      <w:r>
        <w:separator/>
      </w:r>
    </w:p>
  </w:endnote>
  <w:endnote w:type="continuationSeparator" w:id="0">
    <w:p w14:paraId="686824D1" w14:textId="77777777" w:rsidR="00C06E36" w:rsidRDefault="00C0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ACF89" w14:textId="77777777" w:rsidR="00C06E36" w:rsidRDefault="00C06E36">
      <w:r>
        <w:separator/>
      </w:r>
    </w:p>
  </w:footnote>
  <w:footnote w:type="continuationSeparator" w:id="0">
    <w:p w14:paraId="41726A72" w14:textId="77777777" w:rsidR="00C06E36" w:rsidRDefault="00C06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2529DE"/>
    <w:multiLevelType w:val="hybridMultilevel"/>
    <w:tmpl w:val="FEDCCA14"/>
    <w:lvl w:ilvl="0" w:tplc="F19C8BC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38B1BCC"/>
    <w:multiLevelType w:val="hybridMultilevel"/>
    <w:tmpl w:val="2AB4A66A"/>
    <w:lvl w:ilvl="0" w:tplc="B5A8667A">
      <w:numFmt w:val="bullet"/>
      <w:lvlText w:val="-"/>
      <w:lvlJc w:val="left"/>
      <w:pPr>
        <w:ind w:left="720" w:hanging="360"/>
      </w:pPr>
      <w:rPr>
        <w:rFonts w:ascii="Times" w:eastAsia="Batang"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E406DF3"/>
    <w:multiLevelType w:val="hybridMultilevel"/>
    <w:tmpl w:val="C19AD886"/>
    <w:lvl w:ilvl="0" w:tplc="B5A8667A">
      <w:numFmt w:val="bullet"/>
      <w:lvlText w:val="-"/>
      <w:lvlJc w:val="left"/>
      <w:pPr>
        <w:ind w:left="720" w:hanging="360"/>
      </w:pPr>
      <w:rPr>
        <w:rFonts w:ascii="Times" w:eastAsia="Batang"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16E44"/>
    <w:multiLevelType w:val="multilevel"/>
    <w:tmpl w:val="23216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B74567"/>
    <w:multiLevelType w:val="hybridMultilevel"/>
    <w:tmpl w:val="70841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C7B5F"/>
    <w:multiLevelType w:val="hybridMultilevel"/>
    <w:tmpl w:val="6C52F9B0"/>
    <w:lvl w:ilvl="0" w:tplc="988EF38C">
      <w:start w:val="1"/>
      <w:numFmt w:val="bullet"/>
      <w:lvlText w:val="•"/>
      <w:lvlJc w:val="left"/>
      <w:pPr>
        <w:tabs>
          <w:tab w:val="num" w:pos="720"/>
        </w:tabs>
        <w:ind w:left="720" w:hanging="360"/>
      </w:pPr>
      <w:rPr>
        <w:rFonts w:ascii="Arial" w:hAnsi="Arial" w:hint="default"/>
      </w:rPr>
    </w:lvl>
    <w:lvl w:ilvl="1" w:tplc="D1880464" w:tentative="1">
      <w:start w:val="1"/>
      <w:numFmt w:val="bullet"/>
      <w:lvlText w:val="•"/>
      <w:lvlJc w:val="left"/>
      <w:pPr>
        <w:tabs>
          <w:tab w:val="num" w:pos="1440"/>
        </w:tabs>
        <w:ind w:left="1440" w:hanging="360"/>
      </w:pPr>
      <w:rPr>
        <w:rFonts w:ascii="Arial" w:hAnsi="Arial" w:hint="default"/>
      </w:rPr>
    </w:lvl>
    <w:lvl w:ilvl="2" w:tplc="BF62A760">
      <w:start w:val="1"/>
      <w:numFmt w:val="bullet"/>
      <w:lvlText w:val="•"/>
      <w:lvlJc w:val="left"/>
      <w:pPr>
        <w:tabs>
          <w:tab w:val="num" w:pos="2160"/>
        </w:tabs>
        <w:ind w:left="2160" w:hanging="360"/>
      </w:pPr>
      <w:rPr>
        <w:rFonts w:ascii="Arial" w:hAnsi="Arial" w:hint="default"/>
      </w:rPr>
    </w:lvl>
    <w:lvl w:ilvl="3" w:tplc="A6189A30" w:tentative="1">
      <w:start w:val="1"/>
      <w:numFmt w:val="bullet"/>
      <w:lvlText w:val="•"/>
      <w:lvlJc w:val="left"/>
      <w:pPr>
        <w:tabs>
          <w:tab w:val="num" w:pos="2880"/>
        </w:tabs>
        <w:ind w:left="2880" w:hanging="360"/>
      </w:pPr>
      <w:rPr>
        <w:rFonts w:ascii="Arial" w:hAnsi="Arial" w:hint="default"/>
      </w:rPr>
    </w:lvl>
    <w:lvl w:ilvl="4" w:tplc="A796C9B2" w:tentative="1">
      <w:start w:val="1"/>
      <w:numFmt w:val="bullet"/>
      <w:lvlText w:val="•"/>
      <w:lvlJc w:val="left"/>
      <w:pPr>
        <w:tabs>
          <w:tab w:val="num" w:pos="3600"/>
        </w:tabs>
        <w:ind w:left="3600" w:hanging="360"/>
      </w:pPr>
      <w:rPr>
        <w:rFonts w:ascii="Arial" w:hAnsi="Arial" w:hint="default"/>
      </w:rPr>
    </w:lvl>
    <w:lvl w:ilvl="5" w:tplc="43462F26" w:tentative="1">
      <w:start w:val="1"/>
      <w:numFmt w:val="bullet"/>
      <w:lvlText w:val="•"/>
      <w:lvlJc w:val="left"/>
      <w:pPr>
        <w:tabs>
          <w:tab w:val="num" w:pos="4320"/>
        </w:tabs>
        <w:ind w:left="4320" w:hanging="360"/>
      </w:pPr>
      <w:rPr>
        <w:rFonts w:ascii="Arial" w:hAnsi="Arial" w:hint="default"/>
      </w:rPr>
    </w:lvl>
    <w:lvl w:ilvl="6" w:tplc="3110A4B6" w:tentative="1">
      <w:start w:val="1"/>
      <w:numFmt w:val="bullet"/>
      <w:lvlText w:val="•"/>
      <w:lvlJc w:val="left"/>
      <w:pPr>
        <w:tabs>
          <w:tab w:val="num" w:pos="5040"/>
        </w:tabs>
        <w:ind w:left="5040" w:hanging="360"/>
      </w:pPr>
      <w:rPr>
        <w:rFonts w:ascii="Arial" w:hAnsi="Arial" w:hint="default"/>
      </w:rPr>
    </w:lvl>
    <w:lvl w:ilvl="7" w:tplc="56A6AB80" w:tentative="1">
      <w:start w:val="1"/>
      <w:numFmt w:val="bullet"/>
      <w:lvlText w:val="•"/>
      <w:lvlJc w:val="left"/>
      <w:pPr>
        <w:tabs>
          <w:tab w:val="num" w:pos="5760"/>
        </w:tabs>
        <w:ind w:left="5760" w:hanging="360"/>
      </w:pPr>
      <w:rPr>
        <w:rFonts w:ascii="Arial" w:hAnsi="Arial" w:hint="default"/>
      </w:rPr>
    </w:lvl>
    <w:lvl w:ilvl="8" w:tplc="C16AA4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81257F"/>
    <w:multiLevelType w:val="hybridMultilevel"/>
    <w:tmpl w:val="5916FAB0"/>
    <w:lvl w:ilvl="0" w:tplc="9D241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5803323"/>
    <w:multiLevelType w:val="hybridMultilevel"/>
    <w:tmpl w:val="559820FC"/>
    <w:lvl w:ilvl="0" w:tplc="40767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63A1F"/>
    <w:multiLevelType w:val="hybridMultilevel"/>
    <w:tmpl w:val="0F6C2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53A86"/>
    <w:multiLevelType w:val="hybridMultilevel"/>
    <w:tmpl w:val="CD025CBA"/>
    <w:lvl w:ilvl="0" w:tplc="A1BE85AE">
      <w:start w:val="1"/>
      <w:numFmt w:val="decimal"/>
      <w:lvlText w:val="%1."/>
      <w:lvlJc w:val="left"/>
      <w:pPr>
        <w:ind w:left="360" w:hanging="360"/>
      </w:pPr>
      <w:rPr>
        <w:rFonts w:ascii="Arial" w:eastAsiaTheme="minorEastAsia" w:hAnsi="Arial" w:cs="Arial" w:hint="default"/>
        <w:color w:val="FF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183CDD"/>
    <w:multiLevelType w:val="hybridMultilevel"/>
    <w:tmpl w:val="5B1840DE"/>
    <w:lvl w:ilvl="0" w:tplc="B6C8C8E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D01BE6"/>
    <w:multiLevelType w:val="hybridMultilevel"/>
    <w:tmpl w:val="E9784E44"/>
    <w:lvl w:ilvl="0" w:tplc="0786F832">
      <w:start w:val="1"/>
      <w:numFmt w:val="bullet"/>
      <w:lvlText w:val="•"/>
      <w:lvlJc w:val="left"/>
      <w:pPr>
        <w:tabs>
          <w:tab w:val="num" w:pos="720"/>
        </w:tabs>
        <w:ind w:left="720" w:hanging="360"/>
      </w:pPr>
      <w:rPr>
        <w:rFonts w:ascii="Arial" w:hAnsi="Arial" w:hint="default"/>
      </w:rPr>
    </w:lvl>
    <w:lvl w:ilvl="1" w:tplc="39282562" w:tentative="1">
      <w:start w:val="1"/>
      <w:numFmt w:val="bullet"/>
      <w:lvlText w:val="•"/>
      <w:lvlJc w:val="left"/>
      <w:pPr>
        <w:tabs>
          <w:tab w:val="num" w:pos="1440"/>
        </w:tabs>
        <w:ind w:left="1440" w:hanging="360"/>
      </w:pPr>
      <w:rPr>
        <w:rFonts w:ascii="Arial" w:hAnsi="Arial" w:hint="default"/>
      </w:rPr>
    </w:lvl>
    <w:lvl w:ilvl="2" w:tplc="AACC01CE">
      <w:start w:val="1"/>
      <w:numFmt w:val="bullet"/>
      <w:lvlText w:val="•"/>
      <w:lvlJc w:val="left"/>
      <w:pPr>
        <w:tabs>
          <w:tab w:val="num" w:pos="2160"/>
        </w:tabs>
        <w:ind w:left="2160" w:hanging="360"/>
      </w:pPr>
      <w:rPr>
        <w:rFonts w:ascii="Arial" w:hAnsi="Arial" w:hint="default"/>
      </w:rPr>
    </w:lvl>
    <w:lvl w:ilvl="3" w:tplc="800CBCB2">
      <w:start w:val="302"/>
      <w:numFmt w:val="bullet"/>
      <w:lvlText w:val="•"/>
      <w:lvlJc w:val="left"/>
      <w:pPr>
        <w:tabs>
          <w:tab w:val="num" w:pos="2880"/>
        </w:tabs>
        <w:ind w:left="2880" w:hanging="360"/>
      </w:pPr>
      <w:rPr>
        <w:rFonts w:ascii="Arial" w:hAnsi="Arial" w:hint="default"/>
      </w:rPr>
    </w:lvl>
    <w:lvl w:ilvl="4" w:tplc="6AA0D7F6">
      <w:start w:val="302"/>
      <w:numFmt w:val="bullet"/>
      <w:lvlText w:val="•"/>
      <w:lvlJc w:val="left"/>
      <w:pPr>
        <w:tabs>
          <w:tab w:val="num" w:pos="3600"/>
        </w:tabs>
        <w:ind w:left="3600" w:hanging="360"/>
      </w:pPr>
      <w:rPr>
        <w:rFonts w:ascii="Arial" w:hAnsi="Arial" w:hint="default"/>
      </w:rPr>
    </w:lvl>
    <w:lvl w:ilvl="5" w:tplc="9CC4B07A" w:tentative="1">
      <w:start w:val="1"/>
      <w:numFmt w:val="bullet"/>
      <w:lvlText w:val="•"/>
      <w:lvlJc w:val="left"/>
      <w:pPr>
        <w:tabs>
          <w:tab w:val="num" w:pos="4320"/>
        </w:tabs>
        <w:ind w:left="4320" w:hanging="360"/>
      </w:pPr>
      <w:rPr>
        <w:rFonts w:ascii="Arial" w:hAnsi="Arial" w:hint="default"/>
      </w:rPr>
    </w:lvl>
    <w:lvl w:ilvl="6" w:tplc="E2489478" w:tentative="1">
      <w:start w:val="1"/>
      <w:numFmt w:val="bullet"/>
      <w:lvlText w:val="•"/>
      <w:lvlJc w:val="left"/>
      <w:pPr>
        <w:tabs>
          <w:tab w:val="num" w:pos="5040"/>
        </w:tabs>
        <w:ind w:left="5040" w:hanging="360"/>
      </w:pPr>
      <w:rPr>
        <w:rFonts w:ascii="Arial" w:hAnsi="Arial" w:hint="default"/>
      </w:rPr>
    </w:lvl>
    <w:lvl w:ilvl="7" w:tplc="671618A4" w:tentative="1">
      <w:start w:val="1"/>
      <w:numFmt w:val="bullet"/>
      <w:lvlText w:val="•"/>
      <w:lvlJc w:val="left"/>
      <w:pPr>
        <w:tabs>
          <w:tab w:val="num" w:pos="5760"/>
        </w:tabs>
        <w:ind w:left="5760" w:hanging="360"/>
      </w:pPr>
      <w:rPr>
        <w:rFonts w:ascii="Arial" w:hAnsi="Arial" w:hint="default"/>
      </w:rPr>
    </w:lvl>
    <w:lvl w:ilvl="8" w:tplc="97B694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54327C"/>
    <w:multiLevelType w:val="hybridMultilevel"/>
    <w:tmpl w:val="D1B4812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A524BFD"/>
    <w:multiLevelType w:val="hybridMultilevel"/>
    <w:tmpl w:val="CC020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132D0"/>
    <w:multiLevelType w:val="hybridMultilevel"/>
    <w:tmpl w:val="40AC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E2EFD"/>
    <w:multiLevelType w:val="hybridMultilevel"/>
    <w:tmpl w:val="CCCC3D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DE3F50"/>
    <w:multiLevelType w:val="hybridMultilevel"/>
    <w:tmpl w:val="231893F0"/>
    <w:lvl w:ilvl="0" w:tplc="C6786B4A">
      <w:start w:val="1"/>
      <w:numFmt w:val="bullet"/>
      <w:lvlText w:val=""/>
      <w:lvlJc w:val="left"/>
      <w:pPr>
        <w:tabs>
          <w:tab w:val="num" w:pos="720"/>
        </w:tabs>
        <w:ind w:left="720" w:hanging="360"/>
      </w:pPr>
      <w:rPr>
        <w:rFonts w:ascii="Symbol" w:hAnsi="Symbol" w:hint="default"/>
      </w:rPr>
    </w:lvl>
    <w:lvl w:ilvl="1" w:tplc="931E50B6">
      <w:start w:val="302"/>
      <w:numFmt w:val="bullet"/>
      <w:lvlText w:val="o"/>
      <w:lvlJc w:val="left"/>
      <w:pPr>
        <w:tabs>
          <w:tab w:val="num" w:pos="1440"/>
        </w:tabs>
        <w:ind w:left="1440" w:hanging="360"/>
      </w:pPr>
      <w:rPr>
        <w:rFonts w:ascii="Courier New" w:hAnsi="Courier New" w:hint="default"/>
      </w:rPr>
    </w:lvl>
    <w:lvl w:ilvl="2" w:tplc="CA9402D4" w:tentative="1">
      <w:start w:val="1"/>
      <w:numFmt w:val="bullet"/>
      <w:lvlText w:val=""/>
      <w:lvlJc w:val="left"/>
      <w:pPr>
        <w:tabs>
          <w:tab w:val="num" w:pos="2160"/>
        </w:tabs>
        <w:ind w:left="2160" w:hanging="360"/>
      </w:pPr>
      <w:rPr>
        <w:rFonts w:ascii="Symbol" w:hAnsi="Symbol" w:hint="default"/>
      </w:rPr>
    </w:lvl>
    <w:lvl w:ilvl="3" w:tplc="CFB87E32" w:tentative="1">
      <w:start w:val="1"/>
      <w:numFmt w:val="bullet"/>
      <w:lvlText w:val=""/>
      <w:lvlJc w:val="left"/>
      <w:pPr>
        <w:tabs>
          <w:tab w:val="num" w:pos="2880"/>
        </w:tabs>
        <w:ind w:left="2880" w:hanging="360"/>
      </w:pPr>
      <w:rPr>
        <w:rFonts w:ascii="Symbol" w:hAnsi="Symbol" w:hint="default"/>
      </w:rPr>
    </w:lvl>
    <w:lvl w:ilvl="4" w:tplc="E718432E" w:tentative="1">
      <w:start w:val="1"/>
      <w:numFmt w:val="bullet"/>
      <w:lvlText w:val=""/>
      <w:lvlJc w:val="left"/>
      <w:pPr>
        <w:tabs>
          <w:tab w:val="num" w:pos="3600"/>
        </w:tabs>
        <w:ind w:left="3600" w:hanging="360"/>
      </w:pPr>
      <w:rPr>
        <w:rFonts w:ascii="Symbol" w:hAnsi="Symbol" w:hint="default"/>
      </w:rPr>
    </w:lvl>
    <w:lvl w:ilvl="5" w:tplc="ADE251DC" w:tentative="1">
      <w:start w:val="1"/>
      <w:numFmt w:val="bullet"/>
      <w:lvlText w:val=""/>
      <w:lvlJc w:val="left"/>
      <w:pPr>
        <w:tabs>
          <w:tab w:val="num" w:pos="4320"/>
        </w:tabs>
        <w:ind w:left="4320" w:hanging="360"/>
      </w:pPr>
      <w:rPr>
        <w:rFonts w:ascii="Symbol" w:hAnsi="Symbol" w:hint="default"/>
      </w:rPr>
    </w:lvl>
    <w:lvl w:ilvl="6" w:tplc="F4D0784C" w:tentative="1">
      <w:start w:val="1"/>
      <w:numFmt w:val="bullet"/>
      <w:lvlText w:val=""/>
      <w:lvlJc w:val="left"/>
      <w:pPr>
        <w:tabs>
          <w:tab w:val="num" w:pos="5040"/>
        </w:tabs>
        <w:ind w:left="5040" w:hanging="360"/>
      </w:pPr>
      <w:rPr>
        <w:rFonts w:ascii="Symbol" w:hAnsi="Symbol" w:hint="default"/>
      </w:rPr>
    </w:lvl>
    <w:lvl w:ilvl="7" w:tplc="7848DB12" w:tentative="1">
      <w:start w:val="1"/>
      <w:numFmt w:val="bullet"/>
      <w:lvlText w:val=""/>
      <w:lvlJc w:val="left"/>
      <w:pPr>
        <w:tabs>
          <w:tab w:val="num" w:pos="5760"/>
        </w:tabs>
        <w:ind w:left="5760" w:hanging="360"/>
      </w:pPr>
      <w:rPr>
        <w:rFonts w:ascii="Symbol" w:hAnsi="Symbol" w:hint="default"/>
      </w:rPr>
    </w:lvl>
    <w:lvl w:ilvl="8" w:tplc="F99A139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3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C319E"/>
    <w:multiLevelType w:val="hybridMultilevel"/>
    <w:tmpl w:val="3F1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F297C"/>
    <w:multiLevelType w:val="hybridMultilevel"/>
    <w:tmpl w:val="AC1068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224BDF"/>
    <w:multiLevelType w:val="hybridMultilevel"/>
    <w:tmpl w:val="CE40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7621C"/>
    <w:multiLevelType w:val="hybridMultilevel"/>
    <w:tmpl w:val="228E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4436D9"/>
    <w:multiLevelType w:val="hybridMultilevel"/>
    <w:tmpl w:val="DCB0E7AE"/>
    <w:lvl w:ilvl="0" w:tplc="B6C8C8EA">
      <w:numFmt w:val="bullet"/>
      <w:lvlText w:val=""/>
      <w:lvlJc w:val="left"/>
      <w:pPr>
        <w:ind w:left="400" w:hanging="400"/>
      </w:pPr>
      <w:rPr>
        <w:rFonts w:ascii="Symbol" w:eastAsia="Calibri" w:hAnsi="Symbol" w:cs="Aria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7FE718C7"/>
    <w:multiLevelType w:val="hybridMultilevel"/>
    <w:tmpl w:val="478E9BB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2"/>
  </w:num>
  <w:num w:numId="3">
    <w:abstractNumId w:val="38"/>
  </w:num>
  <w:num w:numId="4">
    <w:abstractNumId w:val="3"/>
  </w:num>
  <w:num w:numId="5">
    <w:abstractNumId w:val="24"/>
  </w:num>
  <w:num w:numId="6">
    <w:abstractNumId w:val="33"/>
  </w:num>
  <w:num w:numId="7">
    <w:abstractNumId w:val="26"/>
  </w:num>
  <w:num w:numId="8">
    <w:abstractNumId w:val="4"/>
  </w:num>
  <w:num w:numId="9">
    <w:abstractNumId w:val="16"/>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7"/>
  </w:num>
  <w:num w:numId="14">
    <w:abstractNumId w:val="25"/>
  </w:num>
  <w:num w:numId="15">
    <w:abstractNumId w:val="10"/>
  </w:num>
  <w:num w:numId="16">
    <w:abstractNumId w:val="31"/>
  </w:num>
  <w:num w:numId="17">
    <w:abstractNumId w:val="9"/>
  </w:num>
  <w:num w:numId="18">
    <w:abstractNumId w:val="30"/>
  </w:num>
  <w:num w:numId="19">
    <w:abstractNumId w:val="36"/>
  </w:num>
  <w:num w:numId="20">
    <w:abstractNumId w:val="28"/>
  </w:num>
  <w:num w:numId="21">
    <w:abstractNumId w:val="11"/>
  </w:num>
  <w:num w:numId="22">
    <w:abstractNumId w:val="22"/>
  </w:num>
  <w:num w:numId="23">
    <w:abstractNumId w:val="32"/>
  </w:num>
  <w:num w:numId="24">
    <w:abstractNumId w:val="1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num>
  <w:num w:numId="29">
    <w:abstractNumId w:val="9"/>
  </w:num>
  <w:num w:numId="30">
    <w:abstractNumId w:val="30"/>
  </w:num>
  <w:num w:numId="31">
    <w:abstractNumId w:val="5"/>
  </w:num>
  <w:num w:numId="32">
    <w:abstractNumId w:val="1"/>
  </w:num>
  <w:num w:numId="33">
    <w:abstractNumId w:val="37"/>
  </w:num>
  <w:num w:numId="34">
    <w:abstractNumId w:val="34"/>
  </w:num>
  <w:num w:numId="35">
    <w:abstractNumId w:val="21"/>
  </w:num>
  <w:num w:numId="36">
    <w:abstractNumId w:val="7"/>
  </w:num>
  <w:num w:numId="37">
    <w:abstractNumId w:val="23"/>
  </w:num>
  <w:num w:numId="38">
    <w:abstractNumId w:val="39"/>
  </w:num>
  <w:num w:numId="39">
    <w:abstractNumId w:val="8"/>
  </w:num>
  <w:num w:numId="40">
    <w:abstractNumId w:val="40"/>
  </w:num>
  <w:num w:numId="41">
    <w:abstractNumId w:val="20"/>
  </w:num>
  <w:num w:numId="42">
    <w:abstractNumId w:val="29"/>
  </w:num>
  <w:num w:numId="43">
    <w:abstractNumId w:val="18"/>
  </w:num>
  <w:num w:numId="44">
    <w:abstractNumId w:val="35"/>
  </w:num>
  <w:num w:numId="45">
    <w:abstractNumId w:val="27"/>
  </w:num>
  <w:num w:numId="4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B4C"/>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4C9C"/>
    <w:rsid w:val="00025115"/>
    <w:rsid w:val="00025DBE"/>
    <w:rsid w:val="0002605C"/>
    <w:rsid w:val="00026388"/>
    <w:rsid w:val="000268FF"/>
    <w:rsid w:val="00026932"/>
    <w:rsid w:val="00026D4B"/>
    <w:rsid w:val="00026ECA"/>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EE0"/>
    <w:rsid w:val="0004202B"/>
    <w:rsid w:val="000420D0"/>
    <w:rsid w:val="000426B9"/>
    <w:rsid w:val="00042720"/>
    <w:rsid w:val="0004290B"/>
    <w:rsid w:val="000431C5"/>
    <w:rsid w:val="000434B7"/>
    <w:rsid w:val="000435C9"/>
    <w:rsid w:val="000435E4"/>
    <w:rsid w:val="00043EAA"/>
    <w:rsid w:val="0004418C"/>
    <w:rsid w:val="0004452E"/>
    <w:rsid w:val="0004483A"/>
    <w:rsid w:val="00044E41"/>
    <w:rsid w:val="000455FE"/>
    <w:rsid w:val="00045607"/>
    <w:rsid w:val="00045CDA"/>
    <w:rsid w:val="000466D9"/>
    <w:rsid w:val="0004671B"/>
    <w:rsid w:val="00046796"/>
    <w:rsid w:val="000467FD"/>
    <w:rsid w:val="00046AAF"/>
    <w:rsid w:val="00047225"/>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1C9"/>
    <w:rsid w:val="00062403"/>
    <w:rsid w:val="00062A4F"/>
    <w:rsid w:val="0006300C"/>
    <w:rsid w:val="000634A6"/>
    <w:rsid w:val="000636D1"/>
    <w:rsid w:val="00063F01"/>
    <w:rsid w:val="00063F42"/>
    <w:rsid w:val="00063F5E"/>
    <w:rsid w:val="0006402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4EBB"/>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E1D"/>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110"/>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571"/>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409"/>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BC0"/>
    <w:rsid w:val="000C4CEF"/>
    <w:rsid w:val="000C52F9"/>
    <w:rsid w:val="000C5974"/>
    <w:rsid w:val="000C5A38"/>
    <w:rsid w:val="000C5ACF"/>
    <w:rsid w:val="000C5B95"/>
    <w:rsid w:val="000C5E65"/>
    <w:rsid w:val="000C5F91"/>
    <w:rsid w:val="000C6025"/>
    <w:rsid w:val="000C6279"/>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E32"/>
    <w:rsid w:val="000D3F5E"/>
    <w:rsid w:val="000D4292"/>
    <w:rsid w:val="000D457A"/>
    <w:rsid w:val="000D4A6D"/>
    <w:rsid w:val="000D4B01"/>
    <w:rsid w:val="000D4C4E"/>
    <w:rsid w:val="000D5077"/>
    <w:rsid w:val="000D5362"/>
    <w:rsid w:val="000D55DB"/>
    <w:rsid w:val="000D5673"/>
    <w:rsid w:val="000D5746"/>
    <w:rsid w:val="000D57F8"/>
    <w:rsid w:val="000D5851"/>
    <w:rsid w:val="000D595D"/>
    <w:rsid w:val="000D5AF8"/>
    <w:rsid w:val="000D5C60"/>
    <w:rsid w:val="000D5D6F"/>
    <w:rsid w:val="000D5FD7"/>
    <w:rsid w:val="000D6227"/>
    <w:rsid w:val="000D68F8"/>
    <w:rsid w:val="000D6C2D"/>
    <w:rsid w:val="000D6E50"/>
    <w:rsid w:val="000D71E2"/>
    <w:rsid w:val="000D7384"/>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E7B21"/>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9D"/>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22D"/>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6B"/>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0EB"/>
    <w:rsid w:val="001121AE"/>
    <w:rsid w:val="0011221F"/>
    <w:rsid w:val="0011288D"/>
    <w:rsid w:val="00112928"/>
    <w:rsid w:val="001129B5"/>
    <w:rsid w:val="00112A00"/>
    <w:rsid w:val="001132FD"/>
    <w:rsid w:val="001141E3"/>
    <w:rsid w:val="001144DF"/>
    <w:rsid w:val="001147A4"/>
    <w:rsid w:val="00114BE0"/>
    <w:rsid w:val="0011533B"/>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2C6"/>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68D"/>
    <w:rsid w:val="001347E7"/>
    <w:rsid w:val="00134939"/>
    <w:rsid w:val="001349B6"/>
    <w:rsid w:val="00134B88"/>
    <w:rsid w:val="00134C49"/>
    <w:rsid w:val="00135434"/>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05A"/>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CC9"/>
    <w:rsid w:val="00164DAB"/>
    <w:rsid w:val="001655AC"/>
    <w:rsid w:val="00165945"/>
    <w:rsid w:val="00165BBB"/>
    <w:rsid w:val="00165BC8"/>
    <w:rsid w:val="0016613F"/>
    <w:rsid w:val="00166215"/>
    <w:rsid w:val="0016640F"/>
    <w:rsid w:val="00166591"/>
    <w:rsid w:val="00166791"/>
    <w:rsid w:val="001668D4"/>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AF"/>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4210"/>
    <w:rsid w:val="00185332"/>
    <w:rsid w:val="0018538E"/>
    <w:rsid w:val="0018588A"/>
    <w:rsid w:val="0018588C"/>
    <w:rsid w:val="0018596B"/>
    <w:rsid w:val="00185A12"/>
    <w:rsid w:val="00185D01"/>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21"/>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5DD7"/>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5D8"/>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3C2"/>
    <w:rsid w:val="001C3771"/>
    <w:rsid w:val="001C3A99"/>
    <w:rsid w:val="001C3AE4"/>
    <w:rsid w:val="001C3D3D"/>
    <w:rsid w:val="001C3EE9"/>
    <w:rsid w:val="001C3FA4"/>
    <w:rsid w:val="001C40F9"/>
    <w:rsid w:val="001C439F"/>
    <w:rsid w:val="001C458B"/>
    <w:rsid w:val="001C4706"/>
    <w:rsid w:val="001C4AE2"/>
    <w:rsid w:val="001C4BD6"/>
    <w:rsid w:val="001C4FC2"/>
    <w:rsid w:val="001C5D4F"/>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DEC"/>
    <w:rsid w:val="001D0FAB"/>
    <w:rsid w:val="001D13FA"/>
    <w:rsid w:val="001D15BB"/>
    <w:rsid w:val="001D2360"/>
    <w:rsid w:val="001D24FA"/>
    <w:rsid w:val="001D2932"/>
    <w:rsid w:val="001D2DA1"/>
    <w:rsid w:val="001D2EC5"/>
    <w:rsid w:val="001D2FFA"/>
    <w:rsid w:val="001D3109"/>
    <w:rsid w:val="001D3181"/>
    <w:rsid w:val="001D31F9"/>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38A"/>
    <w:rsid w:val="001D6567"/>
    <w:rsid w:val="001D695C"/>
    <w:rsid w:val="001D6CFC"/>
    <w:rsid w:val="001D6FB2"/>
    <w:rsid w:val="001D6FD9"/>
    <w:rsid w:val="001D72E2"/>
    <w:rsid w:val="001D7447"/>
    <w:rsid w:val="001D765A"/>
    <w:rsid w:val="001D7764"/>
    <w:rsid w:val="001D780E"/>
    <w:rsid w:val="001D7BD2"/>
    <w:rsid w:val="001D7E19"/>
    <w:rsid w:val="001E0510"/>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809"/>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DCC"/>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611F"/>
    <w:rsid w:val="001F6152"/>
    <w:rsid w:val="001F649C"/>
    <w:rsid w:val="001F6E34"/>
    <w:rsid w:val="001F7121"/>
    <w:rsid w:val="001F759E"/>
    <w:rsid w:val="001F75DD"/>
    <w:rsid w:val="001F7897"/>
    <w:rsid w:val="001F7A8C"/>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433"/>
    <w:rsid w:val="0020271B"/>
    <w:rsid w:val="00202B61"/>
    <w:rsid w:val="00202D5A"/>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606"/>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127"/>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26E"/>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66E"/>
    <w:rsid w:val="002267AB"/>
    <w:rsid w:val="00226865"/>
    <w:rsid w:val="00226BDA"/>
    <w:rsid w:val="00226DFF"/>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4FC5"/>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EFE"/>
    <w:rsid w:val="00261089"/>
    <w:rsid w:val="00261C98"/>
    <w:rsid w:val="002620A3"/>
    <w:rsid w:val="002623D0"/>
    <w:rsid w:val="0026248E"/>
    <w:rsid w:val="00262914"/>
    <w:rsid w:val="00262987"/>
    <w:rsid w:val="00262ACB"/>
    <w:rsid w:val="00262E50"/>
    <w:rsid w:val="002630C1"/>
    <w:rsid w:val="0026393E"/>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90F"/>
    <w:rsid w:val="00266B13"/>
    <w:rsid w:val="0026716F"/>
    <w:rsid w:val="00267B2D"/>
    <w:rsid w:val="00270063"/>
    <w:rsid w:val="0027024D"/>
    <w:rsid w:val="002702C9"/>
    <w:rsid w:val="00270728"/>
    <w:rsid w:val="002707BA"/>
    <w:rsid w:val="002707C4"/>
    <w:rsid w:val="00270D42"/>
    <w:rsid w:val="0027154B"/>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6BE9"/>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C13"/>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CCB"/>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4E5"/>
    <w:rsid w:val="002A5640"/>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B5B"/>
    <w:rsid w:val="002B5DCA"/>
    <w:rsid w:val="002B63CF"/>
    <w:rsid w:val="002B6565"/>
    <w:rsid w:val="002B6899"/>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6F5E"/>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00"/>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9CB"/>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1E57"/>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4F5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39A"/>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0ED"/>
    <w:rsid w:val="00352219"/>
    <w:rsid w:val="00352290"/>
    <w:rsid w:val="0035236D"/>
    <w:rsid w:val="00352480"/>
    <w:rsid w:val="003529BC"/>
    <w:rsid w:val="00352D7A"/>
    <w:rsid w:val="00352DA6"/>
    <w:rsid w:val="003530D2"/>
    <w:rsid w:val="00353147"/>
    <w:rsid w:val="0035331A"/>
    <w:rsid w:val="003534E1"/>
    <w:rsid w:val="0035395D"/>
    <w:rsid w:val="00353A7C"/>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D16"/>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4C9"/>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949"/>
    <w:rsid w:val="00396AE0"/>
    <w:rsid w:val="00396B18"/>
    <w:rsid w:val="00396C65"/>
    <w:rsid w:val="0039712E"/>
    <w:rsid w:val="003971B8"/>
    <w:rsid w:val="0039747A"/>
    <w:rsid w:val="00397493"/>
    <w:rsid w:val="00397A6B"/>
    <w:rsid w:val="00397BBD"/>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033"/>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A56"/>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709"/>
    <w:rsid w:val="003C0BEE"/>
    <w:rsid w:val="003C1012"/>
    <w:rsid w:val="003C10A1"/>
    <w:rsid w:val="003C1173"/>
    <w:rsid w:val="003C11C9"/>
    <w:rsid w:val="003C1229"/>
    <w:rsid w:val="003C15E1"/>
    <w:rsid w:val="003C1A60"/>
    <w:rsid w:val="003C1FD4"/>
    <w:rsid w:val="003C213D"/>
    <w:rsid w:val="003C225B"/>
    <w:rsid w:val="003C2382"/>
    <w:rsid w:val="003C2406"/>
    <w:rsid w:val="003C25AD"/>
    <w:rsid w:val="003C2664"/>
    <w:rsid w:val="003C2D21"/>
    <w:rsid w:val="003C3563"/>
    <w:rsid w:val="003C3587"/>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2FD"/>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218"/>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5C"/>
    <w:rsid w:val="00424687"/>
    <w:rsid w:val="00424932"/>
    <w:rsid w:val="00424A9F"/>
    <w:rsid w:val="00424C29"/>
    <w:rsid w:val="004251D6"/>
    <w:rsid w:val="0042545B"/>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BE7"/>
    <w:rsid w:val="00455D31"/>
    <w:rsid w:val="004563A7"/>
    <w:rsid w:val="00456421"/>
    <w:rsid w:val="0045656B"/>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278"/>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1CD"/>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AF5"/>
    <w:rsid w:val="004B4B8E"/>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5B6"/>
    <w:rsid w:val="004C1840"/>
    <w:rsid w:val="004C19A3"/>
    <w:rsid w:val="004C24C9"/>
    <w:rsid w:val="004C2ADA"/>
    <w:rsid w:val="004C2EDA"/>
    <w:rsid w:val="004C2FCF"/>
    <w:rsid w:val="004C31B6"/>
    <w:rsid w:val="004C32D7"/>
    <w:rsid w:val="004C402D"/>
    <w:rsid w:val="004C407E"/>
    <w:rsid w:val="004C4336"/>
    <w:rsid w:val="004C433A"/>
    <w:rsid w:val="004C43B7"/>
    <w:rsid w:val="004C4BC1"/>
    <w:rsid w:val="004C4C4C"/>
    <w:rsid w:val="004C5082"/>
    <w:rsid w:val="004C5319"/>
    <w:rsid w:val="004C55D3"/>
    <w:rsid w:val="004C5C87"/>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4B5"/>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2BE"/>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A8"/>
    <w:rsid w:val="005026CA"/>
    <w:rsid w:val="00502B72"/>
    <w:rsid w:val="00502B7E"/>
    <w:rsid w:val="00502C9F"/>
    <w:rsid w:val="00502D10"/>
    <w:rsid w:val="0050359E"/>
    <w:rsid w:val="00503F1F"/>
    <w:rsid w:val="00503FFD"/>
    <w:rsid w:val="00504340"/>
    <w:rsid w:val="0050441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035D"/>
    <w:rsid w:val="00511035"/>
    <w:rsid w:val="00511C6E"/>
    <w:rsid w:val="00511F15"/>
    <w:rsid w:val="005120D6"/>
    <w:rsid w:val="0051223D"/>
    <w:rsid w:val="00512287"/>
    <w:rsid w:val="005124FA"/>
    <w:rsid w:val="0051272C"/>
    <w:rsid w:val="005128B5"/>
    <w:rsid w:val="0051318C"/>
    <w:rsid w:val="00513197"/>
    <w:rsid w:val="00513A87"/>
    <w:rsid w:val="00513AC1"/>
    <w:rsid w:val="005142CD"/>
    <w:rsid w:val="005143C9"/>
    <w:rsid w:val="00514B2D"/>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A7"/>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104A"/>
    <w:rsid w:val="00541122"/>
    <w:rsid w:val="005416AD"/>
    <w:rsid w:val="00541833"/>
    <w:rsid w:val="00541AA0"/>
    <w:rsid w:val="00541D23"/>
    <w:rsid w:val="00541F63"/>
    <w:rsid w:val="00542272"/>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7A9"/>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AEE"/>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553"/>
    <w:rsid w:val="00586A96"/>
    <w:rsid w:val="00586CAF"/>
    <w:rsid w:val="00587345"/>
    <w:rsid w:val="00587B57"/>
    <w:rsid w:val="00587F8D"/>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5E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691"/>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5A1C"/>
    <w:rsid w:val="005C671C"/>
    <w:rsid w:val="005C6926"/>
    <w:rsid w:val="005C692E"/>
    <w:rsid w:val="005C6AEA"/>
    <w:rsid w:val="005C6D67"/>
    <w:rsid w:val="005C6EDE"/>
    <w:rsid w:val="005C712D"/>
    <w:rsid w:val="005C72BE"/>
    <w:rsid w:val="005C7755"/>
    <w:rsid w:val="005C7AC9"/>
    <w:rsid w:val="005C7C75"/>
    <w:rsid w:val="005C7CA1"/>
    <w:rsid w:val="005D0069"/>
    <w:rsid w:val="005D0750"/>
    <w:rsid w:val="005D0E4F"/>
    <w:rsid w:val="005D1314"/>
    <w:rsid w:val="005D14D0"/>
    <w:rsid w:val="005D15D0"/>
    <w:rsid w:val="005D197E"/>
    <w:rsid w:val="005D1A3F"/>
    <w:rsid w:val="005D1AED"/>
    <w:rsid w:val="005D1BC2"/>
    <w:rsid w:val="005D1E32"/>
    <w:rsid w:val="005D206B"/>
    <w:rsid w:val="005D22B7"/>
    <w:rsid w:val="005D2BDE"/>
    <w:rsid w:val="005D38B0"/>
    <w:rsid w:val="005D3B60"/>
    <w:rsid w:val="005D3CA4"/>
    <w:rsid w:val="005D3D76"/>
    <w:rsid w:val="005D3F19"/>
    <w:rsid w:val="005D4191"/>
    <w:rsid w:val="005D44C4"/>
    <w:rsid w:val="005D4566"/>
    <w:rsid w:val="005D4578"/>
    <w:rsid w:val="005D4B2E"/>
    <w:rsid w:val="005D4EB0"/>
    <w:rsid w:val="005D4EFA"/>
    <w:rsid w:val="005D54C3"/>
    <w:rsid w:val="005D55BA"/>
    <w:rsid w:val="005D59D6"/>
    <w:rsid w:val="005D5ADB"/>
    <w:rsid w:val="005D5B27"/>
    <w:rsid w:val="005D5C91"/>
    <w:rsid w:val="005D5CD0"/>
    <w:rsid w:val="005D6112"/>
    <w:rsid w:val="005D648A"/>
    <w:rsid w:val="005D654C"/>
    <w:rsid w:val="005D6829"/>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49D2"/>
    <w:rsid w:val="005E52E5"/>
    <w:rsid w:val="005E53F9"/>
    <w:rsid w:val="005E5925"/>
    <w:rsid w:val="005E592C"/>
    <w:rsid w:val="005E5B0B"/>
    <w:rsid w:val="005E5F05"/>
    <w:rsid w:val="005E6294"/>
    <w:rsid w:val="005E62BF"/>
    <w:rsid w:val="005E6504"/>
    <w:rsid w:val="005E6790"/>
    <w:rsid w:val="005E6A78"/>
    <w:rsid w:val="005E6DD4"/>
    <w:rsid w:val="005E6E6C"/>
    <w:rsid w:val="005E7034"/>
    <w:rsid w:val="005E7242"/>
    <w:rsid w:val="005E775D"/>
    <w:rsid w:val="005E7C77"/>
    <w:rsid w:val="005E7DD4"/>
    <w:rsid w:val="005F061B"/>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CA9"/>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8E5"/>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C62"/>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A0"/>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5F4"/>
    <w:rsid w:val="00642601"/>
    <w:rsid w:val="00642D69"/>
    <w:rsid w:val="00642DD8"/>
    <w:rsid w:val="006435FF"/>
    <w:rsid w:val="00643660"/>
    <w:rsid w:val="00643750"/>
    <w:rsid w:val="0064487F"/>
    <w:rsid w:val="006448CB"/>
    <w:rsid w:val="00644F3A"/>
    <w:rsid w:val="006450D9"/>
    <w:rsid w:val="00645468"/>
    <w:rsid w:val="00645739"/>
    <w:rsid w:val="00645CB3"/>
    <w:rsid w:val="00645FF6"/>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CAF"/>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642"/>
    <w:rsid w:val="006819B4"/>
    <w:rsid w:val="006819DF"/>
    <w:rsid w:val="00681B36"/>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165"/>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B7E78"/>
    <w:rsid w:val="006C05BE"/>
    <w:rsid w:val="006C0F8B"/>
    <w:rsid w:val="006C1019"/>
    <w:rsid w:val="006C115C"/>
    <w:rsid w:val="006C1619"/>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34"/>
    <w:rsid w:val="006C7EB0"/>
    <w:rsid w:val="006D00DB"/>
    <w:rsid w:val="006D026B"/>
    <w:rsid w:val="006D0300"/>
    <w:rsid w:val="006D0361"/>
    <w:rsid w:val="006D053C"/>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233"/>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5DB"/>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6EE"/>
    <w:rsid w:val="006F375C"/>
    <w:rsid w:val="006F42FA"/>
    <w:rsid w:val="006F4624"/>
    <w:rsid w:val="006F4AEF"/>
    <w:rsid w:val="006F4C0A"/>
    <w:rsid w:val="006F52E5"/>
    <w:rsid w:val="006F5357"/>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44F"/>
    <w:rsid w:val="00707755"/>
    <w:rsid w:val="0070782D"/>
    <w:rsid w:val="00707EC1"/>
    <w:rsid w:val="007100F6"/>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8A9"/>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EBE"/>
    <w:rsid w:val="00734F47"/>
    <w:rsid w:val="00735522"/>
    <w:rsid w:val="00735605"/>
    <w:rsid w:val="00735662"/>
    <w:rsid w:val="007358C4"/>
    <w:rsid w:val="007358CF"/>
    <w:rsid w:val="00735973"/>
    <w:rsid w:val="007367F2"/>
    <w:rsid w:val="00736B04"/>
    <w:rsid w:val="00736C31"/>
    <w:rsid w:val="00736DD8"/>
    <w:rsid w:val="0073731E"/>
    <w:rsid w:val="00737615"/>
    <w:rsid w:val="007377C4"/>
    <w:rsid w:val="00737D1E"/>
    <w:rsid w:val="00737F9B"/>
    <w:rsid w:val="0074033A"/>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27"/>
    <w:rsid w:val="00750BFB"/>
    <w:rsid w:val="0075101B"/>
    <w:rsid w:val="00751091"/>
    <w:rsid w:val="00751B83"/>
    <w:rsid w:val="00751EBA"/>
    <w:rsid w:val="007520C2"/>
    <w:rsid w:val="0075253C"/>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AF1"/>
    <w:rsid w:val="00775B46"/>
    <w:rsid w:val="00775BE3"/>
    <w:rsid w:val="00775D71"/>
    <w:rsid w:val="00775F76"/>
    <w:rsid w:val="0077660D"/>
    <w:rsid w:val="0077696A"/>
    <w:rsid w:val="00776AEA"/>
    <w:rsid w:val="00777363"/>
    <w:rsid w:val="00777370"/>
    <w:rsid w:val="00777AA6"/>
    <w:rsid w:val="00777BA0"/>
    <w:rsid w:val="00777F2D"/>
    <w:rsid w:val="00777FDF"/>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34D"/>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87E9C"/>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5179"/>
    <w:rsid w:val="00797109"/>
    <w:rsid w:val="00797921"/>
    <w:rsid w:val="007A022A"/>
    <w:rsid w:val="007A052C"/>
    <w:rsid w:val="007A05C7"/>
    <w:rsid w:val="007A0B99"/>
    <w:rsid w:val="007A0BC2"/>
    <w:rsid w:val="007A0D31"/>
    <w:rsid w:val="007A0E55"/>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4E58"/>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83"/>
    <w:rsid w:val="007F11C8"/>
    <w:rsid w:val="007F120A"/>
    <w:rsid w:val="007F1CFB"/>
    <w:rsid w:val="007F220B"/>
    <w:rsid w:val="007F27DD"/>
    <w:rsid w:val="007F2AE3"/>
    <w:rsid w:val="007F33A3"/>
    <w:rsid w:val="007F34ED"/>
    <w:rsid w:val="007F3522"/>
    <w:rsid w:val="007F3586"/>
    <w:rsid w:val="007F35ED"/>
    <w:rsid w:val="007F36FD"/>
    <w:rsid w:val="007F388B"/>
    <w:rsid w:val="007F3C15"/>
    <w:rsid w:val="007F3D15"/>
    <w:rsid w:val="007F3ECA"/>
    <w:rsid w:val="007F3EDD"/>
    <w:rsid w:val="007F43D5"/>
    <w:rsid w:val="007F443C"/>
    <w:rsid w:val="007F4F90"/>
    <w:rsid w:val="007F4FE4"/>
    <w:rsid w:val="007F58E1"/>
    <w:rsid w:val="007F5A37"/>
    <w:rsid w:val="007F5EFC"/>
    <w:rsid w:val="007F5FA5"/>
    <w:rsid w:val="007F605F"/>
    <w:rsid w:val="007F681D"/>
    <w:rsid w:val="007F6880"/>
    <w:rsid w:val="007F68E0"/>
    <w:rsid w:val="007F69F1"/>
    <w:rsid w:val="007F70DF"/>
    <w:rsid w:val="007F7237"/>
    <w:rsid w:val="007F76B4"/>
    <w:rsid w:val="007F76E4"/>
    <w:rsid w:val="008000BE"/>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37D"/>
    <w:rsid w:val="008048DB"/>
    <w:rsid w:val="00804B92"/>
    <w:rsid w:val="00804E21"/>
    <w:rsid w:val="00805092"/>
    <w:rsid w:val="00805141"/>
    <w:rsid w:val="0080601C"/>
    <w:rsid w:val="008067CC"/>
    <w:rsid w:val="00806AAF"/>
    <w:rsid w:val="00806FD7"/>
    <w:rsid w:val="008070AC"/>
    <w:rsid w:val="00807F23"/>
    <w:rsid w:val="008101FD"/>
    <w:rsid w:val="00810225"/>
    <w:rsid w:val="00810AB5"/>
    <w:rsid w:val="00810D8D"/>
    <w:rsid w:val="00810E59"/>
    <w:rsid w:val="00810F97"/>
    <w:rsid w:val="00811835"/>
    <w:rsid w:val="00811961"/>
    <w:rsid w:val="00812089"/>
    <w:rsid w:val="0081297C"/>
    <w:rsid w:val="00812A20"/>
    <w:rsid w:val="00812AAC"/>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DD0"/>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EC5"/>
    <w:rsid w:val="00827308"/>
    <w:rsid w:val="008274BF"/>
    <w:rsid w:val="00827603"/>
    <w:rsid w:val="0082786A"/>
    <w:rsid w:val="008279AE"/>
    <w:rsid w:val="00830991"/>
    <w:rsid w:val="00830B75"/>
    <w:rsid w:val="00830DBF"/>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6B53"/>
    <w:rsid w:val="008376F6"/>
    <w:rsid w:val="008378AA"/>
    <w:rsid w:val="00837B0A"/>
    <w:rsid w:val="00837D5B"/>
    <w:rsid w:val="00837E83"/>
    <w:rsid w:val="0084010D"/>
    <w:rsid w:val="00840607"/>
    <w:rsid w:val="00840768"/>
    <w:rsid w:val="00840970"/>
    <w:rsid w:val="008411FC"/>
    <w:rsid w:val="00841C3B"/>
    <w:rsid w:val="00841CD2"/>
    <w:rsid w:val="0084253D"/>
    <w:rsid w:val="008428BE"/>
    <w:rsid w:val="00842910"/>
    <w:rsid w:val="00842931"/>
    <w:rsid w:val="00842A9B"/>
    <w:rsid w:val="00842B77"/>
    <w:rsid w:val="00842EEA"/>
    <w:rsid w:val="0084309F"/>
    <w:rsid w:val="008434B9"/>
    <w:rsid w:val="00844198"/>
    <w:rsid w:val="008444AA"/>
    <w:rsid w:val="00844613"/>
    <w:rsid w:val="00844997"/>
    <w:rsid w:val="00844A90"/>
    <w:rsid w:val="00844D85"/>
    <w:rsid w:val="008450C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FD"/>
    <w:rsid w:val="00850EEB"/>
    <w:rsid w:val="00851358"/>
    <w:rsid w:val="00851492"/>
    <w:rsid w:val="008514BE"/>
    <w:rsid w:val="00851549"/>
    <w:rsid w:val="00851958"/>
    <w:rsid w:val="00851B0C"/>
    <w:rsid w:val="00851B30"/>
    <w:rsid w:val="00851B6B"/>
    <w:rsid w:val="00851C17"/>
    <w:rsid w:val="00851F48"/>
    <w:rsid w:val="00851FE4"/>
    <w:rsid w:val="008521E8"/>
    <w:rsid w:val="008524BC"/>
    <w:rsid w:val="008524D2"/>
    <w:rsid w:val="0085264A"/>
    <w:rsid w:val="008528F4"/>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4E7A"/>
    <w:rsid w:val="008650FC"/>
    <w:rsid w:val="008653FA"/>
    <w:rsid w:val="00865B3A"/>
    <w:rsid w:val="0086626A"/>
    <w:rsid w:val="008662D4"/>
    <w:rsid w:val="008663E7"/>
    <w:rsid w:val="0086641D"/>
    <w:rsid w:val="00866EB3"/>
    <w:rsid w:val="0086701A"/>
    <w:rsid w:val="0086757B"/>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201"/>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55"/>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33E8"/>
    <w:rsid w:val="00883819"/>
    <w:rsid w:val="00883890"/>
    <w:rsid w:val="008846C5"/>
    <w:rsid w:val="008846F1"/>
    <w:rsid w:val="008847D2"/>
    <w:rsid w:val="00885CA4"/>
    <w:rsid w:val="00885FA3"/>
    <w:rsid w:val="00886870"/>
    <w:rsid w:val="00886A1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51D"/>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66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91"/>
    <w:rsid w:val="008A50E5"/>
    <w:rsid w:val="008A5199"/>
    <w:rsid w:val="008A5940"/>
    <w:rsid w:val="008A626C"/>
    <w:rsid w:val="008A672A"/>
    <w:rsid w:val="008A6AC3"/>
    <w:rsid w:val="008A6B7F"/>
    <w:rsid w:val="008A71DF"/>
    <w:rsid w:val="008A73B2"/>
    <w:rsid w:val="008A7415"/>
    <w:rsid w:val="008B043F"/>
    <w:rsid w:val="008B0808"/>
    <w:rsid w:val="008B0869"/>
    <w:rsid w:val="008B0AEC"/>
    <w:rsid w:val="008B0CDD"/>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2A"/>
    <w:rsid w:val="008B694E"/>
    <w:rsid w:val="008B7081"/>
    <w:rsid w:val="008B7098"/>
    <w:rsid w:val="008B72E2"/>
    <w:rsid w:val="008B7B08"/>
    <w:rsid w:val="008C00B5"/>
    <w:rsid w:val="008C0A1E"/>
    <w:rsid w:val="008C0CE9"/>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26B"/>
    <w:rsid w:val="008C785E"/>
    <w:rsid w:val="008D004F"/>
    <w:rsid w:val="008D083E"/>
    <w:rsid w:val="008D0AD1"/>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5E21"/>
    <w:rsid w:val="008D60BC"/>
    <w:rsid w:val="008D6322"/>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5EDE"/>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862"/>
    <w:rsid w:val="00924FF8"/>
    <w:rsid w:val="0092510A"/>
    <w:rsid w:val="0092526C"/>
    <w:rsid w:val="00925445"/>
    <w:rsid w:val="00925578"/>
    <w:rsid w:val="009257D1"/>
    <w:rsid w:val="009258E2"/>
    <w:rsid w:val="00925BA8"/>
    <w:rsid w:val="009266F4"/>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439"/>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77DB6"/>
    <w:rsid w:val="00981144"/>
    <w:rsid w:val="009813ED"/>
    <w:rsid w:val="0098143D"/>
    <w:rsid w:val="0098147B"/>
    <w:rsid w:val="0098194F"/>
    <w:rsid w:val="00981D58"/>
    <w:rsid w:val="00981DE8"/>
    <w:rsid w:val="00981FF8"/>
    <w:rsid w:val="00982632"/>
    <w:rsid w:val="009826C8"/>
    <w:rsid w:val="0098325E"/>
    <w:rsid w:val="009834AB"/>
    <w:rsid w:val="009836E4"/>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19E"/>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3F40"/>
    <w:rsid w:val="009A42E8"/>
    <w:rsid w:val="009A432F"/>
    <w:rsid w:val="009A457D"/>
    <w:rsid w:val="009A483C"/>
    <w:rsid w:val="009A4869"/>
    <w:rsid w:val="009A48DA"/>
    <w:rsid w:val="009A4B74"/>
    <w:rsid w:val="009A4CA4"/>
    <w:rsid w:val="009A5624"/>
    <w:rsid w:val="009A5A7A"/>
    <w:rsid w:val="009A5AE1"/>
    <w:rsid w:val="009A5E3F"/>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170"/>
    <w:rsid w:val="009B376B"/>
    <w:rsid w:val="009B37E2"/>
    <w:rsid w:val="009B3CF6"/>
    <w:rsid w:val="009B3EE0"/>
    <w:rsid w:val="009B4305"/>
    <w:rsid w:val="009B4519"/>
    <w:rsid w:val="009B4FDE"/>
    <w:rsid w:val="009B506B"/>
    <w:rsid w:val="009B5111"/>
    <w:rsid w:val="009B5259"/>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0C5"/>
    <w:rsid w:val="009C52AF"/>
    <w:rsid w:val="009C5393"/>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31"/>
    <w:rsid w:val="009D78B0"/>
    <w:rsid w:val="009D78D0"/>
    <w:rsid w:val="009D7B89"/>
    <w:rsid w:val="009E058F"/>
    <w:rsid w:val="009E05BC"/>
    <w:rsid w:val="009E067E"/>
    <w:rsid w:val="009E0A9E"/>
    <w:rsid w:val="009E0F27"/>
    <w:rsid w:val="009E0F39"/>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7B0"/>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763"/>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2C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44A"/>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705"/>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EF9"/>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7B3"/>
    <w:rsid w:val="00A378EB"/>
    <w:rsid w:val="00A37C5D"/>
    <w:rsid w:val="00A37DE9"/>
    <w:rsid w:val="00A40EAA"/>
    <w:rsid w:val="00A40F05"/>
    <w:rsid w:val="00A40F3B"/>
    <w:rsid w:val="00A41B37"/>
    <w:rsid w:val="00A42458"/>
    <w:rsid w:val="00A4267B"/>
    <w:rsid w:val="00A42912"/>
    <w:rsid w:val="00A42DF9"/>
    <w:rsid w:val="00A42E06"/>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637"/>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8C8"/>
    <w:rsid w:val="00A55F79"/>
    <w:rsid w:val="00A56167"/>
    <w:rsid w:val="00A5639B"/>
    <w:rsid w:val="00A56739"/>
    <w:rsid w:val="00A569D4"/>
    <w:rsid w:val="00A56A8E"/>
    <w:rsid w:val="00A56D26"/>
    <w:rsid w:val="00A56F5C"/>
    <w:rsid w:val="00A5753C"/>
    <w:rsid w:val="00A5767A"/>
    <w:rsid w:val="00A57806"/>
    <w:rsid w:val="00A57967"/>
    <w:rsid w:val="00A57AF9"/>
    <w:rsid w:val="00A57F1A"/>
    <w:rsid w:val="00A60163"/>
    <w:rsid w:val="00A60174"/>
    <w:rsid w:val="00A6038D"/>
    <w:rsid w:val="00A605E4"/>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699A"/>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A9B"/>
    <w:rsid w:val="00A81CDF"/>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245"/>
    <w:rsid w:val="00A91373"/>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97EC4"/>
    <w:rsid w:val="00AA01DA"/>
    <w:rsid w:val="00AA0477"/>
    <w:rsid w:val="00AA08C6"/>
    <w:rsid w:val="00AA0C34"/>
    <w:rsid w:val="00AA0D73"/>
    <w:rsid w:val="00AA11FE"/>
    <w:rsid w:val="00AA1626"/>
    <w:rsid w:val="00AA1653"/>
    <w:rsid w:val="00AA19F2"/>
    <w:rsid w:val="00AA1C25"/>
    <w:rsid w:val="00AA1DC6"/>
    <w:rsid w:val="00AA1EAB"/>
    <w:rsid w:val="00AA2894"/>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6F91"/>
    <w:rsid w:val="00AA70B0"/>
    <w:rsid w:val="00AA7542"/>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E88"/>
    <w:rsid w:val="00AC109B"/>
    <w:rsid w:val="00AC111C"/>
    <w:rsid w:val="00AC12CB"/>
    <w:rsid w:val="00AC12F0"/>
    <w:rsid w:val="00AC174A"/>
    <w:rsid w:val="00AC24C7"/>
    <w:rsid w:val="00AC2896"/>
    <w:rsid w:val="00AC28D4"/>
    <w:rsid w:val="00AC2BA4"/>
    <w:rsid w:val="00AC2BAB"/>
    <w:rsid w:val="00AC2CBD"/>
    <w:rsid w:val="00AC2D2D"/>
    <w:rsid w:val="00AC3A07"/>
    <w:rsid w:val="00AC4167"/>
    <w:rsid w:val="00AC44F8"/>
    <w:rsid w:val="00AC4BD1"/>
    <w:rsid w:val="00AC50BD"/>
    <w:rsid w:val="00AC59A5"/>
    <w:rsid w:val="00AC6752"/>
    <w:rsid w:val="00AC67F3"/>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0D36"/>
    <w:rsid w:val="00AD11F7"/>
    <w:rsid w:val="00AD139C"/>
    <w:rsid w:val="00AD160C"/>
    <w:rsid w:val="00AD1DB7"/>
    <w:rsid w:val="00AD1F4C"/>
    <w:rsid w:val="00AD1F85"/>
    <w:rsid w:val="00AD1FE3"/>
    <w:rsid w:val="00AD2759"/>
    <w:rsid w:val="00AD278C"/>
    <w:rsid w:val="00AD2852"/>
    <w:rsid w:val="00AD2C9E"/>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00A"/>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206"/>
    <w:rsid w:val="00AF05CB"/>
    <w:rsid w:val="00AF0A7F"/>
    <w:rsid w:val="00AF0B51"/>
    <w:rsid w:val="00AF146B"/>
    <w:rsid w:val="00AF1538"/>
    <w:rsid w:val="00AF1699"/>
    <w:rsid w:val="00AF17C2"/>
    <w:rsid w:val="00AF18D6"/>
    <w:rsid w:val="00AF18E5"/>
    <w:rsid w:val="00AF21FB"/>
    <w:rsid w:val="00AF2348"/>
    <w:rsid w:val="00AF25D5"/>
    <w:rsid w:val="00AF2752"/>
    <w:rsid w:val="00AF28D4"/>
    <w:rsid w:val="00AF2CCB"/>
    <w:rsid w:val="00AF3C9F"/>
    <w:rsid w:val="00AF3DBB"/>
    <w:rsid w:val="00AF4205"/>
    <w:rsid w:val="00AF4209"/>
    <w:rsid w:val="00AF5194"/>
    <w:rsid w:val="00AF53EF"/>
    <w:rsid w:val="00AF59D5"/>
    <w:rsid w:val="00AF5A94"/>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A3"/>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C20"/>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A4F"/>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6F6"/>
    <w:rsid w:val="00B26AB0"/>
    <w:rsid w:val="00B26AD2"/>
    <w:rsid w:val="00B26C46"/>
    <w:rsid w:val="00B26CA2"/>
    <w:rsid w:val="00B273D1"/>
    <w:rsid w:val="00B2770D"/>
    <w:rsid w:val="00B27E25"/>
    <w:rsid w:val="00B30263"/>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0EA"/>
    <w:rsid w:val="00B464DE"/>
    <w:rsid w:val="00B46620"/>
    <w:rsid w:val="00B467AD"/>
    <w:rsid w:val="00B4696E"/>
    <w:rsid w:val="00B47093"/>
    <w:rsid w:val="00B47598"/>
    <w:rsid w:val="00B4759B"/>
    <w:rsid w:val="00B4792A"/>
    <w:rsid w:val="00B5005A"/>
    <w:rsid w:val="00B500B2"/>
    <w:rsid w:val="00B504C1"/>
    <w:rsid w:val="00B506EA"/>
    <w:rsid w:val="00B50B02"/>
    <w:rsid w:val="00B50E84"/>
    <w:rsid w:val="00B5118C"/>
    <w:rsid w:val="00B51542"/>
    <w:rsid w:val="00B519ED"/>
    <w:rsid w:val="00B51D1D"/>
    <w:rsid w:val="00B51F24"/>
    <w:rsid w:val="00B51FA9"/>
    <w:rsid w:val="00B52034"/>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B48"/>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0B"/>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6FE6"/>
    <w:rsid w:val="00B97260"/>
    <w:rsid w:val="00B9754B"/>
    <w:rsid w:val="00B978B7"/>
    <w:rsid w:val="00B97A69"/>
    <w:rsid w:val="00BA00EF"/>
    <w:rsid w:val="00BA02DA"/>
    <w:rsid w:val="00BA0632"/>
    <w:rsid w:val="00BA0AAA"/>
    <w:rsid w:val="00BA0AD1"/>
    <w:rsid w:val="00BA0DFB"/>
    <w:rsid w:val="00BA160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4B"/>
    <w:rsid w:val="00BC208C"/>
    <w:rsid w:val="00BC2A20"/>
    <w:rsid w:val="00BC2AAA"/>
    <w:rsid w:val="00BC2D9D"/>
    <w:rsid w:val="00BC307F"/>
    <w:rsid w:val="00BC3159"/>
    <w:rsid w:val="00BC3192"/>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1B0"/>
    <w:rsid w:val="00BD4617"/>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7A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096"/>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057"/>
    <w:rsid w:val="00BF5285"/>
    <w:rsid w:val="00BF533C"/>
    <w:rsid w:val="00BF5552"/>
    <w:rsid w:val="00BF59B5"/>
    <w:rsid w:val="00BF5C37"/>
    <w:rsid w:val="00BF5E90"/>
    <w:rsid w:val="00BF62C4"/>
    <w:rsid w:val="00BF64B4"/>
    <w:rsid w:val="00BF671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5CF"/>
    <w:rsid w:val="00C05972"/>
    <w:rsid w:val="00C059EE"/>
    <w:rsid w:val="00C05BEC"/>
    <w:rsid w:val="00C06616"/>
    <w:rsid w:val="00C06E30"/>
    <w:rsid w:val="00C06E36"/>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AD7"/>
    <w:rsid w:val="00C21C7A"/>
    <w:rsid w:val="00C21FBD"/>
    <w:rsid w:val="00C21FFD"/>
    <w:rsid w:val="00C22766"/>
    <w:rsid w:val="00C227F8"/>
    <w:rsid w:val="00C22ADF"/>
    <w:rsid w:val="00C22E61"/>
    <w:rsid w:val="00C22FF4"/>
    <w:rsid w:val="00C23130"/>
    <w:rsid w:val="00C23578"/>
    <w:rsid w:val="00C236C2"/>
    <w:rsid w:val="00C238FF"/>
    <w:rsid w:val="00C23A1F"/>
    <w:rsid w:val="00C23CC4"/>
    <w:rsid w:val="00C23CC8"/>
    <w:rsid w:val="00C23D8A"/>
    <w:rsid w:val="00C23EB0"/>
    <w:rsid w:val="00C24232"/>
    <w:rsid w:val="00C24756"/>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3B66"/>
    <w:rsid w:val="00C3400F"/>
    <w:rsid w:val="00C340E0"/>
    <w:rsid w:val="00C347CC"/>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531"/>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C32"/>
    <w:rsid w:val="00C57E45"/>
    <w:rsid w:val="00C57FD0"/>
    <w:rsid w:val="00C6017E"/>
    <w:rsid w:val="00C6038C"/>
    <w:rsid w:val="00C6041F"/>
    <w:rsid w:val="00C60D08"/>
    <w:rsid w:val="00C60E04"/>
    <w:rsid w:val="00C61068"/>
    <w:rsid w:val="00C610C1"/>
    <w:rsid w:val="00C6135F"/>
    <w:rsid w:val="00C61459"/>
    <w:rsid w:val="00C614BD"/>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C7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53"/>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52"/>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30D"/>
    <w:rsid w:val="00CC17F0"/>
    <w:rsid w:val="00CC1853"/>
    <w:rsid w:val="00CC1F0B"/>
    <w:rsid w:val="00CC1FAE"/>
    <w:rsid w:val="00CC26C4"/>
    <w:rsid w:val="00CC26CF"/>
    <w:rsid w:val="00CC2865"/>
    <w:rsid w:val="00CC2CDF"/>
    <w:rsid w:val="00CC2EAF"/>
    <w:rsid w:val="00CC3A23"/>
    <w:rsid w:val="00CC430E"/>
    <w:rsid w:val="00CC48DC"/>
    <w:rsid w:val="00CC4A6D"/>
    <w:rsid w:val="00CC4AB7"/>
    <w:rsid w:val="00CC4D16"/>
    <w:rsid w:val="00CC5345"/>
    <w:rsid w:val="00CC56EC"/>
    <w:rsid w:val="00CC5C5B"/>
    <w:rsid w:val="00CC6BFB"/>
    <w:rsid w:val="00CC6CBB"/>
    <w:rsid w:val="00CC6FB0"/>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D94"/>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41D"/>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78B"/>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4F4B"/>
    <w:rsid w:val="00D15027"/>
    <w:rsid w:val="00D15F43"/>
    <w:rsid w:val="00D161C6"/>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07B"/>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9C4"/>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E19"/>
    <w:rsid w:val="00D4004B"/>
    <w:rsid w:val="00D4017F"/>
    <w:rsid w:val="00D403F7"/>
    <w:rsid w:val="00D40622"/>
    <w:rsid w:val="00D41685"/>
    <w:rsid w:val="00D416F0"/>
    <w:rsid w:val="00D41784"/>
    <w:rsid w:val="00D41AEC"/>
    <w:rsid w:val="00D42333"/>
    <w:rsid w:val="00D42981"/>
    <w:rsid w:val="00D42A20"/>
    <w:rsid w:val="00D4313F"/>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8F8"/>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562"/>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2A5"/>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6A3"/>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61E"/>
    <w:rsid w:val="00D92BF8"/>
    <w:rsid w:val="00D92C29"/>
    <w:rsid w:val="00D92C45"/>
    <w:rsid w:val="00D930AC"/>
    <w:rsid w:val="00D936E2"/>
    <w:rsid w:val="00D939A5"/>
    <w:rsid w:val="00D93BA6"/>
    <w:rsid w:val="00D94563"/>
    <w:rsid w:val="00D945A1"/>
    <w:rsid w:val="00D94B24"/>
    <w:rsid w:val="00D95104"/>
    <w:rsid w:val="00D9513B"/>
    <w:rsid w:val="00D9534A"/>
    <w:rsid w:val="00D9541D"/>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6D49"/>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4E00"/>
    <w:rsid w:val="00DD526B"/>
    <w:rsid w:val="00DD53FA"/>
    <w:rsid w:val="00DD55FE"/>
    <w:rsid w:val="00DD5F42"/>
    <w:rsid w:val="00DD617B"/>
    <w:rsid w:val="00DD6B09"/>
    <w:rsid w:val="00DD6D1A"/>
    <w:rsid w:val="00DD6ED3"/>
    <w:rsid w:val="00DD755C"/>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35A"/>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20"/>
    <w:rsid w:val="00DF179D"/>
    <w:rsid w:val="00DF1AB1"/>
    <w:rsid w:val="00DF1E9C"/>
    <w:rsid w:val="00DF20A0"/>
    <w:rsid w:val="00DF222B"/>
    <w:rsid w:val="00DF2288"/>
    <w:rsid w:val="00DF26AA"/>
    <w:rsid w:val="00DF26FD"/>
    <w:rsid w:val="00DF2980"/>
    <w:rsid w:val="00DF2EB7"/>
    <w:rsid w:val="00DF3A4B"/>
    <w:rsid w:val="00DF3A83"/>
    <w:rsid w:val="00DF3AF7"/>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DDE"/>
    <w:rsid w:val="00DF6E05"/>
    <w:rsid w:val="00DF6F17"/>
    <w:rsid w:val="00DF78FA"/>
    <w:rsid w:val="00E00279"/>
    <w:rsid w:val="00E002F1"/>
    <w:rsid w:val="00E0082C"/>
    <w:rsid w:val="00E00A46"/>
    <w:rsid w:val="00E00AFC"/>
    <w:rsid w:val="00E00D4F"/>
    <w:rsid w:val="00E012D0"/>
    <w:rsid w:val="00E01387"/>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0D69"/>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360"/>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351"/>
    <w:rsid w:val="00E32639"/>
    <w:rsid w:val="00E32D62"/>
    <w:rsid w:val="00E32F06"/>
    <w:rsid w:val="00E33000"/>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1FFA"/>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47F32"/>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7F4"/>
    <w:rsid w:val="00E5390A"/>
    <w:rsid w:val="00E53E26"/>
    <w:rsid w:val="00E53FA9"/>
    <w:rsid w:val="00E5414C"/>
    <w:rsid w:val="00E54649"/>
    <w:rsid w:val="00E547B3"/>
    <w:rsid w:val="00E54A59"/>
    <w:rsid w:val="00E55900"/>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1DEB"/>
    <w:rsid w:val="00E6201E"/>
    <w:rsid w:val="00E620E6"/>
    <w:rsid w:val="00E6277B"/>
    <w:rsid w:val="00E6344E"/>
    <w:rsid w:val="00E6393D"/>
    <w:rsid w:val="00E63A3E"/>
    <w:rsid w:val="00E63D5A"/>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28F"/>
    <w:rsid w:val="00E815EF"/>
    <w:rsid w:val="00E816C5"/>
    <w:rsid w:val="00E81CD4"/>
    <w:rsid w:val="00E81CE0"/>
    <w:rsid w:val="00E81E7C"/>
    <w:rsid w:val="00E8224D"/>
    <w:rsid w:val="00E82268"/>
    <w:rsid w:val="00E829DE"/>
    <w:rsid w:val="00E82B74"/>
    <w:rsid w:val="00E83196"/>
    <w:rsid w:val="00E8340C"/>
    <w:rsid w:val="00E83765"/>
    <w:rsid w:val="00E83AC3"/>
    <w:rsid w:val="00E84B39"/>
    <w:rsid w:val="00E8519F"/>
    <w:rsid w:val="00E852E3"/>
    <w:rsid w:val="00E855CD"/>
    <w:rsid w:val="00E85C32"/>
    <w:rsid w:val="00E85CC3"/>
    <w:rsid w:val="00E861A5"/>
    <w:rsid w:val="00E86431"/>
    <w:rsid w:val="00E8644A"/>
    <w:rsid w:val="00E868FF"/>
    <w:rsid w:val="00E86FE9"/>
    <w:rsid w:val="00E87B4B"/>
    <w:rsid w:val="00E87DBD"/>
    <w:rsid w:val="00E87DF8"/>
    <w:rsid w:val="00E87F7E"/>
    <w:rsid w:val="00E90279"/>
    <w:rsid w:val="00E902EA"/>
    <w:rsid w:val="00E9061A"/>
    <w:rsid w:val="00E90635"/>
    <w:rsid w:val="00E906F2"/>
    <w:rsid w:val="00E90915"/>
    <w:rsid w:val="00E909A1"/>
    <w:rsid w:val="00E90BFF"/>
    <w:rsid w:val="00E90C46"/>
    <w:rsid w:val="00E9191D"/>
    <w:rsid w:val="00E91C0C"/>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310"/>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07FE"/>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34E"/>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585"/>
    <w:rsid w:val="00EF26BA"/>
    <w:rsid w:val="00EF2950"/>
    <w:rsid w:val="00EF29DD"/>
    <w:rsid w:val="00EF2CC5"/>
    <w:rsid w:val="00EF3B3A"/>
    <w:rsid w:val="00EF428A"/>
    <w:rsid w:val="00EF4366"/>
    <w:rsid w:val="00EF4CD6"/>
    <w:rsid w:val="00EF4D91"/>
    <w:rsid w:val="00EF54CC"/>
    <w:rsid w:val="00EF55A0"/>
    <w:rsid w:val="00EF55A4"/>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4F7"/>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3BA"/>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26D"/>
    <w:rsid w:val="00F31B22"/>
    <w:rsid w:val="00F31B49"/>
    <w:rsid w:val="00F31F67"/>
    <w:rsid w:val="00F322B6"/>
    <w:rsid w:val="00F32836"/>
    <w:rsid w:val="00F32B12"/>
    <w:rsid w:val="00F32CB8"/>
    <w:rsid w:val="00F32E97"/>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11"/>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531"/>
    <w:rsid w:val="00F875BE"/>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2F11"/>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5B78"/>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5E7"/>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24"/>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78"/>
    <w:rsid w:val="00FE21A0"/>
    <w:rsid w:val="00FE27D8"/>
    <w:rsid w:val="00FE29AB"/>
    <w:rsid w:val="00FE2E01"/>
    <w:rsid w:val="00FE2F08"/>
    <w:rsid w:val="00FE3465"/>
    <w:rsid w:val="00FE35C2"/>
    <w:rsid w:val="00FE391C"/>
    <w:rsid w:val="00FE41B8"/>
    <w:rsid w:val="00FE42DD"/>
    <w:rsid w:val="00FE459F"/>
    <w:rsid w:val="00FE4CBF"/>
    <w:rsid w:val="00FE4D0B"/>
    <w:rsid w:val="00FE50E9"/>
    <w:rsid w:val="00FE5121"/>
    <w:rsid w:val="00FE51F6"/>
    <w:rsid w:val="00FE52BF"/>
    <w:rsid w:val="00FE53F5"/>
    <w:rsid w:val="00FE5783"/>
    <w:rsid w:val="00FE602C"/>
    <w:rsid w:val="00FE6703"/>
    <w:rsid w:val="00FE67CF"/>
    <w:rsid w:val="00FE69C1"/>
    <w:rsid w:val="00FE6BF0"/>
    <w:rsid w:val="00FE6D20"/>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C2C1E311-A074-4E05-8F45-7C84DEFF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34D"/>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szCs w:val="24"/>
    </w:rPr>
  </w:style>
  <w:style w:type="paragraph" w:styleId="8">
    <w:name w:val="heading 8"/>
    <w:basedOn w:val="a"/>
    <w:next w:val="a"/>
    <w:qFormat/>
    <w:rsid w:val="00F45E97"/>
    <w:pPr>
      <w:numPr>
        <w:ilvl w:val="7"/>
        <w:numId w:val="2"/>
      </w:numPr>
      <w:spacing w:before="240" w:after="60"/>
      <w:outlineLvl w:val="7"/>
    </w:pPr>
    <w:rPr>
      <w:i/>
      <w:iCs/>
      <w:sz w:val="24"/>
      <w:szCs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F45E97"/>
    <w:rPr>
      <w:sz w:val="20"/>
      <w:szCs w:val="20"/>
    </w:rPr>
  </w:style>
  <w:style w:type="character" w:styleId="a4">
    <w:name w:val="Hyperlink"/>
    <w:basedOn w:val="a0"/>
    <w:uiPriority w:val="99"/>
    <w:qFormat/>
    <w:rsid w:val="00F45E97"/>
    <w:rPr>
      <w:color w:val="0000FF"/>
      <w:u w:val="single"/>
    </w:rPr>
  </w:style>
  <w:style w:type="paragraph" w:styleId="a5">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1"/>
    <w:qFormat/>
    <w:rsid w:val="006A301E"/>
    <w:pPr>
      <w:jc w:val="center"/>
    </w:pPr>
    <w:rPr>
      <w:b/>
      <w:bCs/>
      <w:sz w:val="20"/>
      <w:szCs w:val="20"/>
    </w:rPr>
  </w:style>
  <w:style w:type="paragraph" w:customStyle="1" w:styleId="Normal">
    <w:name w:val="Normal."/>
    <w:rsid w:val="00F45E97"/>
    <w:pPr>
      <w:widowControl w:val="0"/>
      <w:spacing w:line="180" w:lineRule="atLeast"/>
    </w:pPr>
    <w:rPr>
      <w:rFonts w:eastAsia="Batang"/>
      <w:kern w:val="2"/>
      <w:sz w:val="18"/>
      <w:szCs w:val="18"/>
      <w:lang w:eastAsia="en-US"/>
    </w:rPr>
  </w:style>
  <w:style w:type="paragraph" w:customStyle="1" w:styleId="EX">
    <w:name w:val="EX"/>
    <w:basedOn w:val="a"/>
    <w:rsid w:val="00F45E97"/>
    <w:pPr>
      <w:keepLines/>
      <w:autoSpaceDE/>
      <w:autoSpaceDN/>
      <w:adjustRightInd/>
      <w:spacing w:after="180"/>
      <w:ind w:left="1702" w:hanging="1418"/>
      <w:jc w:val="left"/>
    </w:pPr>
    <w:rPr>
      <w:sz w:val="20"/>
      <w:szCs w:val="20"/>
      <w:lang w:val="en-GB"/>
    </w:rPr>
  </w:style>
  <w:style w:type="paragraph" w:styleId="a6">
    <w:name w:val="List Bullet"/>
    <w:basedOn w:val="a7"/>
    <w:rsid w:val="00F45E97"/>
    <w:pPr>
      <w:autoSpaceDE/>
      <w:autoSpaceDN/>
      <w:adjustRightInd/>
      <w:spacing w:after="180"/>
      <w:ind w:left="568" w:hanging="284"/>
      <w:jc w:val="left"/>
    </w:pPr>
    <w:rPr>
      <w:sz w:val="20"/>
      <w:szCs w:val="20"/>
      <w:lang w:val="en-GB"/>
    </w:rPr>
  </w:style>
  <w:style w:type="paragraph" w:styleId="a7">
    <w:name w:val="List"/>
    <w:basedOn w:val="a"/>
    <w:rsid w:val="00F45E97"/>
    <w:pPr>
      <w:ind w:left="360" w:hanging="360"/>
    </w:pPr>
  </w:style>
  <w:style w:type="paragraph" w:styleId="20">
    <w:name w:val="Body Text 2"/>
    <w:basedOn w:val="a"/>
    <w:rsid w:val="00F45E97"/>
    <w:pPr>
      <w:spacing w:after="0"/>
      <w:jc w:val="left"/>
    </w:pPr>
    <w:rPr>
      <w:szCs w:val="20"/>
    </w:rPr>
  </w:style>
  <w:style w:type="paragraph" w:styleId="a8">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adjustRightInd/>
      <w:spacing w:after="60"/>
    </w:pPr>
    <w:rPr>
      <w:sz w:val="20"/>
      <w:szCs w:val="16"/>
    </w:rPr>
  </w:style>
  <w:style w:type="character" w:styleId="a9">
    <w:name w:val="FollowedHyperlink"/>
    <w:basedOn w:val="a0"/>
    <w:rsid w:val="00F45E97"/>
    <w:rPr>
      <w:color w:val="800080"/>
      <w:u w:val="single"/>
    </w:rPr>
  </w:style>
  <w:style w:type="paragraph" w:styleId="aa">
    <w:name w:val="footnote text"/>
    <w:basedOn w:val="a"/>
    <w:link w:val="Char2"/>
    <w:semiHidden/>
    <w:rsid w:val="00F45E97"/>
    <w:rPr>
      <w:sz w:val="20"/>
      <w:szCs w:val="20"/>
    </w:rPr>
  </w:style>
  <w:style w:type="character" w:styleId="ab">
    <w:name w:val="footnote reference"/>
    <w:basedOn w:val="a0"/>
    <w:semiHidden/>
    <w:rsid w:val="00F45E97"/>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aliases w:val="cap Char,Caption Char Char,Caption Char1 Char Char,cap Char Char1 Char,Caption Char Char1 Char Char,cap Char2 Char,cap1 Char,cap2 Char,cap11 Char1,Légende-figure Char1,Légende-figure Char Char,Beschrifubg Char,Beschriftung Char Char1,label Char"/>
    <w:basedOn w:val="a0"/>
    <w:link w:val="a5"/>
    <w:rsid w:val="006A301E"/>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basedOn w:val="a"/>
    <w:link w:val="Char3"/>
    <w:rsid w:val="00AB3F38"/>
    <w:pPr>
      <w:tabs>
        <w:tab w:val="center" w:pos="4680"/>
        <w:tab w:val="right" w:pos="9360"/>
      </w:tabs>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4"/>
    <w:rsid w:val="00AB3F38"/>
    <w:pPr>
      <w:tabs>
        <w:tab w:val="center" w:pos="4680"/>
        <w:tab w:val="right" w:pos="9360"/>
      </w:tabs>
    </w:pPr>
  </w:style>
  <w:style w:type="character" w:customStyle="1" w:styleId="Char4">
    <w:name w:val="页脚 Char"/>
    <w:basedOn w:val="a0"/>
    <w:link w:val="ae"/>
    <w:rsid w:val="00AB3F38"/>
    <w:rPr>
      <w:sz w:val="22"/>
      <w:szCs w:val="22"/>
    </w:rPr>
  </w:style>
  <w:style w:type="paragraph" w:customStyle="1" w:styleId="TH">
    <w:name w:val="TH"/>
    <w:basedOn w:val="a"/>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autoSpaceDE/>
      <w:autoSpaceDN/>
      <w:adjustRightInd/>
      <w:spacing w:after="0"/>
      <w:jc w:val="center"/>
    </w:pPr>
    <w:rPr>
      <w:rFonts w:ascii="Arial" w:hAnsi="Arial"/>
      <w:sz w:val="18"/>
      <w:szCs w:val="20"/>
    </w:rPr>
  </w:style>
  <w:style w:type="paragraph" w:styleId="af">
    <w:name w:val="Document Map"/>
    <w:basedOn w:val="a"/>
    <w:link w:val="Char5"/>
    <w:rsid w:val="00FF4A76"/>
    <w:rPr>
      <w:rFonts w:ascii="宋体"/>
      <w:sz w:val="18"/>
      <w:szCs w:val="18"/>
    </w:rPr>
  </w:style>
  <w:style w:type="character" w:customStyle="1" w:styleId="Char5">
    <w:name w:val="文档结构图 Char"/>
    <w:basedOn w:val="a0"/>
    <w:link w:val="af"/>
    <w:rsid w:val="00FF4A76"/>
    <w:rPr>
      <w:rFonts w:ascii="宋体"/>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6"/>
    <w:rsid w:val="0076357A"/>
    <w:pPr>
      <w:jc w:val="left"/>
    </w:pPr>
  </w:style>
  <w:style w:type="character" w:customStyle="1" w:styleId="Char6">
    <w:name w:val="批注文字 Char"/>
    <w:basedOn w:val="a0"/>
    <w:link w:val="af1"/>
    <w:rsid w:val="0076357A"/>
    <w:rPr>
      <w:sz w:val="22"/>
      <w:szCs w:val="22"/>
      <w:lang w:eastAsia="en-US"/>
    </w:rPr>
  </w:style>
  <w:style w:type="paragraph" w:styleId="af2">
    <w:name w:val="annotation subject"/>
    <w:basedOn w:val="af1"/>
    <w:next w:val="af1"/>
    <w:link w:val="Char7"/>
    <w:rsid w:val="0076357A"/>
    <w:rPr>
      <w:b/>
      <w:bCs/>
    </w:rPr>
  </w:style>
  <w:style w:type="character" w:customStyle="1" w:styleId="Char7">
    <w:name w:val="批注主题 Char"/>
    <w:basedOn w:val="Char6"/>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3">
    <w:name w:val="List Paragraph"/>
    <w:aliases w:val="목록 단,- Bullets,Lista1,1st level - Bullet List Paragraph,List Paragraph1,Lettre d'introduction,Paragrafo elenco,Normal bullet 2,Bullet list,Numbered List,Task Body,Viñetas (Inicio Parrafo),3 Txt tabla,Zerrenda-paragrafoa,Lista viñetas,列"/>
    <w:basedOn w:val="a"/>
    <w:link w:val="Char8"/>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31"/>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a"/>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rsid w:val="008D5465"/>
    <w:rPr>
      <w:rFonts w:eastAsia="MS Mincho"/>
      <w:lang w:eastAsia="en-US"/>
    </w:rPr>
  </w:style>
  <w:style w:type="paragraph" w:styleId="21">
    <w:name w:val="List 2"/>
    <w:basedOn w:val="a"/>
    <w:rsid w:val="008D5465"/>
    <w:pPr>
      <w:ind w:leftChars="200" w:left="100" w:hangingChars="200" w:hanging="200"/>
      <w:contextualSpacing/>
    </w:pPr>
  </w:style>
  <w:style w:type="paragraph" w:customStyle="1" w:styleId="32">
    <w:name w:val="标题3"/>
    <w:basedOn w:val="a"/>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qFormat/>
    <w:locked/>
    <w:rsid w:val="00F6424A"/>
    <w:rPr>
      <w:rFonts w:ascii="Arial" w:hAnsi="Arial" w:cs="Arial"/>
    </w:rPr>
  </w:style>
  <w:style w:type="paragraph" w:customStyle="1" w:styleId="Doc-text2">
    <w:name w:val="Doc-text2"/>
    <w:basedOn w:val="a"/>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autoSpaceDE/>
      <w:autoSpaceDN/>
      <w:adjustRightInd/>
      <w:snapToGrid/>
      <w:spacing w:after="0"/>
    </w:pPr>
    <w:rPr>
      <w:rFonts w:ascii="Arial" w:hAnsi="Arial"/>
      <w:sz w:val="20"/>
      <w:szCs w:val="20"/>
      <w:lang w:val="sv-SE"/>
    </w:rPr>
  </w:style>
  <w:style w:type="paragraph" w:customStyle="1" w:styleId="af5">
    <w:name w:val="提案正文"/>
    <w:basedOn w:val="a"/>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宋体" w:hAnsi="Calibri" w:cs="Arial"/>
      <w:color w:val="auto"/>
      <w:kern w:val="0"/>
      <w:sz w:val="22"/>
      <w:lang w:val="en-US" w:eastAsia="zh-CN" w:bidi="ar-SA"/>
    </w:rPr>
  </w:style>
  <w:style w:type="paragraph" w:customStyle="1" w:styleId="Char10">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6">
    <w:name w:val="Table Theme"/>
    <w:basedOn w:val="a1"/>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Char9"/>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Char9">
    <w:name w:val="标题 Char"/>
    <w:basedOn w:val="a0"/>
    <w:link w:val="af7"/>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Char2">
    <w:name w:val="脚注文本 Char"/>
    <w:link w:val="aa"/>
    <w:semiHidden/>
    <w:rsid w:val="006B3988"/>
    <w:rPr>
      <w:lang w:eastAsia="en-US"/>
    </w:rPr>
  </w:style>
  <w:style w:type="paragraph" w:customStyle="1" w:styleId="tablecell">
    <w:name w:val="tablecell"/>
    <w:basedOn w:val="a"/>
    <w:uiPriority w:val="99"/>
    <w:qFormat/>
    <w:rsid w:val="006468B9"/>
    <w:pPr>
      <w:spacing w:before="40" w:after="40"/>
      <w:jc w:val="left"/>
    </w:pPr>
    <w:rPr>
      <w:sz w:val="20"/>
    </w:rPr>
  </w:style>
  <w:style w:type="paragraph" w:customStyle="1" w:styleId="tableheader">
    <w:name w:val="tableheader"/>
    <w:basedOn w:val="a"/>
    <w:uiPriority w:val="99"/>
    <w:qFormat/>
    <w:rsid w:val="006468B9"/>
    <w:pPr>
      <w:autoSpaceDE/>
      <w:autoSpaceDN/>
      <w:adjustRightInd/>
      <w:spacing w:before="40" w:after="40"/>
      <w:jc w:val="center"/>
    </w:pPr>
    <w:rPr>
      <w:rFonts w:cs="Calibri"/>
      <w:b/>
      <w:bCs/>
      <w:sz w:val="20"/>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3"/>
    <w:rsid w:val="00AD404D"/>
    <w:rPr>
      <w:lang w:eastAsia="en-US"/>
    </w:rPr>
  </w:style>
  <w:style w:type="paragraph" w:customStyle="1" w:styleId="11">
    <w:name w:val="列出段落1"/>
    <w:basedOn w:val="a"/>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1Char">
    <w:name w:val="标题 1 Char"/>
    <w:basedOn w:val="a0"/>
    <w:link w:val="1"/>
    <w:uiPriority w:val="9"/>
    <w:rsid w:val="008D74B4"/>
    <w:rPr>
      <w:b/>
      <w:bCs/>
      <w:sz w:val="28"/>
      <w:szCs w:val="28"/>
      <w:lang w:eastAsia="en-US"/>
    </w:rPr>
  </w:style>
  <w:style w:type="character" w:styleId="af8">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Char8">
    <w:name w:val="列出段落 Char"/>
    <w:aliases w:val="목록 단 Char,- Bullets Char,Lista1 Char,1st level - Bullet List Paragraph Char,List Paragraph1 Char,Lettre d'introduction Char,Paragrafo elenco Char,Normal bullet 2 Char,Bullet list Char,Numbered List Char,Task Body Char,3 Txt tabla Char,列 Char"/>
    <w:link w:val="af3"/>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napToGrid/>
      <w:spacing w:before="120"/>
      <w:textAlignment w:val="baseline"/>
    </w:pPr>
    <w:rPr>
      <w:rFonts w:eastAsia="宋体"/>
      <w:szCs w:val="20"/>
    </w:rPr>
  </w:style>
  <w:style w:type="character" w:customStyle="1" w:styleId="3GPPTextChar">
    <w:name w:val="3GPP Text Char"/>
    <w:link w:val="3GPPText"/>
    <w:rsid w:val="001E7D0A"/>
    <w:rPr>
      <w:rFonts w:eastAsia="宋体"/>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snapToGrid/>
      <w:ind w:left="567" w:hanging="567"/>
      <w:jc w:val="left"/>
      <w:textAlignment w:val="baseline"/>
    </w:pPr>
    <w:rPr>
      <w:rFonts w:eastAsia="宋体"/>
      <w:bCs w:val="0"/>
      <w:szCs w:val="20"/>
      <w:lang w:val="en-GB"/>
    </w:rPr>
  </w:style>
  <w:style w:type="character" w:customStyle="1" w:styleId="3GPPH2Char">
    <w:name w:val="3GPP H2 Char"/>
    <w:link w:val="3GPPH2"/>
    <w:rsid w:val="00D42A20"/>
    <w:rPr>
      <w:rFonts w:eastAsia="宋体"/>
      <w:b/>
      <w:sz w:val="24"/>
      <w:lang w:val="en-GB" w:eastAsia="en-US"/>
    </w:rPr>
  </w:style>
  <w:style w:type="paragraph" w:styleId="af9">
    <w:name w:val="Bibliography"/>
    <w:basedOn w:val="a"/>
    <w:next w:val="a"/>
    <w:uiPriority w:val="37"/>
    <w:unhideWhenUsed/>
    <w:rsid w:val="00591026"/>
  </w:style>
  <w:style w:type="paragraph" w:customStyle="1" w:styleId="Proposal">
    <w:name w:val="Proposal"/>
    <w:basedOn w:val="af3"/>
    <w:link w:val="ProposalCar"/>
    <w:qFormat/>
    <w:rsid w:val="00E940D5"/>
    <w:pPr>
      <w:numPr>
        <w:numId w:val="6"/>
      </w:numPr>
    </w:pPr>
    <w:rPr>
      <w:b/>
    </w:rPr>
  </w:style>
  <w:style w:type="paragraph" w:customStyle="1" w:styleId="Prop">
    <w:name w:val="Prop"/>
    <w:basedOn w:val="af3"/>
    <w:link w:val="PropCar"/>
    <w:autoRedefine/>
    <w:rsid w:val="002D208E"/>
    <w:pPr>
      <w:spacing w:before="120" w:after="120"/>
      <w:ind w:left="0"/>
    </w:pPr>
    <w:rPr>
      <w:b/>
      <w:color w:val="000000" w:themeColor="text1"/>
    </w:rPr>
  </w:style>
  <w:style w:type="character" w:customStyle="1" w:styleId="ProposalCar">
    <w:name w:val="Proposal Car"/>
    <w:basedOn w:val="Char8"/>
    <w:link w:val="Proposal"/>
    <w:rsid w:val="00E940D5"/>
    <w:rPr>
      <w:rFonts w:cs="Calibri"/>
      <w:b/>
      <w:sz w:val="22"/>
      <w:szCs w:val="21"/>
    </w:rPr>
  </w:style>
  <w:style w:type="paragraph" w:customStyle="1" w:styleId="Observation">
    <w:name w:val="Observation"/>
    <w:basedOn w:val="af3"/>
    <w:link w:val="ObservationCar"/>
    <w:qFormat/>
    <w:rsid w:val="00BF78F8"/>
    <w:pPr>
      <w:numPr>
        <w:numId w:val="7"/>
      </w:numPr>
      <w:ind w:left="360"/>
    </w:pPr>
    <w:rPr>
      <w:b/>
      <w:i/>
      <w:sz w:val="20"/>
    </w:rPr>
  </w:style>
  <w:style w:type="character" w:customStyle="1" w:styleId="PropCar">
    <w:name w:val="Prop Car"/>
    <w:basedOn w:val="Char8"/>
    <w:link w:val="Prop"/>
    <w:rsid w:val="002D208E"/>
    <w:rPr>
      <w:rFonts w:cs="Calibri"/>
      <w:b/>
      <w:color w:val="000000" w:themeColor="text1"/>
      <w:sz w:val="22"/>
      <w:szCs w:val="21"/>
    </w:rPr>
  </w:style>
  <w:style w:type="character" w:customStyle="1" w:styleId="ObservationCar">
    <w:name w:val="Observation Car"/>
    <w:basedOn w:val="Char8"/>
    <w:link w:val="Observation"/>
    <w:rsid w:val="00BF78F8"/>
    <w:rPr>
      <w:rFonts w:cs="Calibri"/>
      <w:b/>
      <w:i/>
      <w:sz w:val="22"/>
      <w:szCs w:val="21"/>
    </w:rPr>
  </w:style>
  <w:style w:type="paragraph" w:customStyle="1" w:styleId="Prop1">
    <w:name w:val="Prop1"/>
    <w:basedOn w:val="af3"/>
    <w:autoRedefine/>
    <w:qFormat/>
    <w:rsid w:val="00886BBF"/>
    <w:pPr>
      <w:ind w:left="0"/>
      <w:jc w:val="left"/>
    </w:pPr>
    <w:rPr>
      <w:b/>
      <w:sz w:val="20"/>
      <w:lang w:eastAsia="ko-KR"/>
    </w:rPr>
  </w:style>
  <w:style w:type="paragraph" w:styleId="afa">
    <w:name w:val="Normal (Web)"/>
    <w:basedOn w:val="a"/>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afb">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afc">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3">
    <w:name w:val="List Number 3"/>
    <w:basedOn w:val="2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22">
    <w:name w:val="List Number 2"/>
    <w:basedOn w:val="a"/>
    <w:semiHidden/>
    <w:unhideWhenUsed/>
    <w:rsid w:val="00D219BF"/>
    <w:pPr>
      <w:tabs>
        <w:tab w:val="num" w:pos="360"/>
      </w:tabs>
      <w:contextualSpacing/>
    </w:pPr>
  </w:style>
  <w:style w:type="paragraph" w:styleId="TOC">
    <w:name w:val="TOC Heading"/>
    <w:basedOn w:val="1"/>
    <w:next w:val="a"/>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12">
    <w:name w:val="toc 1"/>
    <w:basedOn w:val="a"/>
    <w:next w:val="a"/>
    <w:autoRedefine/>
    <w:uiPriority w:val="39"/>
    <w:unhideWhenUsed/>
    <w:rsid w:val="002250D9"/>
    <w:pPr>
      <w:spacing w:after="100"/>
    </w:pPr>
  </w:style>
  <w:style w:type="paragraph" w:styleId="23">
    <w:name w:val="toc 2"/>
    <w:basedOn w:val="a"/>
    <w:next w:val="a"/>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39257077">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68234772">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01002880">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1640285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69958094">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64663948">
      <w:bodyDiv w:val="1"/>
      <w:marLeft w:val="0"/>
      <w:marRight w:val="0"/>
      <w:marTop w:val="0"/>
      <w:marBottom w:val="0"/>
      <w:divBdr>
        <w:top w:val="none" w:sz="0" w:space="0" w:color="auto"/>
        <w:left w:val="none" w:sz="0" w:space="0" w:color="auto"/>
        <w:bottom w:val="none" w:sz="0" w:space="0" w:color="auto"/>
        <w:right w:val="none" w:sz="0" w:space="0" w:color="auto"/>
      </w:divBdr>
    </w:div>
    <w:div w:id="472061944">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13881721">
      <w:bodyDiv w:val="1"/>
      <w:marLeft w:val="0"/>
      <w:marRight w:val="0"/>
      <w:marTop w:val="0"/>
      <w:marBottom w:val="0"/>
      <w:divBdr>
        <w:top w:val="none" w:sz="0" w:space="0" w:color="auto"/>
        <w:left w:val="none" w:sz="0" w:space="0" w:color="auto"/>
        <w:bottom w:val="none" w:sz="0" w:space="0" w:color="auto"/>
        <w:right w:val="none" w:sz="0" w:space="0" w:color="auto"/>
      </w:divBdr>
    </w:div>
    <w:div w:id="521673693">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00064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35721042">
      <w:bodyDiv w:val="1"/>
      <w:marLeft w:val="0"/>
      <w:marRight w:val="0"/>
      <w:marTop w:val="0"/>
      <w:marBottom w:val="0"/>
      <w:divBdr>
        <w:top w:val="none" w:sz="0" w:space="0" w:color="auto"/>
        <w:left w:val="none" w:sz="0" w:space="0" w:color="auto"/>
        <w:bottom w:val="none" w:sz="0" w:space="0" w:color="auto"/>
        <w:right w:val="none" w:sz="0" w:space="0" w:color="auto"/>
      </w:divBdr>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78392429">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23258822">
      <w:bodyDiv w:val="1"/>
      <w:marLeft w:val="0"/>
      <w:marRight w:val="0"/>
      <w:marTop w:val="0"/>
      <w:marBottom w:val="0"/>
      <w:divBdr>
        <w:top w:val="none" w:sz="0" w:space="0" w:color="auto"/>
        <w:left w:val="none" w:sz="0" w:space="0" w:color="auto"/>
        <w:bottom w:val="none" w:sz="0" w:space="0" w:color="auto"/>
        <w:right w:val="none" w:sz="0" w:space="0" w:color="auto"/>
      </w:divBdr>
    </w:div>
    <w:div w:id="726612337">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2045435">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88861681">
      <w:bodyDiv w:val="1"/>
      <w:marLeft w:val="0"/>
      <w:marRight w:val="0"/>
      <w:marTop w:val="0"/>
      <w:marBottom w:val="0"/>
      <w:divBdr>
        <w:top w:val="none" w:sz="0" w:space="0" w:color="auto"/>
        <w:left w:val="none" w:sz="0" w:space="0" w:color="auto"/>
        <w:bottom w:val="none" w:sz="0" w:space="0" w:color="auto"/>
        <w:right w:val="none" w:sz="0" w:space="0" w:color="auto"/>
      </w:divBdr>
    </w:div>
    <w:div w:id="795218952">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157807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560626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482648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18730757">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32374030">
      <w:bodyDiv w:val="1"/>
      <w:marLeft w:val="0"/>
      <w:marRight w:val="0"/>
      <w:marTop w:val="0"/>
      <w:marBottom w:val="0"/>
      <w:divBdr>
        <w:top w:val="none" w:sz="0" w:space="0" w:color="auto"/>
        <w:left w:val="none" w:sz="0" w:space="0" w:color="auto"/>
        <w:bottom w:val="none" w:sz="0" w:space="0" w:color="auto"/>
        <w:right w:val="none" w:sz="0" w:space="0" w:color="auto"/>
      </w:divBdr>
    </w:div>
    <w:div w:id="1335450514">
      <w:bodyDiv w:val="1"/>
      <w:marLeft w:val="0"/>
      <w:marRight w:val="0"/>
      <w:marTop w:val="0"/>
      <w:marBottom w:val="0"/>
      <w:divBdr>
        <w:top w:val="none" w:sz="0" w:space="0" w:color="auto"/>
        <w:left w:val="none" w:sz="0" w:space="0" w:color="auto"/>
        <w:bottom w:val="none" w:sz="0" w:space="0" w:color="auto"/>
        <w:right w:val="none" w:sz="0" w:space="0" w:color="auto"/>
      </w:divBdr>
    </w:div>
    <w:div w:id="134266544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59227011">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40170016">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3945582">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6415963">
      <w:bodyDiv w:val="1"/>
      <w:marLeft w:val="0"/>
      <w:marRight w:val="0"/>
      <w:marTop w:val="0"/>
      <w:marBottom w:val="0"/>
      <w:divBdr>
        <w:top w:val="none" w:sz="0" w:space="0" w:color="auto"/>
        <w:left w:val="none" w:sz="0" w:space="0" w:color="auto"/>
        <w:bottom w:val="none" w:sz="0" w:space="0" w:color="auto"/>
        <w:right w:val="none" w:sz="0" w:space="0" w:color="auto"/>
      </w:divBdr>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71140180">
      <w:bodyDiv w:val="1"/>
      <w:marLeft w:val="0"/>
      <w:marRight w:val="0"/>
      <w:marTop w:val="0"/>
      <w:marBottom w:val="0"/>
      <w:divBdr>
        <w:top w:val="none" w:sz="0" w:space="0" w:color="auto"/>
        <w:left w:val="none" w:sz="0" w:space="0" w:color="auto"/>
        <w:bottom w:val="none" w:sz="0" w:space="0" w:color="auto"/>
        <w:right w:val="none" w:sz="0" w:space="0" w:color="auto"/>
      </w:divBdr>
    </w:div>
    <w:div w:id="1874879327">
      <w:bodyDiv w:val="1"/>
      <w:marLeft w:val="0"/>
      <w:marRight w:val="0"/>
      <w:marTop w:val="0"/>
      <w:marBottom w:val="0"/>
      <w:divBdr>
        <w:top w:val="none" w:sz="0" w:space="0" w:color="auto"/>
        <w:left w:val="none" w:sz="0" w:space="0" w:color="auto"/>
        <w:bottom w:val="none" w:sz="0" w:space="0" w:color="auto"/>
        <w:right w:val="none" w:sz="0" w:space="0" w:color="auto"/>
      </w:divBdr>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40012301">
      <w:bodyDiv w:val="1"/>
      <w:marLeft w:val="0"/>
      <w:marRight w:val="0"/>
      <w:marTop w:val="0"/>
      <w:marBottom w:val="0"/>
      <w:divBdr>
        <w:top w:val="none" w:sz="0" w:space="0" w:color="auto"/>
        <w:left w:val="none" w:sz="0" w:space="0" w:color="auto"/>
        <w:bottom w:val="none" w:sz="0" w:space="0" w:color="auto"/>
        <w:right w:val="none" w:sz="0" w:space="0" w:color="auto"/>
      </w:divBdr>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17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2C40946-815B-4E50-AD32-291B82493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CFC33-0FD9-4830-950A-8F215BF5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399B0-11F6-450E-B968-309092C3D2D5}">
  <ds:schemaRefs>
    <ds:schemaRef ds:uri="http://schemas.microsoft.com/sharepoint/v3/contenttype/forms"/>
  </ds:schemaRefs>
</ds:datastoreItem>
</file>

<file path=customXml/itemProps4.xml><?xml version="1.0" encoding="utf-8"?>
<ds:datastoreItem xmlns:ds="http://schemas.openxmlformats.org/officeDocument/2006/customXml" ds:itemID="{94ED799C-20D6-4EBD-B1E6-28F7F6F0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3810</Words>
  <Characters>21717</Characters>
  <Application>Microsoft Office Word</Application>
  <DocSecurity>0</DocSecurity>
  <Lines>180</Lines>
  <Paragraphs>50</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25477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Nan Zhang-ZTE</cp:lastModifiedBy>
  <cp:revision>9</cp:revision>
  <cp:lastPrinted>2015-07-25T09:06:00Z</cp:lastPrinted>
  <dcterms:created xsi:type="dcterms:W3CDTF">2022-02-22T19:25:00Z</dcterms:created>
  <dcterms:modified xsi:type="dcterms:W3CDTF">2022-02-23T06:50:00Z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y fmtid="{D5CDD505-2E9C-101B-9397-08002B2CF9AE}" pid="34" name="ContentTypeId">
    <vt:lpwstr>0x010100EB28163D68FE8E4D9361964FDD814FC4</vt:lpwstr>
  </property>
</Properties>
</file>