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Header"/>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Heading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ListParagraph"/>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ListParagraph"/>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ListParagraph"/>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TableGrid"/>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 xml:space="preserve">FFS: Details including the definition of a next (e.g,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ListParagraph"/>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ListParagraph"/>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ListParagraph"/>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ListParagraph"/>
              <w:numPr>
                <w:ilvl w:val="1"/>
                <w:numId w:val="16"/>
              </w:numPr>
              <w:jc w:val="both"/>
              <w:rPr>
                <w:i/>
                <w:iCs/>
              </w:rPr>
            </w:pPr>
            <w:r w:rsidRPr="00B45F00">
              <w:rPr>
                <w:i/>
                <w:iCs/>
              </w:rPr>
              <w:t>Note: part of sps-config,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TableGrid"/>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Note: part of sps-config,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PUCCH-ResourceSet,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PUCCH-ResourceSet,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In step 1, k is increased on PCell/PScell/PUCCH-Scell. “The next PUCCH slot” represents the slot on the PUCCH cell based on PUCCH cell pattern, which is mapped from the PCell/PScell/PUCCH-Scell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The maximum deferral limitation checking is based on the effective k + k</w:t>
            </w:r>
            <w:r w:rsidRPr="003E1039">
              <w:rPr>
                <w:rFonts w:eastAsia="Times New Roman" w:cs="Times"/>
                <w:vertAlign w:val="subscript"/>
                <w:lang w:val="en-US" w:eastAsia="ko-KR"/>
              </w:rPr>
              <w:t>def</w:t>
            </w:r>
            <w:r w:rsidRPr="003E1039">
              <w:rPr>
                <w:rFonts w:eastAsia="Times New Roman" w:cs="Times"/>
                <w:lang w:val="en-US" w:eastAsia="ko-KR"/>
              </w:rPr>
              <w:t> value based on the granularity of PCell / PScell/PUSCCH-Scell</w:t>
            </w:r>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r w:rsidRPr="0049197F">
                    <w:rPr>
                      <w:rFonts w:eastAsia="Batang"/>
                      <w:i/>
                      <w:iCs/>
                      <w:lang w:val="en-US" w:eastAsia="zh-CN"/>
                    </w:rPr>
                    <w:t>spsHARQdeferral</w:t>
                  </w:r>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r w:rsidRPr="0049197F">
                    <w:rPr>
                      <w:rFonts w:eastAsia="Batang"/>
                      <w:i/>
                      <w:iCs/>
                      <w:lang w:val="en-US" w:eastAsia="fr-FR"/>
                    </w:rPr>
                    <w:t>tdd-UL-DL-ConfigurationCommon</w:t>
                  </w:r>
                  <w:r w:rsidRPr="0049197F">
                    <w:rPr>
                      <w:rFonts w:eastAsia="Batang"/>
                      <w:lang w:val="en-US" w:eastAsia="fr-FR"/>
                    </w:rPr>
                    <w:t xml:space="preserve"> or </w:t>
                  </w:r>
                  <w:r w:rsidRPr="0049197F">
                    <w:rPr>
                      <w:rFonts w:eastAsia="Batang"/>
                      <w:i/>
                      <w:iCs/>
                      <w:lang w:val="en-US" w:eastAsia="fr-FR"/>
                    </w:rPr>
                    <w:t>tdd-UL-DL-ConfigDedicated</w:t>
                  </w:r>
                  <w:r w:rsidRPr="0049197F">
                    <w:rPr>
                      <w:rFonts w:eastAsia="Batang"/>
                      <w:lang w:val="en-US" w:eastAsia="fr-FR"/>
                    </w:rPr>
                    <w:t xml:space="preserve">, or indicated for a SS/PBCH block by </w:t>
                  </w:r>
                  <w:r w:rsidRPr="0049197F">
                    <w:rPr>
                      <w:rFonts w:eastAsia="Batang"/>
                      <w:i/>
                      <w:iCs/>
                      <w:lang w:val="en-US" w:eastAsia="fr-FR"/>
                    </w:rPr>
                    <w:t>ssb-PositionsInBurst</w:t>
                  </w:r>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r w:rsidRPr="0049197F">
                    <w:rPr>
                      <w:rFonts w:eastAsia="Batang"/>
                      <w:i/>
                      <w:iCs/>
                      <w:lang w:val="en-US" w:eastAsia="fr-FR"/>
                    </w:rPr>
                    <w:t>pucch-sSCellPattern</w:t>
                  </w:r>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r w:rsidRPr="00BA03E3">
              <w:rPr>
                <w:rFonts w:ascii="Times" w:eastAsia="Batang" w:hAnsi="Times"/>
                <w:bCs/>
                <w:i/>
                <w:iCs/>
                <w:szCs w:val="22"/>
                <w:lang w:val="en-US" w:eastAsia="zh-CN"/>
              </w:rPr>
              <w:t>HARQ_retx_offset</w:t>
            </w:r>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ListParagraph"/>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ListParagraph"/>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ListParagraph"/>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ListParagraph"/>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ListParagraph"/>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ListParagraph"/>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ListParagraph"/>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ListParagraph"/>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ListParagraph"/>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ListParagraph"/>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sidelink, non-terrestrial network, etc can be considered)</w:t>
      </w:r>
    </w:p>
    <w:p w14:paraId="63F7EBA6" w14:textId="68211FEA" w:rsidR="00156706" w:rsidRPr="00156706" w:rsidRDefault="00156706" w:rsidP="00E67C01">
      <w:pPr>
        <w:pStyle w:val="ListParagraph"/>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ListParagraph"/>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ListParagraph"/>
        <w:numPr>
          <w:ilvl w:val="1"/>
          <w:numId w:val="79"/>
        </w:numPr>
        <w:spacing w:after="0"/>
        <w:rPr>
          <w:lang w:eastAsia="zh-CN"/>
        </w:rPr>
      </w:pPr>
      <w:r w:rsidRPr="007911F0">
        <w:rPr>
          <w:lang w:eastAsia="zh-CN"/>
        </w:rPr>
        <w:t>For the initial slot in PCell, if the UE performs UCI multiplexing to determine whether the SPS HARQ-ACK is deferred, it should consider multiplexing the SPS HARQ-ACK to the overlapping PUCCH</w:t>
      </w:r>
      <w:r>
        <w:rPr>
          <w:lang w:eastAsia="zh-CN"/>
        </w:rPr>
        <w:t xml:space="preserve"> slot of the Scell based on the PUCCH cell switching pattern. </w:t>
      </w:r>
    </w:p>
    <w:p w14:paraId="4F43E8AC" w14:textId="04155A54" w:rsidR="007911F0" w:rsidRDefault="007911F0" w:rsidP="00E67C01">
      <w:pPr>
        <w:pStyle w:val="ListParagraph"/>
        <w:numPr>
          <w:ilvl w:val="2"/>
          <w:numId w:val="79"/>
        </w:numPr>
        <w:spacing w:after="0"/>
        <w:rPr>
          <w:lang w:eastAsia="zh-CN"/>
        </w:rPr>
      </w:pPr>
      <w:r>
        <w:rPr>
          <w:lang w:eastAsia="zh-CN"/>
        </w:rPr>
        <w:t>If the multiplexed PUCCH is valid in Scell slot, the SPS HARQ-ACK is transmitted in the multiplexed PUCCH slot; otherwise, the SPS HARQ-ACK is deferred.</w:t>
      </w:r>
    </w:p>
    <w:p w14:paraId="4236E98F" w14:textId="39BF356B" w:rsidR="007911F0" w:rsidRPr="007911F0" w:rsidRDefault="007911F0" w:rsidP="00E67C01">
      <w:pPr>
        <w:pStyle w:val="ListParagraph"/>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ListParagraph"/>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ListParagraph"/>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ListParagraph"/>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ListParagraph"/>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ListParagraph"/>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ListParagraph"/>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ListParagraph"/>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ListParagraph"/>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ListParagraph"/>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ListParagraph"/>
        <w:ind w:left="1440"/>
        <w:rPr>
          <w:lang w:eastAsia="zh-CN"/>
        </w:rPr>
      </w:pPr>
    </w:p>
    <w:p w14:paraId="4EF40223" w14:textId="77777777" w:rsidR="0093524C" w:rsidRDefault="0093524C" w:rsidP="0093524C">
      <w:pPr>
        <w:pStyle w:val="ListParagraph"/>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re-tx:</w:t>
      </w:r>
    </w:p>
    <w:tbl>
      <w:tblPr>
        <w:tblStyle w:val="TableGrid"/>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Heading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TableGrid"/>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Heading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TableGrid"/>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uawei/Hisi</w:t>
            </w:r>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es to resue existing procedures for Type-1 CB constructions involding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TableGrid"/>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understand the intention of the proposal for Type-1 HARQ-ACK codebook optimization, we are aslo fine with no optimaztion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Huawei/Hisi</w:t>
            </w:r>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Especially, since this is the last Rel. 17 meeting of this agenda item, a polite request even now not to waste the group’s time with features/mechanisms addressing problems of extremily low likelihoo.</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Huawei/Hisi</w:t>
            </w:r>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the starting of PUCCH which would carry the dropping SPS HARQ-ACK.</w:t>
            </w:r>
          </w:p>
          <w:p w14:paraId="5ACF7F15" w14:textId="77777777" w:rsidR="006A4FDB" w:rsidRDefault="006A4FDB" w:rsidP="006A4FDB">
            <w:pPr>
              <w:spacing w:beforeLines="50" w:before="120" w:after="0"/>
              <w:rPr>
                <w:rFonts w:eastAsia="SimSun" w:cs="Times New Roman"/>
                <w:sz w:val="20"/>
                <w:szCs w:val="20"/>
              </w:rPr>
            </w:pPr>
            <w:r>
              <w:rPr>
                <w:rFonts w:eastAsia="SimSun"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95.8pt" o:ole="">
                  <v:imagedata r:id="rId13" o:title=""/>
                </v:shape>
                <o:OLEObject Type="Embed" ProgID="Visio.Drawing.15" ShapeID="_x0000_i1025" DrawAspect="Content" ObjectID="_1707131496"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SimSun" w:cs="Times New Roman"/>
                <w:sz w:val="20"/>
                <w:szCs w:val="20"/>
              </w:rPr>
              <w:object w:dxaOrig="5835" w:dyaOrig="2295" w14:anchorId="6D007B16">
                <v:shape id="_x0000_i1026" type="#_x0000_t75" style="width:274.85pt;height:107.7pt" o:ole="">
                  <v:imagedata r:id="rId15" o:title=""/>
                </v:shape>
                <o:OLEObject Type="Embed" ProgID="Visio.Drawing.15" ShapeID="_x0000_i1026" DrawAspect="Content" ObjectID="_1707131497" r:id="rId16"/>
              </w:object>
            </w:r>
            <w:r w:rsidR="00DE2DFF">
              <w:rPr>
                <w:rFonts w:eastAsia="SimSun"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ListParagraph"/>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TableGrid"/>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SimSun"/>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ko-KR"/>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SimSun"/>
                <w:lang w:val="en-US" w:eastAsia="zh-CN"/>
              </w:rPr>
            </w:pPr>
            <w:r>
              <w:rPr>
                <w:rFonts w:eastAsia="SimSun"/>
                <w:lang w:val="en-US" w:eastAsia="zh-CN"/>
              </w:rPr>
              <w:t>I</w:t>
            </w:r>
            <w:r>
              <w:rPr>
                <w:rFonts w:eastAsia="SimSun" w:hint="eastAsia"/>
                <w:lang w:val="en-US" w:eastAsia="zh-CN"/>
              </w:rPr>
              <w:t xml:space="preserve">n </w:t>
            </w:r>
            <w:r>
              <w:rPr>
                <w:rFonts w:eastAsia="SimSun"/>
                <w:lang w:val="en-US" w:eastAsia="zh-CN"/>
              </w:rPr>
              <w:t xml:space="preserve">above </w:t>
            </w:r>
            <w:r>
              <w:rPr>
                <w:rFonts w:eastAsia="SimSun" w:hint="eastAsia"/>
                <w:lang w:val="en-US" w:eastAsia="zh-CN"/>
              </w:rPr>
              <w:t>Figure, a semi-static PUCCH cell switching is configured between the P</w:t>
            </w:r>
            <w:r>
              <w:rPr>
                <w:rFonts w:eastAsia="SimSun"/>
                <w:lang w:val="en-US" w:eastAsia="zh-CN"/>
              </w:rPr>
              <w:t>C</w:t>
            </w:r>
            <w:r>
              <w:rPr>
                <w:rFonts w:eastAsia="SimSun" w:hint="eastAsia"/>
                <w:lang w:val="en-US" w:eastAsia="zh-CN"/>
              </w:rPr>
              <w:t>ell and the SCell, and the PUCCH slot is marked in Figure based on the PUCCH cell switching pattern. For the initial slot n in the P</w:t>
            </w:r>
            <w:r>
              <w:rPr>
                <w:rFonts w:eastAsia="SimSun"/>
                <w:lang w:val="en-US" w:eastAsia="zh-CN"/>
              </w:rPr>
              <w:t>C</w:t>
            </w:r>
            <w:r>
              <w:rPr>
                <w:rFonts w:eastAsia="SimSun" w:hint="eastAsia"/>
                <w:lang w:val="en-US" w:eastAsia="zh-CN"/>
              </w:rPr>
              <w:t xml:space="preserve">ell, when the UE performs UCI multiplexing to determine whether the SPS HARQ-ACK is </w:t>
            </w:r>
            <w:r>
              <w:rPr>
                <w:rFonts w:eastAsia="SimSun"/>
                <w:lang w:val="en-US" w:eastAsia="zh-CN"/>
              </w:rPr>
              <w:t>deferred</w:t>
            </w:r>
            <w:r>
              <w:rPr>
                <w:rFonts w:eastAsia="SimSun" w:hint="eastAsia"/>
                <w:lang w:val="en-US" w:eastAsia="zh-CN"/>
              </w:rPr>
              <w:t xml:space="preserve">, it </w:t>
            </w:r>
            <w:r>
              <w:rPr>
                <w:rFonts w:eastAsia="SimSun"/>
                <w:lang w:val="en-US" w:eastAsia="zh-CN"/>
              </w:rPr>
              <w:t>is supported to</w:t>
            </w:r>
            <w:r>
              <w:rPr>
                <w:rFonts w:eastAsia="SimSun" w:hint="eastAsia"/>
                <w:lang w:val="en-US" w:eastAsia="zh-CN"/>
              </w:rPr>
              <w:t xml:space="preserve"> multiplex the SPS HARQ-ACK</w:t>
            </w:r>
            <w:r>
              <w:rPr>
                <w:rFonts w:eastAsia="SimSun"/>
                <w:lang w:val="en-US" w:eastAsia="zh-CN"/>
              </w:rPr>
              <w:t xml:space="preserve"> in PCell</w:t>
            </w:r>
            <w:r>
              <w:rPr>
                <w:rFonts w:eastAsia="SimSun" w:hint="eastAsia"/>
                <w:lang w:val="en-US" w:eastAsia="zh-CN"/>
              </w:rPr>
              <w:t xml:space="preserve"> </w:t>
            </w:r>
            <w:r>
              <w:rPr>
                <w:rFonts w:eastAsia="SimSun"/>
                <w:lang w:val="en-US" w:eastAsia="zh-CN"/>
              </w:rPr>
              <w:t>in</w:t>
            </w:r>
            <w:r>
              <w:rPr>
                <w:rFonts w:eastAsia="SimSun" w:hint="eastAsia"/>
                <w:lang w:val="en-US" w:eastAsia="zh-CN"/>
              </w:rPr>
              <w:t xml:space="preserve">to the </w:t>
            </w:r>
            <w:r>
              <w:rPr>
                <w:rFonts w:eastAsia="SimSun"/>
                <w:lang w:val="en-US" w:eastAsia="zh-CN"/>
              </w:rPr>
              <w:t xml:space="preserve">PUCCH </w:t>
            </w:r>
            <w:r>
              <w:rPr>
                <w:rFonts w:eastAsia="SimSun"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SimSun"/>
                <w:lang w:val="en-US" w:eastAsia="zh-CN"/>
              </w:rPr>
              <w:t>ed</w:t>
            </w:r>
            <w:r>
              <w:rPr>
                <w:rFonts w:eastAsia="SimSun" w:hint="eastAsia"/>
                <w:lang w:val="en-US" w:eastAsia="zh-CN"/>
              </w:rPr>
              <w:t xml:space="preserve"> PUCCH in slot m; otherwise, the SPS HARQ-ACK </w:t>
            </w:r>
            <w:r>
              <w:rPr>
                <w:rFonts w:eastAsia="SimSun"/>
                <w:lang w:val="en-US" w:eastAsia="zh-CN"/>
              </w:rPr>
              <w:t>deferral is determined</w:t>
            </w:r>
            <w:r>
              <w:rPr>
                <w:rFonts w:eastAsia="SimSun" w:hint="eastAsia"/>
                <w:lang w:val="en-US" w:eastAsia="zh-CN"/>
              </w:rPr>
              <w:t>.</w:t>
            </w:r>
          </w:p>
          <w:p w14:paraId="58192E99" w14:textId="77777777" w:rsidR="00F17EA9" w:rsidRDefault="00F17EA9" w:rsidP="00F17EA9">
            <w:pPr>
              <w:spacing w:beforeLines="50" w:before="120" w:after="0"/>
              <w:jc w:val="both"/>
              <w:rPr>
                <w:rFonts w:eastAsia="SimSun"/>
                <w:lang w:val="en-US" w:eastAsia="zh-CN"/>
              </w:rPr>
            </w:pPr>
            <w:r>
              <w:rPr>
                <w:rFonts w:eastAsia="SimSun" w:hint="eastAsia"/>
                <w:lang w:val="en-US" w:eastAsia="zh-CN"/>
              </w:rPr>
              <w:t xml:space="preserve">This </w:t>
            </w:r>
            <w:r>
              <w:rPr>
                <w:rFonts w:eastAsia="SimSun"/>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SimSun"/>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Strong"/>
                <w:i/>
                <w:iCs/>
                <w:lang w:eastAsia="zh-CN"/>
              </w:rPr>
            </w:pPr>
            <w:r>
              <w:rPr>
                <w:color w:val="0070C0"/>
              </w:rPr>
              <w:t xml:space="preserve">Actually based on the other agreed conclusion by email: </w:t>
            </w:r>
            <w:r>
              <w:rPr>
                <w:color w:val="0070C0"/>
              </w:rPr>
              <w:br/>
            </w:r>
            <w:r w:rsidRPr="00F35B23">
              <w:rPr>
                <w:rStyle w:val="Strong"/>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ListParagraph"/>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ListParagraph"/>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companies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ListParagraph"/>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TableGrid"/>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Huawei/Hisi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Spreadtrum</w:t>
                  </w:r>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enh. Type 3 HARQ-ACK CB does not include the HARQ process(es) corresponding to the derferred SPS PDSCH, the derferred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tareget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uawei/Hisi</w:t>
                  </w:r>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ListParagraph"/>
        <w:jc w:val="both"/>
        <w:rPr>
          <w:sz w:val="22"/>
          <w:lang w:eastAsia="zh-CN"/>
        </w:rPr>
      </w:pPr>
    </w:p>
    <w:p w14:paraId="5B0EE9FA" w14:textId="77777777" w:rsidR="00384A8B" w:rsidRPr="008E6CEE" w:rsidRDefault="00384A8B" w:rsidP="00384A8B">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6E2F959E"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uawei/Hisi</w:t>
            </w:r>
            <w:r w:rsidR="0025490E">
              <w:rPr>
                <w:iCs/>
                <w:kern w:val="2"/>
                <w:lang w:eastAsia="zh-CN"/>
              </w:rPr>
              <w:t>, vivo</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02280388"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p>
        </w:tc>
      </w:tr>
    </w:tbl>
    <w:p w14:paraId="6D1B12E1"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tha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timeline, thus UE shoud drop deferred</w:t>
            </w:r>
            <w:r w:rsidR="00BF0C2A">
              <w:rPr>
                <w:rFonts w:eastAsia="Malgun Gothic"/>
                <w:iCs/>
                <w:kern w:val="2"/>
                <w:lang w:eastAsia="ko-KR"/>
              </w:rPr>
              <w:t xml:space="preserve"> HARQ-ACK until that time point so that UE behaviors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5pt;height:118.35pt" o:ole="">
                  <v:imagedata r:id="rId18" o:title=""/>
                </v:shape>
                <o:OLEObject Type="Embed" ProgID="Visio.Drawing.15" ShapeID="_x0000_i1027" DrawAspect="Content" ObjectID="_1707131498"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EE7317"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23864A" w14:textId="77777777" w:rsidR="00EE7317" w:rsidRPr="00EA0140" w:rsidRDefault="00EE7317" w:rsidP="009E0702">
            <w:pPr>
              <w:widowControl w:val="0"/>
              <w:spacing w:beforeLines="50" w:before="120"/>
              <w:rPr>
                <w:kern w:val="2"/>
                <w:lang w:eastAsia="zh-CN"/>
              </w:rPr>
            </w:pPr>
          </w:p>
        </w:tc>
      </w:tr>
      <w:tr w:rsidR="00EE7317"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EE7317" w:rsidRPr="00EA0140" w:rsidRDefault="00EE7317" w:rsidP="009E0702">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2E2D56"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319A2E38" w:rsidR="00EE7317" w:rsidRPr="00BB35B5" w:rsidRDefault="00E26E8C" w:rsidP="009E0702">
            <w:pPr>
              <w:spacing w:beforeLines="50" w:before="120"/>
              <w:rPr>
                <w:iCs/>
                <w:kern w:val="2"/>
                <w:lang w:val="es-ES" w:eastAsia="zh-CN"/>
              </w:rPr>
            </w:pPr>
            <w:r w:rsidRPr="00BB35B5">
              <w:rPr>
                <w:rFonts w:hint="eastAsia"/>
                <w:iCs/>
                <w:kern w:val="2"/>
                <w:lang w:val="es-ES" w:eastAsia="zh-CN"/>
              </w:rPr>
              <w:t>H</w:t>
            </w:r>
            <w:r w:rsidRPr="00BB35B5">
              <w:rPr>
                <w:iCs/>
                <w:kern w:val="2"/>
                <w:lang w:val="es-ES" w:eastAsia="zh-CN"/>
              </w:rPr>
              <w:t>uawei/Hisi</w:t>
            </w:r>
            <w:r w:rsidR="00085291" w:rsidRPr="00BB35B5">
              <w:rPr>
                <w:iCs/>
                <w:kern w:val="2"/>
                <w:lang w:val="es-ES" w:eastAsia="zh-CN"/>
              </w:rPr>
              <w:t>, DOCOMO</w:t>
            </w:r>
            <w:r w:rsidR="0025490E" w:rsidRPr="00BB35B5">
              <w:rPr>
                <w:iCs/>
                <w:kern w:val="2"/>
                <w:lang w:val="es-ES" w:eastAsia="zh-CN"/>
              </w:rPr>
              <w:t>, vivo</w:t>
            </w:r>
            <w:r w:rsidR="00163D7A" w:rsidRPr="00BB35B5">
              <w:rPr>
                <w:iCs/>
                <w:kern w:val="2"/>
                <w:lang w:val="es-ES" w:eastAsia="zh-CN"/>
              </w:rPr>
              <w:t>, LG</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EB0224" w14:textId="77777777" w:rsidR="00EE7317" w:rsidRPr="00EA0140" w:rsidRDefault="00EE7317" w:rsidP="009E0702">
            <w:pPr>
              <w:spacing w:beforeLines="50" w:before="120"/>
              <w:rPr>
                <w:iCs/>
                <w:kern w:val="2"/>
                <w:lang w:eastAsia="zh-CN"/>
              </w:rPr>
            </w:pP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Heading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lastRenderedPageBreak/>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lastRenderedPageBreak/>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ListParagraph"/>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ListParagraph"/>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ListParagraph"/>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lastRenderedPageBreak/>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lastRenderedPageBreak/>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ListParagraph"/>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ListParagraph"/>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ListParagraph"/>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lastRenderedPageBreak/>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ListParagraph"/>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ListParagraph"/>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ListParagraph"/>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ListParagraph"/>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ListParagraph"/>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ListParagraph"/>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ListParagraph"/>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ListParagraph"/>
        <w:ind w:left="2160"/>
        <w:jc w:val="both"/>
        <w:rPr>
          <w:szCs w:val="18"/>
          <w:lang w:val="en-US" w:eastAsia="zh-CN"/>
        </w:rPr>
      </w:pPr>
    </w:p>
    <w:tbl>
      <w:tblPr>
        <w:tblStyle w:val="TableGrid"/>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w:t>
            </w:r>
            <w:r w:rsidRPr="003954C8">
              <w:rPr>
                <w:i/>
              </w:rPr>
              <w:lastRenderedPageBreak/>
              <w:t>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r w:rsidRPr="00E7190E">
              <w:rPr>
                <w:rFonts w:eastAsia="DengXian"/>
                <w:i/>
                <w:lang w:eastAsia="zh-CN"/>
              </w:rPr>
              <w:t>pdsch-HARQ-ACK-OneShotFeedbackCBG</w:t>
            </w:r>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lastRenderedPageBreak/>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ListParagraph"/>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ListParagraph"/>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ListParagraph"/>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ListParagraph"/>
        <w:numPr>
          <w:ilvl w:val="1"/>
          <w:numId w:val="73"/>
        </w:numPr>
        <w:jc w:val="both"/>
        <w:rPr>
          <w:i/>
          <w:iCs/>
          <w:szCs w:val="18"/>
          <w:lang w:val="en-US" w:eastAsia="zh-CN"/>
        </w:rPr>
      </w:pPr>
      <w:bookmarkStart w:id="10"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ListParagraph"/>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ListParagraph"/>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ListParagraph"/>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ListParagraph"/>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ListParagraph"/>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ListParagraph"/>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ListParagraph"/>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ListParagraph"/>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ListParagraph"/>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ListParagraph"/>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ListParagraph"/>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lastRenderedPageBreak/>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proposal can specify the UE behaviour, but can not solve the ambiguity on gNB. gNB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383DD0">
            <w:pPr>
              <w:spacing w:beforeLines="50" w:before="120" w:after="0"/>
              <w:rPr>
                <w:kern w:val="2"/>
                <w:lang w:eastAsia="zh-CN"/>
              </w:rPr>
            </w:pPr>
            <w:r>
              <w:rPr>
                <w:rFonts w:eastAsiaTheme="minorEastAsia"/>
                <w:iCs/>
                <w:kern w:val="2"/>
                <w:lang w:eastAsia="zh-CN"/>
              </w:rPr>
              <w:lastRenderedPageBreak/>
              <w:t>Sony</w:t>
            </w:r>
          </w:p>
        </w:tc>
        <w:tc>
          <w:tcPr>
            <w:tcW w:w="8105" w:type="dxa"/>
          </w:tcPr>
          <w:p w14:paraId="39818E2B" w14:textId="77777777" w:rsidR="00C800E3" w:rsidRPr="002D6399" w:rsidRDefault="00C800E3" w:rsidP="00383DD0">
            <w:pPr>
              <w:spacing w:beforeLines="50" w:before="120" w:after="0"/>
              <w:jc w:val="both"/>
              <w:rPr>
                <w:iCs/>
                <w:kern w:val="2"/>
                <w:lang w:eastAsia="zh-CN"/>
              </w:rPr>
            </w:pPr>
            <w:r>
              <w:rPr>
                <w:iCs/>
                <w:kern w:val="2"/>
                <w:lang w:eastAsia="zh-CN"/>
              </w:rPr>
              <w:t>We don’t think this needs to be captured in the specs as commented by some that this is anyway a natural consequences of a missed DCI.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29BC189D" w:rsidR="002D6399" w:rsidRPr="002D6399" w:rsidRDefault="00406502" w:rsidP="002D6399">
            <w:pPr>
              <w:spacing w:beforeLines="50" w:before="120" w:after="0"/>
              <w:rPr>
                <w:iCs/>
                <w:kern w:val="2"/>
                <w:lang w:eastAsia="zh-CN"/>
              </w:rPr>
            </w:pPr>
            <w:r>
              <w:rPr>
                <w:iCs/>
                <w:kern w:val="2"/>
                <w:lang w:eastAsia="zh-CN"/>
              </w:rPr>
              <w:t>QC</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Samsung</w:t>
            </w:r>
            <w:r w:rsidR="00C800E3">
              <w:rPr>
                <w:rFonts w:eastAsiaTheme="minorEastAsia"/>
                <w:kern w:val="2"/>
                <w:lang w:eastAsia="zh-CN"/>
              </w:rPr>
              <w:t>,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ListParagraph"/>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ListParagraph"/>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lastRenderedPageBreak/>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ListParagraph"/>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ListParagraph"/>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ListParagraph"/>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ListParagraph"/>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lastRenderedPageBreak/>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2E2D56"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lastRenderedPageBreak/>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TableGrid"/>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Heading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Heading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lastRenderedPageBreak/>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lastRenderedPageBreak/>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ListParagraph"/>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BodyText"/>
              <w:spacing w:before="120"/>
              <w:ind w:left="23"/>
              <w:jc w:val="center"/>
            </w:pPr>
            <w:r w:rsidRPr="001F18D7">
              <w:rPr>
                <w:rFonts w:cs="Times New Roman"/>
                <w:iCs/>
                <w:kern w:val="2"/>
                <w:sz w:val="20"/>
                <w:szCs w:val="20"/>
              </w:rPr>
              <w:object w:dxaOrig="5520" w:dyaOrig="1836" w14:anchorId="03FEBEA6">
                <v:shape id="_x0000_i1028" type="#_x0000_t75" style="width:182.8pt;height:61.35pt" o:ole="">
                  <v:imagedata r:id="rId20" o:title=""/>
                </v:shape>
                <o:OLEObject Type="Embed" ProgID="Visio.Drawing.15" ShapeID="_x0000_i1028" DrawAspect="Content" ObjectID="_1707131499" r:id="rId21"/>
              </w:object>
            </w:r>
            <w:r>
              <w:object w:dxaOrig="5520" w:dyaOrig="1585" w14:anchorId="5EE4918A">
                <v:shape id="_x0000_i1029" type="#_x0000_t75" style="width:198.45pt;height:58.25pt" o:ole="">
                  <v:imagedata r:id="rId22" o:title=""/>
                </v:shape>
                <o:OLEObject Type="Embed" ProgID="Visio.Drawing.15" ShapeID="_x0000_i1029" DrawAspect="Content" ObjectID="_1707131500" r:id="rId23"/>
              </w:object>
            </w:r>
          </w:p>
          <w:p w14:paraId="75359D07" w14:textId="77777777" w:rsidR="006A4FDB" w:rsidRPr="001F18D7" w:rsidRDefault="006A4FDB" w:rsidP="006A4FDB">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BodyText"/>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lastRenderedPageBreak/>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ListParagraph"/>
        <w:numPr>
          <w:ilvl w:val="0"/>
          <w:numId w:val="21"/>
        </w:numPr>
      </w:pPr>
      <w:r>
        <w:t>@DOCOMO / OPPO: as DOCOMO noted, there seems to be some similarity of Alt. 2 and Alt. 4!?</w:t>
      </w:r>
    </w:p>
    <w:p w14:paraId="0AFF4A3E" w14:textId="77777777" w:rsidR="00AC440F" w:rsidRDefault="00AC440F" w:rsidP="00AC440F">
      <w:pPr>
        <w:pStyle w:val="ListParagraph"/>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w:t>
      </w:r>
      <w:r w:rsidRPr="002D6399">
        <w:rPr>
          <w:rFonts w:eastAsia="Batang"/>
          <w:b/>
          <w:bCs/>
          <w:sz w:val="22"/>
          <w:szCs w:val="22"/>
          <w:lang w:eastAsia="zh-CN"/>
        </w:rPr>
        <w:lastRenderedPageBreak/>
        <w:t xml:space="preserve">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TableGrid"/>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5A495ACB"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uawei/Hisi</w:t>
            </w:r>
            <w:r w:rsidR="00085291">
              <w:rPr>
                <w:iCs/>
                <w:kern w:val="2"/>
                <w:lang w:eastAsia="zh-CN"/>
              </w:rPr>
              <w:t>, DOCOMO</w:t>
            </w:r>
            <w:r w:rsidR="0025490E">
              <w:rPr>
                <w:iCs/>
                <w:kern w:val="2"/>
                <w:lang w:eastAsia="zh-CN"/>
              </w:rPr>
              <w:t>, vivo</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TableGrid"/>
        <w:tblW w:w="9634" w:type="dxa"/>
        <w:tblLook w:val="04A0" w:firstRow="1" w:lastRow="0" w:firstColumn="1" w:lastColumn="0" w:noHBand="0" w:noVBand="1"/>
      </w:tblPr>
      <w:tblGrid>
        <w:gridCol w:w="1624"/>
        <w:gridCol w:w="8010"/>
      </w:tblGrid>
      <w:tr w:rsidR="001F1A7D" w:rsidRPr="002E2D56"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29424F13" w:rsidR="001F1A7D" w:rsidRPr="006E612B" w:rsidRDefault="007C4435" w:rsidP="009E0702">
            <w:pPr>
              <w:jc w:val="both"/>
              <w:rPr>
                <w:lang w:val="es-ES" w:eastAsia="zh-CN"/>
              </w:rPr>
            </w:pPr>
            <w:r w:rsidRPr="006E612B">
              <w:rPr>
                <w:rFonts w:hint="eastAsia"/>
                <w:iCs/>
                <w:kern w:val="2"/>
                <w:lang w:val="es-ES" w:eastAsia="zh-CN"/>
              </w:rPr>
              <w:t>H</w:t>
            </w:r>
            <w:r w:rsidRPr="006E612B">
              <w:rPr>
                <w:iCs/>
                <w:kern w:val="2"/>
                <w:lang w:val="es-ES" w:eastAsia="zh-CN"/>
              </w:rPr>
              <w:t>uawei/Hisi</w:t>
            </w:r>
            <w:r w:rsidR="00085291" w:rsidRPr="006E612B">
              <w:rPr>
                <w:iCs/>
                <w:kern w:val="2"/>
                <w:lang w:val="es-ES" w:eastAsia="zh-CN"/>
              </w:rPr>
              <w:t>, DOCOMO (2</w:t>
            </w:r>
            <w:r w:rsidR="00085291" w:rsidRPr="006E612B">
              <w:rPr>
                <w:iCs/>
                <w:kern w:val="2"/>
                <w:vertAlign w:val="superscript"/>
                <w:lang w:val="es-ES" w:eastAsia="zh-CN"/>
              </w:rPr>
              <w:t>nd</w:t>
            </w:r>
            <w:r w:rsidR="00085291" w:rsidRPr="006E612B">
              <w:rPr>
                <w:iCs/>
                <w:kern w:val="2"/>
                <w:lang w:val="es-ES" w:eastAsia="zh-CN"/>
              </w:rPr>
              <w:t xml:space="preserve"> preference)</w:t>
            </w:r>
            <w:r w:rsidR="0025490E" w:rsidRPr="006E612B">
              <w:rPr>
                <w:iCs/>
                <w:kern w:val="2"/>
                <w:lang w:val="es-ES" w:eastAsia="zh-CN"/>
              </w:rPr>
              <w:t>, vivo</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32308070"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TableGrid"/>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TableGrid"/>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Heading3"/>
                    <w:numPr>
                      <w:ilvl w:val="0"/>
                      <w:numId w:val="0"/>
                    </w:numPr>
                    <w:ind w:left="1140" w:hanging="1140"/>
                  </w:pPr>
                  <w:r>
                    <w:lastRenderedPageBreak/>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BodyText"/>
              <w:spacing w:before="120"/>
              <w:ind w:left="23"/>
              <w:jc w:val="center"/>
            </w:pPr>
            <w:r w:rsidRPr="001F18D7">
              <w:rPr>
                <w:rFonts w:cs="Times New Roman"/>
                <w:iCs/>
                <w:kern w:val="2"/>
                <w:sz w:val="20"/>
                <w:szCs w:val="20"/>
              </w:rPr>
              <w:object w:dxaOrig="5520" w:dyaOrig="1836" w14:anchorId="15DD65C3">
                <v:shape id="_x0000_i1030" type="#_x0000_t75" style="width:182.2pt;height:61.35pt" o:ole="">
                  <v:imagedata r:id="rId20" o:title=""/>
                </v:shape>
                <o:OLEObject Type="Embed" ProgID="Visio.Drawing.15" ShapeID="_x0000_i1030" DrawAspect="Content" ObjectID="_1707131501" r:id="rId24"/>
              </w:object>
            </w:r>
            <w:r>
              <w:object w:dxaOrig="5520" w:dyaOrig="1585" w14:anchorId="6995A10F">
                <v:shape id="_x0000_i1031" type="#_x0000_t75" style="width:198.45pt;height:58.25pt" o:ole="">
                  <v:imagedata r:id="rId22" o:title=""/>
                </v:shape>
                <o:OLEObject Type="Embed" ProgID="Visio.Drawing.15" ShapeID="_x0000_i1031" DrawAspect="Content" ObjectID="_1707131502" r:id="rId25"/>
              </w:object>
            </w:r>
          </w:p>
          <w:p w14:paraId="63AB4052" w14:textId="77777777" w:rsidR="001D0578" w:rsidRPr="001F18D7" w:rsidRDefault="001D0578" w:rsidP="001D0578">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45pt;height:58.25pt" o:ole="">
                  <v:imagedata r:id="rId22" o:title=""/>
                </v:shape>
                <o:OLEObject Type="Embed" ProgID="Visio.Drawing.15" ShapeID="_x0000_i1032" DrawAspect="Content" ObjectID="_1707131503"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We prefer to that eType3 HARQ-ACK CB contains the HARQ-ACK information carried in Type 1/2 HARQ-ACK CB which partially or fully overlaps with the PUCCH slot for eType3 HARQ-ACK CB. So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w:t>
            </w:r>
            <w:r w:rsidRPr="002D6399">
              <w:rPr>
                <w:rFonts w:eastAsia="Batang"/>
                <w:b/>
                <w:bCs/>
                <w:sz w:val="22"/>
                <w:szCs w:val="22"/>
                <w:lang w:eastAsia="zh-CN"/>
              </w:rPr>
              <w:lastRenderedPageBreak/>
              <w:t xml:space="preserve">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ListParagraph"/>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ListParagraph"/>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ListParagraph"/>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lastRenderedPageBreak/>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lastRenderedPageBreak/>
              <w:t>Agreement</w:t>
            </w:r>
          </w:p>
          <w:p w14:paraId="18B854EC" w14:textId="77777777" w:rsidR="00066AB4" w:rsidRPr="00EC0B43" w:rsidRDefault="00066AB4" w:rsidP="00E67C01">
            <w:pPr>
              <w:pStyle w:val="ListParagraph"/>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ListParagraph"/>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ListParagraph"/>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ListParagraph"/>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ListParagraph"/>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ListParagraph"/>
        <w:spacing w:after="0"/>
        <w:rPr>
          <w:lang w:val="en-US"/>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ListParagraph"/>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lastRenderedPageBreak/>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ListParagraph"/>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ListParagraph"/>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ListParagraph"/>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ListParagraph"/>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ListParagraph"/>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ListParagraph"/>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ListParagraph"/>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ListParagraph"/>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lastRenderedPageBreak/>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TableGrid"/>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ListParagraph"/>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ListParagraph"/>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ListParagraph"/>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ListParagraph"/>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lastRenderedPageBreak/>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lastRenderedPageBreak/>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TableGrid"/>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lastRenderedPageBreak/>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ListParagraph"/>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ListParagraph"/>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ListParagraph"/>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ListParagraph"/>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ListParagraph"/>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w:t>
      </w:r>
      <w:r w:rsidR="00593EF7">
        <w:rPr>
          <w:color w:val="000000" w:themeColor="text1"/>
        </w:rPr>
        <w:lastRenderedPageBreak/>
        <w:t xml:space="preserve">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ListParagraph"/>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ListParagraph"/>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ListParagraph"/>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ListParagraph"/>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ListParagraph"/>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ListParagraph"/>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ListParagraph"/>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ListParagraph"/>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ListParagraph"/>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ListParagraph"/>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ListParagraph"/>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ListParagraph"/>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ListParagraph"/>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ListParagraph"/>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ListParagraph"/>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ListParagraph"/>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ListParagraph"/>
        <w:numPr>
          <w:ilvl w:val="0"/>
          <w:numId w:val="92"/>
        </w:numPr>
        <w:spacing w:after="0"/>
        <w:rPr>
          <w:b/>
          <w:bCs/>
          <w:i/>
          <w:iCs/>
          <w:sz w:val="22"/>
          <w:szCs w:val="22"/>
          <w:lang w:eastAsia="zh-CN"/>
        </w:rPr>
      </w:pPr>
      <w:r w:rsidRPr="00AF40A3">
        <w:rPr>
          <w:b/>
          <w:bCs/>
          <w:sz w:val="22"/>
          <w:szCs w:val="22"/>
          <w:lang w:eastAsia="zh-CN"/>
        </w:rPr>
        <w:lastRenderedPageBreak/>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ListParagraph"/>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ListParagraph"/>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ListParagraph"/>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ListParagraph"/>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ListParagraph"/>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ListParagraph"/>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ListParagraph"/>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ListParagraph"/>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ListParagraph"/>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ListParagraph"/>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ListParagraph"/>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ListParagraph"/>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ListParagraph"/>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ListParagraph"/>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ListParagraph"/>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ListParagraph"/>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ListParagraph"/>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ListParagraph"/>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ListParagraph"/>
        <w:numPr>
          <w:ilvl w:val="2"/>
          <w:numId w:val="28"/>
        </w:numPr>
        <w:rPr>
          <w:lang w:val="en-US" w:eastAsia="zh-CN"/>
        </w:rPr>
      </w:pPr>
      <w:r>
        <w:rPr>
          <w:lang w:val="en-US" w:eastAsia="zh-CN"/>
        </w:rPr>
        <w:t>ZTE [6]</w:t>
      </w:r>
    </w:p>
    <w:p w14:paraId="266B5BC6" w14:textId="65A064A6" w:rsidR="007911F0" w:rsidRDefault="007911F0" w:rsidP="00DC38B6">
      <w:pPr>
        <w:pStyle w:val="ListParagraph"/>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ListParagraph"/>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ListParagraph"/>
        <w:numPr>
          <w:ilvl w:val="3"/>
          <w:numId w:val="28"/>
        </w:numPr>
        <w:rPr>
          <w:lang w:val="en-US" w:eastAsia="zh-CN"/>
        </w:rPr>
      </w:pPr>
      <w:bookmarkStart w:id="43" w:name="_Hlk95933930"/>
      <w:bookmarkEnd w:id="42"/>
      <w:r w:rsidRPr="007911F0">
        <w:rPr>
          <w:lang w:val="en-US" w:eastAsia="zh-CN"/>
        </w:rPr>
        <w:lastRenderedPageBreak/>
        <w:t>UE expects that PUCCH resources from PCell/SPCell/PUCCH SCell and PUCCH sScell have the same number of symbols for each PUCCH repetition.</w:t>
      </w:r>
    </w:p>
    <w:bookmarkEnd w:id="43"/>
    <w:p w14:paraId="510570F7" w14:textId="48CB1168" w:rsidR="00EB28C1" w:rsidRDefault="00B12050" w:rsidP="00DC38B6">
      <w:pPr>
        <w:pStyle w:val="ListParagraph"/>
        <w:numPr>
          <w:ilvl w:val="2"/>
          <w:numId w:val="28"/>
        </w:numPr>
        <w:rPr>
          <w:lang w:val="en-US" w:eastAsia="zh-CN"/>
        </w:rPr>
      </w:pPr>
      <w:r>
        <w:rPr>
          <w:lang w:val="en-US" w:eastAsia="zh-CN"/>
        </w:rPr>
        <w:t xml:space="preserve">Panasonic [13]: </w:t>
      </w:r>
    </w:p>
    <w:p w14:paraId="15A0D917" w14:textId="77777777" w:rsidR="00EB28C1" w:rsidRDefault="00B12050" w:rsidP="00DC38B6">
      <w:pPr>
        <w:pStyle w:val="ListParagraph"/>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ListParagraph"/>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ListParagraph"/>
        <w:numPr>
          <w:ilvl w:val="2"/>
          <w:numId w:val="28"/>
        </w:numPr>
        <w:rPr>
          <w:lang w:val="en-US" w:eastAsia="zh-CN"/>
        </w:rPr>
      </w:pPr>
      <w:r>
        <w:rPr>
          <w:lang w:val="en-US" w:eastAsia="zh-CN"/>
        </w:rPr>
        <w:t xml:space="preserve">NEC [17]: </w:t>
      </w:r>
    </w:p>
    <w:p w14:paraId="7798A2F6" w14:textId="56B50EC3" w:rsidR="00EB28C1" w:rsidRDefault="00EB28C1" w:rsidP="00DC38B6">
      <w:pPr>
        <w:pStyle w:val="ListParagraph"/>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ListParagraph"/>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ListParagraph"/>
        <w:numPr>
          <w:ilvl w:val="2"/>
          <w:numId w:val="28"/>
        </w:numPr>
        <w:rPr>
          <w:lang w:val="en-US" w:eastAsia="zh-CN"/>
        </w:rPr>
      </w:pPr>
      <w:r>
        <w:rPr>
          <w:lang w:val="en-US" w:eastAsia="zh-CN"/>
        </w:rPr>
        <w:t>Samsung [18]</w:t>
      </w:r>
    </w:p>
    <w:p w14:paraId="6E019595" w14:textId="2D922EE8" w:rsidR="005836EF" w:rsidRDefault="005836EF" w:rsidP="00DC38B6">
      <w:pPr>
        <w:pStyle w:val="ListParagraph"/>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ListParagraph"/>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ListParagraph"/>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ListParagraph"/>
        <w:ind w:left="2880"/>
        <w:rPr>
          <w:lang w:val="en-US" w:eastAsia="zh-CN"/>
        </w:rPr>
      </w:pPr>
    </w:p>
    <w:p w14:paraId="10079285" w14:textId="77777777" w:rsidR="00B12050" w:rsidRPr="0053427B" w:rsidRDefault="00B12050" w:rsidP="00B12050">
      <w:pPr>
        <w:pStyle w:val="ListParagraph"/>
        <w:ind w:left="2880"/>
        <w:rPr>
          <w:lang w:val="en-US" w:eastAsia="zh-CN"/>
        </w:rPr>
      </w:pPr>
    </w:p>
    <w:p w14:paraId="2F8985C3" w14:textId="0B0D411B" w:rsidR="00987F45" w:rsidRDefault="00124AC1" w:rsidP="00DC38B6">
      <w:pPr>
        <w:pStyle w:val="ListParagraph"/>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ListParagraph"/>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8"/>
      <w:r>
        <w:rPr>
          <w:rFonts w:eastAsia="Batang"/>
          <w:b/>
          <w:i/>
          <w:sz w:val="22"/>
          <w:szCs w:val="22"/>
          <w:lang w:eastAsia="x-none"/>
        </w:rPr>
        <w:t>.</w:t>
      </w:r>
    </w:p>
    <w:p w14:paraId="796BE0F0" w14:textId="16E94D9D" w:rsidR="006670FA" w:rsidRPr="00B12050" w:rsidRDefault="00987F45" w:rsidP="00E67C01">
      <w:pPr>
        <w:pStyle w:val="ListParagraph"/>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ListParagraph"/>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ListParagraph"/>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ListParagraph"/>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ListParagraph"/>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ListParagraph"/>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ListParagraph"/>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ListParagraph"/>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ListParagraph"/>
        <w:widowControl w:val="0"/>
        <w:numPr>
          <w:ilvl w:val="1"/>
          <w:numId w:val="28"/>
        </w:numPr>
        <w:spacing w:after="0"/>
        <w:contextualSpacing w:val="0"/>
        <w:jc w:val="both"/>
        <w:rPr>
          <w:bCs/>
          <w:i/>
          <w:lang w:eastAsia="zh-CN"/>
        </w:rPr>
      </w:pPr>
      <w:r w:rsidRPr="00576168">
        <w:rPr>
          <w:bCs/>
          <w:i/>
          <w:lang w:eastAsia="zh-CN"/>
        </w:rPr>
        <w:lastRenderedPageBreak/>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ListParagraph"/>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ListParagraph"/>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ListParagraph"/>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ListParagraph"/>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ListParagraph"/>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ListParagraph"/>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ListParagraph"/>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ListParagraph"/>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ko-KR"/>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ko-KR"/>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ListParagraph"/>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ListParagraph"/>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ListParagraph"/>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ListParagraph"/>
        <w:numPr>
          <w:ilvl w:val="0"/>
          <w:numId w:val="27"/>
        </w:numPr>
        <w:rPr>
          <w:i/>
          <w:iCs/>
          <w:lang w:val="en-US" w:eastAsia="zh-CN"/>
        </w:rPr>
      </w:pPr>
      <w:r w:rsidRPr="00393270">
        <w:rPr>
          <w:lang w:val="en-US" w:eastAsia="zh-CN"/>
        </w:rPr>
        <w:lastRenderedPageBreak/>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ListParagraph"/>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ListParagraph"/>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ListParagraph"/>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ListParagraph"/>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ListParagraph"/>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ListParagraph"/>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ListParagraph"/>
        <w:ind w:left="1440"/>
        <w:rPr>
          <w:i/>
          <w:iCs/>
          <w:lang w:val="en-US" w:eastAsia="zh-CN"/>
        </w:rPr>
      </w:pPr>
    </w:p>
    <w:p w14:paraId="6FE81D63" w14:textId="77777777" w:rsidR="00D72839" w:rsidRPr="00FC5B5C" w:rsidRDefault="00D72839" w:rsidP="00D20479">
      <w:pPr>
        <w:pStyle w:val="ListParagraph"/>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ListParagraph"/>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TableGrid"/>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ListParagraph"/>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TableGrid"/>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lastRenderedPageBreak/>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ListParagraph"/>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TableGrid"/>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ko-KR"/>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ko-KR"/>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ko-KR"/>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ko-KR"/>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ko-KR"/>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ko-KR"/>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ko-KR"/>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ko-KR"/>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ko-KR"/>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ko-KR"/>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ko-KR"/>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ko-KR"/>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ko-KR"/>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ko-KR"/>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ko-KR"/>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ko-KR"/>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ko-KR"/>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ko-KR"/>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ko-KR"/>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76A7A401"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TableGrid"/>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ko-KR"/>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TableGrid"/>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TableGrid"/>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6E612B" w:rsidRDefault="005132C5" w:rsidP="00B75A43">
            <w:pPr>
              <w:spacing w:after="0"/>
              <w:jc w:val="both"/>
              <w:rPr>
                <w:lang w:eastAsia="zh-CN"/>
              </w:rPr>
            </w:pPr>
            <w:r w:rsidRPr="006E612B">
              <w:rPr>
                <w:lang w:eastAsia="zh-CN"/>
              </w:rPr>
              <w:t>Intel</w:t>
            </w:r>
            <w:r w:rsidR="0009471F" w:rsidRPr="006E612B">
              <w:rPr>
                <w:lang w:eastAsia="zh-CN"/>
              </w:rPr>
              <w:t>, QC</w:t>
            </w:r>
            <w:r w:rsidR="00A74413" w:rsidRPr="006E612B">
              <w:rPr>
                <w:lang w:eastAsia="zh-CN"/>
              </w:rPr>
              <w:t xml:space="preserve"> Huawei/Hisi</w:t>
            </w:r>
            <w:r w:rsidR="002E072C" w:rsidRPr="006E612B">
              <w:rPr>
                <w:lang w:eastAsia="zh-CN"/>
              </w:rPr>
              <w:t>, vivo</w:t>
            </w:r>
            <w:r w:rsidR="00A91033" w:rsidRPr="006E612B">
              <w:rPr>
                <w:lang w:eastAsia="zh-CN"/>
              </w:rPr>
              <w:t>, DOCOMO</w:t>
            </w:r>
            <w:r w:rsidR="00455EAC" w:rsidRPr="006E612B">
              <w:rPr>
                <w:lang w:eastAsia="zh-CN"/>
              </w:rPr>
              <w:t xml:space="preserve">, </w:t>
            </w:r>
            <w:r w:rsidR="00455EAC" w:rsidRPr="006E612B">
              <w:rPr>
                <w:iCs/>
                <w:kern w:val="2"/>
                <w:lang w:eastAsia="zh-CN"/>
              </w:rPr>
              <w:t>Panasonic</w:t>
            </w:r>
            <w:r w:rsidR="00E7479F" w:rsidRPr="006E612B">
              <w:rPr>
                <w:iCs/>
                <w:kern w:val="2"/>
                <w:lang w:eastAsia="zh-CN"/>
              </w:rPr>
              <w:t>, Nokia/NSB</w:t>
            </w:r>
            <w:r w:rsidR="005B0C72" w:rsidRPr="006E612B">
              <w:rPr>
                <w:iCs/>
                <w:kern w:val="2"/>
                <w:lang w:eastAsia="zh-CN"/>
              </w:rPr>
              <w:t>, LG</w:t>
            </w:r>
            <w:r w:rsidR="00EA65D6" w:rsidRPr="006E612B">
              <w:rPr>
                <w:iCs/>
                <w:kern w:val="2"/>
                <w:lang w:eastAsia="zh-CN"/>
              </w:rPr>
              <w:t>, NEC</w:t>
            </w:r>
            <w:r w:rsidR="00164380" w:rsidRPr="006E612B">
              <w:rPr>
                <w:iCs/>
                <w:kern w:val="2"/>
                <w:lang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ListParagraph"/>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ListParagraph"/>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ListParagraph"/>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ListParagraph"/>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ListParagraph"/>
        <w:numPr>
          <w:ilvl w:val="0"/>
          <w:numId w:val="124"/>
        </w:numPr>
        <w:spacing w:after="160" w:line="259" w:lineRule="auto"/>
      </w:pPr>
      <w:r w:rsidRPr="00EA0140">
        <w:t>On ‘alignment’ of PUCCH resources:</w:t>
      </w:r>
    </w:p>
    <w:p w14:paraId="385DBB9D" w14:textId="77777777" w:rsidR="00B75A43" w:rsidRPr="00EA0140" w:rsidRDefault="00B75A43" w:rsidP="00E67C01">
      <w:pPr>
        <w:pStyle w:val="ListParagraph"/>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ListParagraph"/>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TableGrid"/>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TableGrid"/>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ko-KR"/>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for PUCCH sSCell</w:t>
      </w:r>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TableGrid"/>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73B41D79" w:rsidR="00163D7A" w:rsidRPr="00163D7A" w:rsidRDefault="000375E0" w:rsidP="009E0702">
            <w:pPr>
              <w:spacing w:beforeLines="50" w:before="120"/>
              <w:rPr>
                <w:rFonts w:eastAsia="Malgun Gothic"/>
                <w:lang w:eastAsia="ko-KR"/>
              </w:rPr>
            </w:pPr>
            <w:r>
              <w:t>Huawei/Hisi</w:t>
            </w:r>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r w:rsidR="00BB35B5">
              <w:rPr>
                <w:rFonts w:eastAsia="Malgun Gothic"/>
                <w:lang w:eastAsia="ko-KR"/>
              </w:rPr>
              <w:t>, Panasonic</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CSI-ReportConfig</w:t>
      </w:r>
      <w:r>
        <w:rPr>
          <w:rFonts w:eastAsia="Calibri"/>
          <w:b/>
          <w:bCs/>
          <w:sz w:val="22"/>
          <w:szCs w:val="22"/>
        </w:rPr>
        <w:t xml:space="preserve"> to allow configuring a separate ‘</w:t>
      </w:r>
      <w:r w:rsidRPr="00C41281">
        <w:rPr>
          <w:rFonts w:eastAsia="Calibri"/>
          <w:b/>
          <w:bCs/>
          <w:i/>
          <w:iCs/>
          <w:sz w:val="22"/>
          <w:szCs w:val="22"/>
        </w:rPr>
        <w:t>pucch-CSI-ResourceList</w:t>
      </w:r>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for PUCCH sSCell</w:t>
      </w:r>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TableGrid"/>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27A02E66"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r w:rsidR="002E2D56">
              <w:rPr>
                <w:rFonts w:eastAsia="Malgun Gothic"/>
                <w:iCs/>
                <w:kern w:val="2"/>
                <w:lang w:eastAsia="ko-KR"/>
              </w:rPr>
              <w:t>, Panasonic</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TableGrid"/>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9E58C2"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B7CC23" w14:textId="77777777" w:rsidR="009E58C2" w:rsidRPr="00EA0140" w:rsidRDefault="009E58C2" w:rsidP="00DE2DFF">
            <w:pPr>
              <w:widowControl w:val="0"/>
              <w:spacing w:beforeLines="50" w:before="120"/>
              <w:rPr>
                <w:kern w:val="2"/>
                <w:lang w:eastAsia="zh-CN"/>
              </w:rPr>
            </w:pP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DE2DFF">
            <w:pPr>
              <w:widowControl w:val="0"/>
              <w:spacing w:beforeLines="50" w:before="120"/>
              <w:rPr>
                <w:kern w:val="2"/>
                <w:lang w:eastAsia="zh-CN"/>
              </w:rPr>
            </w:pP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TableGrid"/>
        <w:tblW w:w="9634" w:type="dxa"/>
        <w:tblLook w:val="04A0" w:firstRow="1" w:lastRow="0" w:firstColumn="1" w:lastColumn="0" w:noHBand="0" w:noVBand="1"/>
      </w:tblPr>
      <w:tblGrid>
        <w:gridCol w:w="2547"/>
        <w:gridCol w:w="7087"/>
      </w:tblGrid>
      <w:tr w:rsidR="004C328A" w:rsidRPr="002E2D56"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3946EC26" w:rsidR="004C328A" w:rsidRPr="006E612B" w:rsidRDefault="00DA60FE" w:rsidP="00DE2DFF">
            <w:pPr>
              <w:spacing w:beforeLines="50" w:before="120"/>
              <w:rPr>
                <w:iCs/>
                <w:kern w:val="2"/>
                <w:lang w:val="es-ES" w:eastAsia="zh-CN"/>
              </w:rPr>
            </w:pPr>
            <w:r w:rsidRPr="006E612B">
              <w:rPr>
                <w:lang w:val="es-ES"/>
              </w:rPr>
              <w:t>Huawei/Hisi</w:t>
            </w:r>
            <w:r w:rsidR="00CE5F21" w:rsidRPr="006E612B">
              <w:rPr>
                <w:lang w:val="es-ES"/>
              </w:rPr>
              <w:t>, DOCOMO</w:t>
            </w:r>
            <w:r w:rsidR="0025490E" w:rsidRPr="006E612B">
              <w:rPr>
                <w:lang w:val="es-ES"/>
              </w:rPr>
              <w:t>, vivo</w:t>
            </w:r>
            <w:r w:rsidR="00DF3D9C" w:rsidRPr="006E612B">
              <w:rPr>
                <w:lang w:val="es-ES"/>
              </w:rPr>
              <w:t>, LG</w:t>
            </w:r>
            <w:r w:rsidR="006E612B">
              <w:rPr>
                <w:lang w:val="es-ES"/>
              </w:rPr>
              <w:t>, Panasonic</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77777777" w:rsidR="004C328A" w:rsidRPr="00EA0140" w:rsidRDefault="004C328A" w:rsidP="00DE2DFF">
            <w:pPr>
              <w:widowControl w:val="0"/>
              <w:spacing w:beforeLines="50" w:before="120"/>
              <w:rPr>
                <w:kern w:val="2"/>
                <w:lang w:eastAsia="zh-CN"/>
              </w:rPr>
            </w:pPr>
          </w:p>
        </w:tc>
      </w:tr>
    </w:tbl>
    <w:p w14:paraId="62F2C1A8" w14:textId="274E886B" w:rsidR="004C328A" w:rsidRDefault="004C328A" w:rsidP="004C328A">
      <w:pPr>
        <w:jc w:val="both"/>
        <w:rPr>
          <w:lang w:eastAsia="zh-CN"/>
        </w:rPr>
      </w:pPr>
    </w:p>
    <w:tbl>
      <w:tblPr>
        <w:tblStyle w:val="TableGrid"/>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0249F481" w:rsidR="004C328A" w:rsidRPr="00EA0140" w:rsidRDefault="00CE5F21" w:rsidP="00DE2DFF">
            <w:pPr>
              <w:jc w:val="both"/>
              <w:rPr>
                <w:lang w:eastAsia="zh-CN"/>
              </w:rPr>
            </w:pPr>
            <w:r>
              <w:rPr>
                <w:rFonts w:hint="eastAsia"/>
                <w:lang w:eastAsia="zh-CN"/>
              </w:rPr>
              <w:t>D</w:t>
            </w:r>
            <w:r>
              <w:rPr>
                <w:lang w:eastAsia="zh-CN"/>
              </w:rPr>
              <w:t>OCOMO (can accept if more clarification)</w:t>
            </w:r>
            <w:r w:rsidR="00B917A3">
              <w:rPr>
                <w:lang w:eastAsia="zh-CN"/>
              </w:rPr>
              <w:t>, Panasonic</w:t>
            </w:r>
          </w:p>
        </w:tc>
      </w:tr>
      <w:tr w:rsidR="004C328A" w:rsidRPr="002E2D56"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4CE36063" w:rsidR="004C328A" w:rsidRPr="006E612B" w:rsidRDefault="00FE0AF0" w:rsidP="00DE2DFF">
            <w:pPr>
              <w:jc w:val="both"/>
              <w:rPr>
                <w:lang w:val="es-ES" w:eastAsia="zh-CN"/>
              </w:rPr>
            </w:pPr>
            <w:r w:rsidRPr="006E612B">
              <w:rPr>
                <w:lang w:val="es-ES"/>
              </w:rPr>
              <w:t>Huawei/Hisi</w:t>
            </w:r>
            <w:r w:rsidR="00CE5F21" w:rsidRPr="006E612B">
              <w:rPr>
                <w:lang w:val="es-ES"/>
              </w:rPr>
              <w:t xml:space="preserve">, </w:t>
            </w:r>
            <w:r w:rsidR="00CE5F21" w:rsidRPr="006E612B">
              <w:rPr>
                <w:rFonts w:hint="eastAsia"/>
                <w:lang w:val="es-ES" w:eastAsia="zh-CN"/>
              </w:rPr>
              <w:t>D</w:t>
            </w:r>
            <w:r w:rsidR="00CE5F21" w:rsidRPr="006E612B">
              <w:rPr>
                <w:lang w:val="es-ES" w:eastAsia="zh-CN"/>
              </w:rPr>
              <w:t>OCOMO (1</w:t>
            </w:r>
            <w:r w:rsidR="00CE5F21" w:rsidRPr="006E612B">
              <w:rPr>
                <w:vertAlign w:val="superscript"/>
                <w:lang w:val="es-ES" w:eastAsia="zh-CN"/>
              </w:rPr>
              <w:t>st</w:t>
            </w:r>
            <w:r w:rsidR="00CE5F21" w:rsidRPr="006E612B">
              <w:rPr>
                <w:lang w:val="es-ES" w:eastAsia="zh-CN"/>
              </w:rPr>
              <w:t xml:space="preserve"> preference)</w:t>
            </w:r>
            <w:r w:rsidR="0025490E" w:rsidRPr="006E612B">
              <w:rPr>
                <w:lang w:val="es-ES" w:eastAsia="zh-CN"/>
              </w:rPr>
              <w:t>, vivo</w:t>
            </w:r>
            <w:r w:rsidR="00DF3D9C" w:rsidRPr="006E612B">
              <w:rPr>
                <w:lang w:val="es-ES" w:eastAsia="zh-CN"/>
              </w:rPr>
              <w:t>, LG</w:t>
            </w:r>
          </w:p>
        </w:tc>
      </w:tr>
    </w:tbl>
    <w:p w14:paraId="565677F1" w14:textId="77777777" w:rsidR="004C328A" w:rsidRPr="006E612B" w:rsidRDefault="004C328A" w:rsidP="004C328A">
      <w:pPr>
        <w:jc w:val="both"/>
        <w:rPr>
          <w:lang w:val="es-ES" w:eastAsia="zh-CN"/>
        </w:rPr>
      </w:pPr>
    </w:p>
    <w:tbl>
      <w:tblPr>
        <w:tblStyle w:val="TableGrid"/>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ko-KR"/>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1: For the first sub-bullet under Alt 1, for all PUCCH Scell slots overlapping with one PCell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multi-CSI-PUCCH-ResourceList</w:t>
            </w:r>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4FD3E03B" w:rsidR="001A7B82" w:rsidRPr="00EA0140" w:rsidRDefault="00B917A3" w:rsidP="001A7B82">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16F159E" w14:textId="2C2FB64E" w:rsidR="001A7B82" w:rsidRPr="00EA0140" w:rsidRDefault="009528D8" w:rsidP="001A7B82">
            <w:pPr>
              <w:widowControl w:val="0"/>
              <w:spacing w:beforeLines="50" w:before="120"/>
              <w:rPr>
                <w:kern w:val="2"/>
                <w:lang w:eastAsia="zh-CN"/>
              </w:rPr>
            </w:pPr>
            <w:r>
              <w:rPr>
                <w:iCs/>
                <w:kern w:val="2"/>
                <w:lang w:eastAsia="zh-CN"/>
              </w:rPr>
              <w:t xml:space="preserve">Alt. 1 ensures both reliability and latency requirements. The </w:t>
            </w:r>
            <w:r w:rsidR="0019191E">
              <w:rPr>
                <w:iCs/>
                <w:kern w:val="2"/>
                <w:lang w:eastAsia="zh-CN"/>
              </w:rPr>
              <w:t>repetition ocassions and counting on SCell should be clarified.</w:t>
            </w:r>
          </w:p>
        </w:tc>
      </w:tr>
      <w:tr w:rsidR="001A7B82"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41B14E" w14:textId="77777777" w:rsidR="001A7B82" w:rsidRPr="00EA0140" w:rsidRDefault="001A7B82" w:rsidP="001A7B82">
            <w:pPr>
              <w:widowControl w:val="0"/>
              <w:spacing w:beforeLines="50" w:before="120"/>
              <w:jc w:val="both"/>
              <w:rPr>
                <w:iCs/>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lastRenderedPageBreak/>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ListParagraph"/>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ListParagraph"/>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ListParagraph"/>
      </w:pPr>
    </w:p>
    <w:p w14:paraId="6BAAE8FC" w14:textId="16B8F2E0" w:rsidR="009E0702" w:rsidRDefault="009E0702" w:rsidP="009E0702">
      <w:pPr>
        <w:pStyle w:val="ListParagraph"/>
      </w:pPr>
    </w:p>
    <w:tbl>
      <w:tblPr>
        <w:tblStyle w:val="TableGrid"/>
        <w:tblW w:w="9634" w:type="dxa"/>
        <w:tblLook w:val="04A0" w:firstRow="1" w:lastRow="0" w:firstColumn="1" w:lastColumn="0" w:noHBand="0" w:noVBand="1"/>
      </w:tblPr>
      <w:tblGrid>
        <w:gridCol w:w="1624"/>
        <w:gridCol w:w="8010"/>
      </w:tblGrid>
      <w:tr w:rsidR="003120FE" w:rsidRPr="006E612B"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334F7F96" w:rsidR="003120FE" w:rsidRPr="006E612B" w:rsidRDefault="003120FE" w:rsidP="003120FE">
            <w:pPr>
              <w:jc w:val="both"/>
              <w:rPr>
                <w:lang w:val="es-ES" w:eastAsia="zh-CN"/>
              </w:rPr>
            </w:pPr>
            <w:r w:rsidRPr="006E612B">
              <w:rPr>
                <w:lang w:val="es-ES"/>
              </w:rPr>
              <w:t>Huawei/Hisi(2</w:t>
            </w:r>
            <w:r w:rsidRPr="006E612B">
              <w:rPr>
                <w:vertAlign w:val="superscript"/>
                <w:lang w:val="es-ES"/>
              </w:rPr>
              <w:t>nd</w:t>
            </w:r>
            <w:r w:rsidRPr="006E612B">
              <w:rPr>
                <w:lang w:val="es-ES"/>
              </w:rPr>
              <w:t>)</w:t>
            </w:r>
            <w:r w:rsidR="00055A0E" w:rsidRPr="006E612B">
              <w:rPr>
                <w:lang w:val="es-ES"/>
              </w:rPr>
              <w:t>, DOCOMO (2</w:t>
            </w:r>
            <w:r w:rsidR="00055A0E" w:rsidRPr="006E612B">
              <w:rPr>
                <w:vertAlign w:val="superscript"/>
                <w:lang w:val="es-ES"/>
              </w:rPr>
              <w:t>nd</w:t>
            </w:r>
            <w:r w:rsidR="00055A0E" w:rsidRPr="006E612B">
              <w:rPr>
                <w:lang w:val="es-ES"/>
              </w:rPr>
              <w:t>)</w:t>
            </w:r>
            <w:r w:rsidR="0025490E" w:rsidRPr="006E612B">
              <w:rPr>
                <w:lang w:val="es-ES"/>
              </w:rPr>
              <w:t>, vivo</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45BF0F95" w:rsidR="003120FE" w:rsidRPr="00EA0140" w:rsidRDefault="003120FE" w:rsidP="003120FE">
            <w:pPr>
              <w:jc w:val="both"/>
              <w:rPr>
                <w:lang w:eastAsia="zh-CN"/>
              </w:rPr>
            </w:pPr>
            <w:r>
              <w:t>Huawei/Hisi(1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exmept resource on PCell.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77777777" w:rsidR="0025490E" w:rsidRPr="00EA0140" w:rsidRDefault="0025490E" w:rsidP="002549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89DF6C" w14:textId="77777777" w:rsidR="0025490E" w:rsidRPr="00EA0140" w:rsidRDefault="0025490E" w:rsidP="0025490E">
            <w:pPr>
              <w:widowControl w:val="0"/>
              <w:spacing w:beforeLines="50" w:before="120"/>
              <w:jc w:val="both"/>
              <w:rPr>
                <w:iCs/>
                <w:kern w:val="2"/>
                <w:lang w:eastAsia="zh-CN"/>
              </w:rPr>
            </w:pPr>
          </w:p>
        </w:tc>
      </w:tr>
      <w:tr w:rsidR="0025490E" w:rsidRPr="00EA0140" w14:paraId="46585324" w14:textId="77777777" w:rsidTr="009E0702">
        <w:tc>
          <w:tcPr>
            <w:tcW w:w="1529" w:type="dxa"/>
          </w:tcPr>
          <w:p w14:paraId="4E76AD5F" w14:textId="77777777" w:rsidR="0025490E" w:rsidRPr="00EA0140" w:rsidRDefault="0025490E" w:rsidP="0025490E">
            <w:pPr>
              <w:spacing w:beforeLines="50" w:before="120"/>
              <w:rPr>
                <w:iCs/>
                <w:kern w:val="2"/>
                <w:lang w:eastAsia="zh-CN"/>
              </w:rPr>
            </w:pPr>
          </w:p>
        </w:tc>
        <w:tc>
          <w:tcPr>
            <w:tcW w:w="8105" w:type="dxa"/>
          </w:tcPr>
          <w:p w14:paraId="39E5F798" w14:textId="77777777" w:rsidR="0025490E" w:rsidRPr="00EA0140" w:rsidRDefault="0025490E" w:rsidP="0025490E">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ListParagraph"/>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lastRenderedPageBreak/>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ListParagraph"/>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ListParagraph"/>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ListParagraph"/>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TableGrid"/>
        <w:tblW w:w="9634" w:type="dxa"/>
        <w:tblLook w:val="04A0" w:firstRow="1" w:lastRow="0" w:firstColumn="1" w:lastColumn="0" w:noHBand="0" w:noVBand="1"/>
      </w:tblPr>
      <w:tblGrid>
        <w:gridCol w:w="1624"/>
        <w:gridCol w:w="8010"/>
      </w:tblGrid>
      <w:tr w:rsidR="008E5FA5" w:rsidRPr="006E612B"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73DEA57F" w:rsidR="008E5FA5" w:rsidRPr="006E612B" w:rsidRDefault="00917501" w:rsidP="00DE2DFF">
            <w:pPr>
              <w:jc w:val="both"/>
              <w:rPr>
                <w:lang w:val="es-ES" w:eastAsia="zh-CN"/>
              </w:rPr>
            </w:pPr>
            <w:r w:rsidRPr="006E612B">
              <w:rPr>
                <w:lang w:val="es-ES"/>
              </w:rPr>
              <w:t>Huawei/Hisi</w:t>
            </w:r>
            <w:r w:rsidR="00390290" w:rsidRPr="006E612B">
              <w:rPr>
                <w:lang w:val="es-ES"/>
              </w:rPr>
              <w:t>, DOCOMO (1</w:t>
            </w:r>
            <w:r w:rsidR="00390290" w:rsidRPr="006E612B">
              <w:rPr>
                <w:vertAlign w:val="superscript"/>
                <w:lang w:val="es-ES"/>
              </w:rPr>
              <w:t>st</w:t>
            </w:r>
            <w:r w:rsidR="00390290" w:rsidRPr="006E612B">
              <w:rPr>
                <w:lang w:val="es-ES"/>
              </w:rPr>
              <w:t>)</w:t>
            </w:r>
            <w:r w:rsidR="0025490E" w:rsidRPr="006E612B">
              <w:rPr>
                <w:lang w:val="es-ES"/>
              </w:rPr>
              <w:t>, vivo</w:t>
            </w:r>
            <w:r w:rsidR="00D4276D">
              <w:rPr>
                <w:lang w:val="es-ES"/>
              </w:rPr>
              <w:t>, Panasonic</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65698E58"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p>
        </w:tc>
      </w:tr>
      <w:tr w:rsidR="008E5FA5" w:rsidRPr="00EA0140" w14:paraId="7C970F88" w14:textId="77777777" w:rsidTr="00DE2DFF">
        <w:tc>
          <w:tcPr>
            <w:tcW w:w="1624" w:type="dxa"/>
          </w:tcPr>
          <w:p w14:paraId="6529F2BA" w14:textId="77777777" w:rsidR="008E5FA5" w:rsidRPr="00EA0140" w:rsidRDefault="008E5FA5" w:rsidP="00DE2DFF">
            <w:pPr>
              <w:jc w:val="both"/>
              <w:rPr>
                <w:lang w:eastAsia="zh-CN"/>
              </w:rPr>
            </w:pPr>
            <w:r w:rsidRPr="00EA0140">
              <w:rPr>
                <w:lang w:eastAsia="zh-CN"/>
              </w:rPr>
              <w:t>Other</w:t>
            </w:r>
          </w:p>
        </w:tc>
        <w:tc>
          <w:tcPr>
            <w:tcW w:w="8010" w:type="dxa"/>
          </w:tcPr>
          <w:p w14:paraId="1551C248" w14:textId="77777777" w:rsidR="008E5FA5" w:rsidRPr="00EA0140" w:rsidRDefault="008E5FA5" w:rsidP="00DE2DFF">
            <w:pPr>
              <w:jc w:val="both"/>
              <w:rPr>
                <w:lang w:eastAsia="zh-CN"/>
              </w:rPr>
            </w:pPr>
          </w:p>
        </w:tc>
      </w:tr>
    </w:tbl>
    <w:p w14:paraId="4A3BCA45" w14:textId="77777777" w:rsidR="008E5FA5" w:rsidRPr="00EA0140" w:rsidRDefault="008E5FA5" w:rsidP="008E5FA5">
      <w:pPr>
        <w:jc w:val="both"/>
        <w:rPr>
          <w:lang w:eastAsia="zh-CN"/>
        </w:rPr>
      </w:pPr>
    </w:p>
    <w:tbl>
      <w:tblPr>
        <w:tblStyle w:val="TableGrid"/>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ListParagraph"/>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ListParagraph"/>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5D2968D5"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46E75C" w14:textId="55A9A6EE" w:rsidR="008E5FA5" w:rsidRPr="00EA0140" w:rsidRDefault="008E5FA5" w:rsidP="00DE2DFF">
            <w:pPr>
              <w:widowControl w:val="0"/>
              <w:spacing w:beforeLines="50" w:before="120"/>
              <w:rPr>
                <w:kern w:val="2"/>
                <w:lang w:eastAsia="zh-CN"/>
              </w:rPr>
            </w:pPr>
          </w:p>
        </w:tc>
      </w:tr>
      <w:tr w:rsidR="008E5FA5"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DE2DFF">
            <w:pPr>
              <w:widowControl w:val="0"/>
              <w:spacing w:beforeLines="50" w:before="120"/>
              <w:rPr>
                <w:kern w:val="2"/>
                <w:lang w:eastAsia="zh-CN"/>
              </w:rPr>
            </w:pPr>
          </w:p>
        </w:tc>
      </w:tr>
      <w:tr w:rsidR="008E5FA5"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DE2DFF">
            <w:pPr>
              <w:widowControl w:val="0"/>
              <w:spacing w:beforeLines="50" w:before="120"/>
              <w:jc w:val="both"/>
              <w:rPr>
                <w:iCs/>
                <w:kern w:val="2"/>
                <w:lang w:eastAsia="zh-CN"/>
              </w:rPr>
            </w:pPr>
          </w:p>
        </w:tc>
      </w:tr>
      <w:tr w:rsidR="008E5FA5" w:rsidRPr="00EA0140" w14:paraId="3E829F44" w14:textId="77777777" w:rsidTr="00DE2DFF">
        <w:tc>
          <w:tcPr>
            <w:tcW w:w="1529" w:type="dxa"/>
          </w:tcPr>
          <w:p w14:paraId="5D463123" w14:textId="77777777" w:rsidR="008E5FA5" w:rsidRPr="00EA0140" w:rsidRDefault="008E5FA5" w:rsidP="00DE2DFF">
            <w:pPr>
              <w:spacing w:beforeLines="50" w:before="120"/>
              <w:rPr>
                <w:iCs/>
                <w:kern w:val="2"/>
                <w:lang w:eastAsia="zh-CN"/>
              </w:rPr>
            </w:pPr>
          </w:p>
        </w:tc>
        <w:tc>
          <w:tcPr>
            <w:tcW w:w="8105" w:type="dxa"/>
          </w:tcPr>
          <w:p w14:paraId="68D7EBEC" w14:textId="77777777" w:rsidR="008E5FA5" w:rsidRPr="00EA0140" w:rsidRDefault="008E5FA5" w:rsidP="00DE2DFF">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Heading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Heading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ListParagraph"/>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ListParagraph"/>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ListParagraph"/>
        <w:numPr>
          <w:ilvl w:val="1"/>
          <w:numId w:val="77"/>
        </w:numPr>
        <w:rPr>
          <w:lang w:val="en-US" w:eastAsia="zh-CN"/>
        </w:rPr>
      </w:pPr>
      <w:r>
        <w:rPr>
          <w:lang w:val="en-US" w:eastAsia="zh-CN"/>
        </w:rPr>
        <w:lastRenderedPageBreak/>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ListParagraph"/>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ListParagraph"/>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ListParagraph"/>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ListParagraph"/>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ListParagraph"/>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ListParagraph"/>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ListParagraph"/>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ListParagraph"/>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ListParagraph"/>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ListParagraph"/>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ListParagraph"/>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ListParagraph"/>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ListParagraph"/>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ListParagraph"/>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ListParagraph"/>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ListParagraph"/>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ListParagraph"/>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ListParagraph"/>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ListParagraph"/>
        <w:numPr>
          <w:ilvl w:val="2"/>
          <w:numId w:val="89"/>
        </w:numPr>
        <w:rPr>
          <w:lang w:eastAsia="zh-CN"/>
        </w:rPr>
      </w:pPr>
      <w:r>
        <w:rPr>
          <w:lang w:eastAsia="zh-CN"/>
        </w:rPr>
        <w:lastRenderedPageBreak/>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ListParagraph"/>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ListParagraph"/>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ListParagraph"/>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ListParagraph"/>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ListParagraph"/>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ListParagraph"/>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ListParagraph"/>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Heading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ListParagraph"/>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ListParagraph"/>
        <w:numPr>
          <w:ilvl w:val="1"/>
          <w:numId w:val="77"/>
        </w:numPr>
        <w:rPr>
          <w:lang w:val="en-US" w:eastAsia="zh-CN"/>
        </w:rPr>
      </w:pPr>
      <w:r>
        <w:rPr>
          <w:lang w:val="en-US" w:eastAsia="zh-CN"/>
        </w:rPr>
        <w:t xml:space="preserve">No: </w:t>
      </w:r>
    </w:p>
    <w:p w14:paraId="48A4F479" w14:textId="2447F21E" w:rsidR="00A83B39" w:rsidRDefault="00A83B39" w:rsidP="00E67C01">
      <w:pPr>
        <w:pStyle w:val="ListParagraph"/>
        <w:numPr>
          <w:ilvl w:val="1"/>
          <w:numId w:val="77"/>
        </w:numPr>
        <w:rPr>
          <w:lang w:val="en-US" w:eastAsia="zh-CN"/>
        </w:rPr>
      </w:pPr>
      <w:r>
        <w:rPr>
          <w:lang w:val="en-US" w:eastAsia="zh-CN"/>
        </w:rPr>
        <w:t xml:space="preserve">FFS: </w:t>
      </w:r>
    </w:p>
    <w:p w14:paraId="7B43B479" w14:textId="77777777" w:rsidR="00A83B39" w:rsidRDefault="00A83B39" w:rsidP="00E67C01">
      <w:pPr>
        <w:pStyle w:val="ListParagraph"/>
        <w:numPr>
          <w:ilvl w:val="1"/>
          <w:numId w:val="77"/>
        </w:numPr>
        <w:rPr>
          <w:lang w:val="en-US" w:eastAsia="zh-CN"/>
        </w:rPr>
      </w:pPr>
      <w:r>
        <w:rPr>
          <w:lang w:val="en-US" w:eastAsia="zh-CN"/>
        </w:rPr>
        <w:t xml:space="preserve">Details: </w:t>
      </w:r>
    </w:p>
    <w:p w14:paraId="41950A05" w14:textId="74B6AD68" w:rsidR="00393270" w:rsidRDefault="00393270" w:rsidP="00E67C01">
      <w:pPr>
        <w:pStyle w:val="ListParagraph"/>
        <w:numPr>
          <w:ilvl w:val="2"/>
          <w:numId w:val="77"/>
        </w:numPr>
        <w:rPr>
          <w:lang w:val="en-US" w:eastAsia="zh-CN"/>
        </w:rPr>
      </w:pPr>
      <w:r>
        <w:rPr>
          <w:lang w:val="en-US" w:eastAsia="zh-CN"/>
        </w:rPr>
        <w:t xml:space="preserve">HW/HiSi [1]: </w:t>
      </w:r>
    </w:p>
    <w:p w14:paraId="1F276C37" w14:textId="3BD00E51" w:rsidR="00393270" w:rsidRDefault="00393270" w:rsidP="00E67C01">
      <w:pPr>
        <w:pStyle w:val="ListParagraph"/>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ListParagraph"/>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ListParagraph"/>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ListParagraph"/>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ListParagraph"/>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ListParagraph"/>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ListParagraph"/>
        <w:numPr>
          <w:ilvl w:val="3"/>
          <w:numId w:val="77"/>
        </w:numPr>
        <w:spacing w:after="0"/>
        <w:jc w:val="both"/>
        <w:rPr>
          <w:i/>
          <w:iCs/>
          <w:sz w:val="22"/>
          <w:szCs w:val="22"/>
        </w:rPr>
      </w:pPr>
      <w:r w:rsidRPr="00987F45">
        <w:rPr>
          <w:rFonts w:cs="Times"/>
          <w:lang w:eastAsia="ko-KR"/>
        </w:rPr>
        <w:lastRenderedPageBreak/>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ListParagraph"/>
        <w:numPr>
          <w:ilvl w:val="2"/>
          <w:numId w:val="77"/>
        </w:numPr>
        <w:spacing w:after="0"/>
        <w:jc w:val="both"/>
        <w:rPr>
          <w:i/>
          <w:iCs/>
        </w:rPr>
      </w:pPr>
      <w:r w:rsidRPr="00806263">
        <w:t xml:space="preserve">Vivo [5]: </w:t>
      </w:r>
    </w:p>
    <w:p w14:paraId="1DD90ADD" w14:textId="65BC4ABD" w:rsidR="00806263" w:rsidRPr="00806263" w:rsidRDefault="00806263" w:rsidP="00E67C01">
      <w:pPr>
        <w:pStyle w:val="ListParagraph"/>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ListParagraph"/>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ListParagraph"/>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ListParagraph"/>
        <w:numPr>
          <w:ilvl w:val="2"/>
          <w:numId w:val="77"/>
        </w:numPr>
        <w:rPr>
          <w:lang w:eastAsia="zh-CN"/>
        </w:rPr>
      </w:pPr>
      <w:r>
        <w:rPr>
          <w:lang w:eastAsia="zh-CN"/>
        </w:rPr>
        <w:t xml:space="preserve">Intel [15]: </w:t>
      </w:r>
    </w:p>
    <w:p w14:paraId="35837794" w14:textId="6B49EFFE" w:rsidR="00183D0E" w:rsidRPr="00806263" w:rsidRDefault="00183D0E" w:rsidP="00E67C01">
      <w:pPr>
        <w:pStyle w:val="ListParagraph"/>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ListParagraph"/>
        <w:numPr>
          <w:ilvl w:val="2"/>
          <w:numId w:val="77"/>
        </w:numPr>
        <w:spacing w:after="0"/>
        <w:jc w:val="both"/>
      </w:pPr>
      <w:r>
        <w:t xml:space="preserve">Apple [16]: </w:t>
      </w:r>
    </w:p>
    <w:p w14:paraId="3B569FA5" w14:textId="6EE8AE0D" w:rsidR="00522E11" w:rsidRDefault="00522E11" w:rsidP="00E67C01">
      <w:pPr>
        <w:pStyle w:val="ListParagraph"/>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ListParagraph"/>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ListParagraph"/>
        <w:numPr>
          <w:ilvl w:val="2"/>
          <w:numId w:val="77"/>
        </w:numPr>
        <w:spacing w:after="0"/>
        <w:jc w:val="both"/>
      </w:pPr>
      <w:r>
        <w:t>LG [20]</w:t>
      </w:r>
    </w:p>
    <w:p w14:paraId="0F645F1F" w14:textId="77777777" w:rsidR="00163BFF" w:rsidRDefault="00163BFF" w:rsidP="00E67C01">
      <w:pPr>
        <w:pStyle w:val="ListParagraph"/>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ListParagraph"/>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ListParagraph"/>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Heading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ListParagraph"/>
        <w:jc w:val="both"/>
        <w:rPr>
          <w:lang w:eastAsia="zh-CN"/>
        </w:rPr>
      </w:pPr>
    </w:p>
    <w:p w14:paraId="6467DAF4"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ListParagraph"/>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ListParagraph"/>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ListParagraph"/>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ListParagraph"/>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ListParagraph"/>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ListParagraph"/>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ListParagraph"/>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ListParagraph"/>
        <w:numPr>
          <w:ilvl w:val="3"/>
          <w:numId w:val="77"/>
        </w:numPr>
        <w:rPr>
          <w:lang w:val="en-US" w:eastAsia="zh-CN"/>
        </w:rPr>
      </w:pPr>
      <w:r w:rsidRPr="00987F45">
        <w:rPr>
          <w:lang w:val="en-US" w:eastAsia="zh-CN"/>
        </w:rPr>
        <w:lastRenderedPageBreak/>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ListParagraph"/>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ListParagraph"/>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ListParagraph"/>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ListParagraph"/>
        <w:numPr>
          <w:ilvl w:val="2"/>
          <w:numId w:val="77"/>
        </w:numPr>
        <w:rPr>
          <w:lang w:val="en-US" w:eastAsia="zh-CN"/>
        </w:rPr>
      </w:pPr>
      <w:r>
        <w:rPr>
          <w:lang w:val="en-US" w:eastAsia="zh-CN"/>
        </w:rPr>
        <w:t>LG [20]</w:t>
      </w:r>
    </w:p>
    <w:p w14:paraId="61F9B5E8" w14:textId="77777777" w:rsidR="00163BFF" w:rsidRPr="00163BFF" w:rsidRDefault="00163BFF" w:rsidP="00E67C01">
      <w:pPr>
        <w:pStyle w:val="ListParagraph"/>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ListParagraph"/>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Heading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ListParagraph"/>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ListParagraph"/>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ListParagraph"/>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ListParagraph"/>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ListParagraph"/>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ListParagraph"/>
        <w:numPr>
          <w:ilvl w:val="2"/>
          <w:numId w:val="89"/>
        </w:numPr>
        <w:rPr>
          <w:lang w:eastAsia="zh-CN"/>
        </w:rPr>
      </w:pPr>
      <w:r>
        <w:rPr>
          <w:lang w:eastAsia="zh-CN"/>
        </w:rPr>
        <w:t xml:space="preserve">Ericsson [2]: </w:t>
      </w:r>
    </w:p>
    <w:p w14:paraId="3A4549C0" w14:textId="25483C0C" w:rsidR="00547703" w:rsidRDefault="00547703" w:rsidP="00E67C01">
      <w:pPr>
        <w:pStyle w:val="ListParagraph"/>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ListParagraph"/>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Heading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ListParagraph"/>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ListParagraph"/>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ListParagraph"/>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ListParagraph"/>
        <w:numPr>
          <w:ilvl w:val="2"/>
          <w:numId w:val="89"/>
        </w:numPr>
        <w:rPr>
          <w:lang w:eastAsia="zh-CN"/>
        </w:rPr>
      </w:pPr>
      <w:r>
        <w:rPr>
          <w:lang w:eastAsia="zh-CN"/>
        </w:rPr>
        <w:t xml:space="preserve">Ericsson [2]: </w:t>
      </w:r>
    </w:p>
    <w:p w14:paraId="2A968A52" w14:textId="76F483E4" w:rsidR="00547703" w:rsidRDefault="00547703" w:rsidP="00E67C01">
      <w:pPr>
        <w:pStyle w:val="ListParagraph"/>
        <w:numPr>
          <w:ilvl w:val="3"/>
          <w:numId w:val="89"/>
        </w:numPr>
        <w:rPr>
          <w:lang w:eastAsia="zh-CN"/>
        </w:rPr>
      </w:pPr>
      <w:r>
        <w:rPr>
          <w:lang w:eastAsia="zh-CN"/>
        </w:rPr>
        <w:lastRenderedPageBreak/>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ListParagraph"/>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ListParagraph"/>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ListParagraph"/>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ListParagraph"/>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ListParagraph"/>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Heading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ListParagraph"/>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ListParagraph"/>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ListParagraph"/>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ListParagraph"/>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lastRenderedPageBreak/>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w:t>
            </w:r>
            <w:r w:rsidRPr="009948B6">
              <w:rPr>
                <w:color w:val="0070C0"/>
                <w:kern w:val="2"/>
                <w:lang w:eastAsia="zh-CN"/>
              </w:rPr>
              <w:lastRenderedPageBreak/>
              <w:t xml:space="preserve">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383DD0">
            <w:pPr>
              <w:spacing w:beforeLines="50" w:before="120" w:after="0"/>
              <w:rPr>
                <w:rFonts w:eastAsiaTheme="minorEastAsia"/>
                <w:kern w:val="2"/>
                <w:lang w:eastAsia="zh-CN"/>
              </w:rPr>
            </w:pPr>
            <w:r>
              <w:rPr>
                <w:rFonts w:eastAsia="Malgun Gothic"/>
                <w:kern w:val="2"/>
                <w:lang w:eastAsia="ko-KR"/>
              </w:rPr>
              <w:t>Sony</w:t>
            </w:r>
          </w:p>
        </w:tc>
        <w:tc>
          <w:tcPr>
            <w:tcW w:w="8105" w:type="dxa"/>
          </w:tcPr>
          <w:p w14:paraId="6998CD78" w14:textId="77777777" w:rsidR="00D01D29" w:rsidRDefault="00D01D29" w:rsidP="00383DD0">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ReTx retransmit HP or LP and the granularity of the offset based on the indicated L1 priority in the triggering DCI? </w:t>
            </w:r>
          </w:p>
          <w:p w14:paraId="260F64C3" w14:textId="77777777" w:rsidR="00D01D29" w:rsidRDefault="00D01D29" w:rsidP="00383DD0">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7E2E662A" w:rsidR="000E11E7" w:rsidRPr="006E612B" w:rsidRDefault="00090109" w:rsidP="000E11E7">
            <w:pPr>
              <w:spacing w:beforeLines="50" w:before="120" w:after="0"/>
              <w:rPr>
                <w:iCs/>
                <w:kern w:val="2"/>
                <w:lang w:val="de-DE" w:eastAsia="zh-CN"/>
              </w:rPr>
            </w:pPr>
            <w:r w:rsidRPr="006E612B">
              <w:rPr>
                <w:iCs/>
                <w:kern w:val="2"/>
                <w:lang w:val="de-DE" w:eastAsia="zh-CN"/>
              </w:rPr>
              <w:t>Intel</w:t>
            </w:r>
            <w:r w:rsidR="008A2C12" w:rsidRPr="006E612B">
              <w:rPr>
                <w:iCs/>
                <w:kern w:val="2"/>
                <w:lang w:val="de-DE" w:eastAsia="zh-CN"/>
              </w:rPr>
              <w:t xml:space="preserve"> [</w:t>
            </w:r>
            <w:r w:rsidR="008A2C12" w:rsidRPr="006E612B">
              <w:rPr>
                <w:rFonts w:eastAsiaTheme="minorEastAsia" w:hint="eastAsia"/>
                <w:iCs/>
                <w:kern w:val="2"/>
                <w:lang w:val="de-DE" w:eastAsia="zh-CN"/>
              </w:rPr>
              <w:t>H</w:t>
            </w:r>
            <w:r w:rsidR="008A2C12" w:rsidRPr="006E612B">
              <w:rPr>
                <w:rFonts w:eastAsiaTheme="minorEastAsia"/>
                <w:iCs/>
                <w:kern w:val="2"/>
                <w:lang w:val="de-DE" w:eastAsia="zh-CN"/>
              </w:rPr>
              <w:t>uawei/Hisi</w:t>
            </w:r>
            <w:r w:rsidR="008A2C12" w:rsidRPr="006E612B">
              <w:rPr>
                <w:iCs/>
                <w:kern w:val="2"/>
                <w:lang w:val="de-DE" w:eastAsia="zh-CN"/>
              </w:rPr>
              <w:t>]</w:t>
            </w:r>
            <w:r w:rsidR="00F55AA4" w:rsidRPr="006E612B">
              <w:rPr>
                <w:iCs/>
                <w:kern w:val="2"/>
                <w:lang w:val="de-DE" w:eastAsia="zh-CN"/>
              </w:rPr>
              <w:t>, Samsung</w:t>
            </w:r>
            <w:r w:rsidR="00D01D29" w:rsidRPr="006E612B">
              <w:rPr>
                <w:iCs/>
                <w:kern w:val="2"/>
                <w:lang w:val="de-DE" w:eastAsia="zh-CN"/>
              </w:rPr>
              <w:t>, Sony</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lastRenderedPageBreak/>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77393010" w:rsidR="000E11E7" w:rsidRPr="006E612B" w:rsidRDefault="001A1DD4" w:rsidP="000E11E7">
            <w:pPr>
              <w:spacing w:beforeLines="50" w:before="120" w:after="0"/>
              <w:rPr>
                <w:rFonts w:eastAsiaTheme="minorEastAsia"/>
                <w:iCs/>
                <w:kern w:val="2"/>
                <w:lang w:val="es-ES" w:eastAsia="zh-CN"/>
              </w:rPr>
            </w:pPr>
            <w:r w:rsidRPr="006E612B">
              <w:rPr>
                <w:rFonts w:eastAsiaTheme="minorEastAsia"/>
                <w:iCs/>
                <w:kern w:val="2"/>
                <w:lang w:val="es-ES" w:eastAsia="zh-CN"/>
              </w:rPr>
              <w:t>V</w:t>
            </w:r>
            <w:r w:rsidR="002E072C" w:rsidRPr="006E612B">
              <w:rPr>
                <w:rFonts w:eastAsiaTheme="minorEastAsia"/>
                <w:iCs/>
                <w:kern w:val="2"/>
                <w:lang w:val="es-ES" w:eastAsia="zh-CN"/>
              </w:rPr>
              <w:t>ivo</w:t>
            </w:r>
            <w:r w:rsidRPr="006E612B">
              <w:rPr>
                <w:rFonts w:eastAsiaTheme="minorEastAsia"/>
                <w:iCs/>
                <w:kern w:val="2"/>
                <w:lang w:val="es-ES" w:eastAsia="zh-CN"/>
              </w:rPr>
              <w:t>, DOCOMO</w:t>
            </w:r>
            <w:r w:rsidR="00E7479F" w:rsidRPr="006E612B">
              <w:rPr>
                <w:rFonts w:eastAsiaTheme="minorEastAsia"/>
                <w:iCs/>
                <w:kern w:val="2"/>
                <w:lang w:val="es-ES" w:eastAsia="zh-CN"/>
              </w:rPr>
              <w:t>, Nokia/NSB</w:t>
            </w:r>
            <w:r w:rsidR="00F17EA9" w:rsidRPr="006E612B">
              <w:rPr>
                <w:rFonts w:eastAsiaTheme="minorEastAsia"/>
                <w:iCs/>
                <w:kern w:val="2"/>
                <w:lang w:val="es-ES" w:eastAsia="zh-CN"/>
              </w:rPr>
              <w:t>, ZTE</w:t>
            </w:r>
            <w:r w:rsidR="00090109" w:rsidRPr="006E612B">
              <w:rPr>
                <w:rFonts w:eastAsiaTheme="minorEastAsia"/>
                <w:iCs/>
                <w:kern w:val="2"/>
                <w:lang w:val="es-ES" w:eastAsia="zh-CN"/>
              </w:rPr>
              <w:t>,  Intel</w:t>
            </w:r>
            <w:r w:rsidR="00C0367F" w:rsidRPr="006E612B">
              <w:rPr>
                <w:rFonts w:eastAsiaTheme="minorEastAsia"/>
                <w:iCs/>
                <w:kern w:val="2"/>
                <w:lang w:val="es-ES" w:eastAsia="zh-CN"/>
              </w:rPr>
              <w:t>, LG</w:t>
            </w:r>
            <w:r w:rsidR="00D01D29" w:rsidRPr="006E612B">
              <w:rPr>
                <w:rFonts w:eastAsiaTheme="minorEastAsia"/>
                <w:iCs/>
                <w:kern w:val="2"/>
                <w:lang w:val="es-ES" w:eastAsia="zh-CN"/>
              </w:rPr>
              <w:t>, Sony</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lastRenderedPageBreak/>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1A1DD4" w:rsidRPr="006E612B">
              <w:rPr>
                <w:rFonts w:eastAsiaTheme="minorEastAsia"/>
                <w:lang w:val="es-ES" w:eastAsia="zh-CN"/>
              </w:rPr>
              <w:t>, DOCOMO</w:t>
            </w:r>
            <w:r w:rsidR="00E7479F" w:rsidRPr="006E612B">
              <w:rPr>
                <w:rFonts w:eastAsiaTheme="minorEastAsia"/>
                <w:lang w:val="es-ES" w:eastAsia="zh-CN"/>
              </w:rPr>
              <w:t>, Nokia/NSB (2</w:t>
            </w:r>
            <w:r w:rsidR="00E7479F" w:rsidRPr="006E612B">
              <w:rPr>
                <w:rFonts w:eastAsiaTheme="minorEastAsia"/>
                <w:vertAlign w:val="superscript"/>
                <w:lang w:val="es-ES" w:eastAsia="zh-CN"/>
              </w:rPr>
              <w:t>nd</w:t>
            </w:r>
            <w:r w:rsidR="00E7479F" w:rsidRPr="006E612B">
              <w:rPr>
                <w:lang w:val="es-ES"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lastRenderedPageBreak/>
              <w:t>Alt. 2B</w:t>
            </w:r>
          </w:p>
        </w:tc>
        <w:tc>
          <w:tcPr>
            <w:tcW w:w="8010" w:type="dxa"/>
          </w:tcPr>
          <w:p w14:paraId="6283CF2B" w14:textId="4344C4DA"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ko-KR"/>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lastRenderedPageBreak/>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ko-KR"/>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As two separate initial PUCCHs.  Treat the HP &amp; LP SPS HARQ-ACK as separate even thought they had undergone the UCI multiplexing process and the resultant PUCCH is dropped.  That is the HP &amp; LP SPS HARQ-ACK each independently find their target PUCCH.</w:t>
            </w:r>
          </w:p>
          <w:p w14:paraId="4D55A4F6"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As a single intital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w:t>
      </w:r>
      <w:r w:rsidRPr="000E11E7">
        <w:rPr>
          <w:rFonts w:ascii="Times" w:eastAsia="Batang" w:hAnsi="Times" w:cs="Arial"/>
          <w:b/>
          <w:i/>
          <w:iCs/>
          <w:color w:val="FF0000"/>
          <w:sz w:val="22"/>
          <w:szCs w:val="22"/>
          <w:lang w:eastAsia="zh-CN"/>
        </w:rPr>
        <w:lastRenderedPageBreak/>
        <w:t xml:space="preserve">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0A4E23" w:rsidRPr="006E612B">
              <w:rPr>
                <w:rFonts w:eastAsiaTheme="minorEastAsia"/>
                <w:lang w:val="es-ES" w:eastAsia="zh-CN"/>
              </w:rPr>
              <w:t>, DOCOMO</w:t>
            </w:r>
            <w:r w:rsidR="00E7479F" w:rsidRPr="006E612B">
              <w:rPr>
                <w:rFonts w:eastAsiaTheme="minorEastAsia"/>
                <w:lang w:val="es-ES" w:eastAsia="zh-CN"/>
              </w:rPr>
              <w:t>, Nokia/NSB</w:t>
            </w:r>
            <w:r w:rsidR="00C0367F" w:rsidRPr="006E612B">
              <w:rPr>
                <w:rFonts w:eastAsiaTheme="minorEastAsia"/>
                <w:lang w:val="es-ES"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CommentText"/>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CommentText"/>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CommentText"/>
            </w:pPr>
            <w:r>
              <w:t xml:space="preserve">If we go with joint determination, it seems more feasible to always treat deferred LP and HP as one UCI, e.g., as HP UCI. </w:t>
            </w:r>
          </w:p>
          <w:p w14:paraId="56C4E328" w14:textId="77777777" w:rsidR="00090109" w:rsidRDefault="00090109" w:rsidP="00090109">
            <w:pPr>
              <w:pStyle w:val="CommentText"/>
            </w:pPr>
            <w:r>
              <w:t xml:space="preserve">Or, target slot is separaetey determined for each priority, but not necessarily in certain order. </w:t>
            </w:r>
          </w:p>
          <w:p w14:paraId="5A4B4E9F" w14:textId="77777777" w:rsidR="00090109" w:rsidRDefault="00090109" w:rsidP="00090109">
            <w:pPr>
              <w:pStyle w:val="CommentText"/>
            </w:pPr>
            <w:r>
              <w:t xml:space="preserve">Figures below provide examples for separate determination. </w:t>
            </w:r>
          </w:p>
          <w:p w14:paraId="1614027B" w14:textId="77777777" w:rsidR="00090109" w:rsidRDefault="00090109" w:rsidP="00090109">
            <w:pPr>
              <w:pStyle w:val="CommentText"/>
            </w:pPr>
            <w:r w:rsidRPr="00912160">
              <w:rPr>
                <w:rFonts w:eastAsia="SimSun" w:cs="Times New Roman"/>
                <w:color w:val="FF0000"/>
                <w:sz w:val="20"/>
                <w:szCs w:val="20"/>
              </w:rPr>
              <w:object w:dxaOrig="16421" w:dyaOrig="4183" w14:anchorId="7C4E580D">
                <v:shape id="_x0000_i1033" type="#_x0000_t75" style="width:329.95pt;height:84.5pt" o:ole="">
                  <v:imagedata r:id="rId48" o:title=""/>
                </v:shape>
                <o:OLEObject Type="Embed" ProgID="Visio.Drawing.15" ShapeID="_x0000_i1033" DrawAspect="Content" ObjectID="_1707131504" r:id="rId49"/>
              </w:object>
            </w:r>
          </w:p>
          <w:p w14:paraId="18AFDE8F" w14:textId="77777777" w:rsidR="00090109" w:rsidRDefault="00090109" w:rsidP="00090109">
            <w:pPr>
              <w:pStyle w:val="CommentText"/>
            </w:pPr>
          </w:p>
          <w:p w14:paraId="20AD14C9" w14:textId="2DF9DE6E" w:rsidR="00090109" w:rsidRPr="000E11E7" w:rsidRDefault="00090109" w:rsidP="00090109">
            <w:pPr>
              <w:spacing w:beforeLines="50" w:before="120" w:after="0"/>
              <w:jc w:val="both"/>
              <w:rPr>
                <w:iCs/>
                <w:kern w:val="2"/>
                <w:lang w:eastAsia="zh-CN"/>
              </w:rPr>
            </w:pPr>
            <w:r w:rsidRPr="00912160">
              <w:rPr>
                <w:rFonts w:eastAsia="SimSun" w:cs="Times New Roman"/>
                <w:color w:val="FF0000"/>
                <w:sz w:val="20"/>
                <w:szCs w:val="20"/>
              </w:rPr>
              <w:object w:dxaOrig="16421" w:dyaOrig="4183" w14:anchorId="6494F603">
                <v:shape id="_x0000_i1034" type="#_x0000_t75" style="width:334.35pt;height:87.05pt" o:ole="">
                  <v:imagedata r:id="rId50" o:title=""/>
                </v:shape>
                <o:OLEObject Type="Embed" ProgID="Visio.Drawing.15" ShapeID="_x0000_i1034" DrawAspect="Content" ObjectID="_1707131505" r:id="rId51"/>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lastRenderedPageBreak/>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w:t>
            </w:r>
            <w:r>
              <w:rPr>
                <w:bCs/>
                <w:iCs/>
              </w:rPr>
              <w:lastRenderedPageBreak/>
              <w:t xml:space="preserve">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ko-KR"/>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9E0702">
        <w:tc>
          <w:tcPr>
            <w:tcW w:w="15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lastRenderedPageBreak/>
              <w:t>Sony</w:t>
            </w:r>
          </w:p>
        </w:tc>
        <w:tc>
          <w:tcPr>
            <w:tcW w:w="81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I also share similar view with Intel, which is also related to my previous question regarding initial PUCCH.  Can the initial PUCCH contain HP &amp; LP HARQ-ACK? If yes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lastRenderedPageBreak/>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lastRenderedPageBreak/>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58FF5BA7"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5F280012"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r w:rsidR="00D01D29">
              <w:rPr>
                <w:rFonts w:eastAsiaTheme="minorEastAsia"/>
                <w:lang w:eastAsia="zh-CN"/>
              </w:rPr>
              <w:t>Sony</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383DD0">
            <w:pPr>
              <w:spacing w:beforeLines="50" w:before="120" w:after="0"/>
              <w:rPr>
                <w:iCs/>
                <w:kern w:val="2"/>
                <w:lang w:eastAsia="zh-CN"/>
              </w:rPr>
            </w:pPr>
            <w:r>
              <w:rPr>
                <w:iCs/>
                <w:kern w:val="2"/>
                <w:lang w:eastAsia="zh-CN"/>
              </w:rPr>
              <w:lastRenderedPageBreak/>
              <w:t>Sony</w:t>
            </w:r>
          </w:p>
        </w:tc>
        <w:tc>
          <w:tcPr>
            <w:tcW w:w="8105" w:type="dxa"/>
          </w:tcPr>
          <w:p w14:paraId="305E0008" w14:textId="77777777" w:rsidR="00D01D29" w:rsidRPr="000E11E7" w:rsidRDefault="00D01D29" w:rsidP="00383DD0">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lastRenderedPageBreak/>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lastRenderedPageBreak/>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Heading1"/>
      </w:pPr>
      <w:r>
        <w:t>References</w:t>
      </w:r>
    </w:p>
    <w:p w14:paraId="0ECBA5DF" w14:textId="77777777" w:rsidR="00E92FD4" w:rsidRDefault="00E92FD4" w:rsidP="00E92FD4">
      <w:pPr>
        <w:pStyle w:val="ListParagraph"/>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ListParagraph"/>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ListParagraph"/>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ListParagraph"/>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ListParagraph"/>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ListParagraph"/>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ListParagraph"/>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ListParagraph"/>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ListParagraph"/>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ListParagraph"/>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ListParagraph"/>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ListParagraph"/>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ListParagraph"/>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ListParagraph"/>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ListParagraph"/>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ListParagraph"/>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ListParagraph"/>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ListParagraph"/>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ListParagraph"/>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ListParagraph"/>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ListParagraph"/>
        <w:numPr>
          <w:ilvl w:val="0"/>
          <w:numId w:val="5"/>
        </w:numPr>
        <w:spacing w:after="0"/>
        <w:ind w:left="567"/>
      </w:pPr>
      <w:r w:rsidRPr="0091423F">
        <w:t>This topic is to be considered as high priority</w:t>
      </w:r>
    </w:p>
    <w:p w14:paraId="54F4EA49" w14:textId="77777777" w:rsidR="0091423F" w:rsidRPr="0091423F" w:rsidRDefault="0091423F" w:rsidP="00DC38B6">
      <w:pPr>
        <w:pStyle w:val="ListParagraph"/>
        <w:numPr>
          <w:ilvl w:val="0"/>
          <w:numId w:val="5"/>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ListParagraph"/>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ListParagraph"/>
        <w:numPr>
          <w:ilvl w:val="0"/>
          <w:numId w:val="6"/>
        </w:numPr>
        <w:spacing w:after="0"/>
      </w:pPr>
      <w:r w:rsidRPr="0091423F">
        <w:t>SPS HARQ skipping for ‘skipped’ SPS PDSCH</w:t>
      </w:r>
    </w:p>
    <w:p w14:paraId="5439D477" w14:textId="77777777" w:rsidR="0091423F" w:rsidRPr="0091423F" w:rsidRDefault="0091423F" w:rsidP="00DC38B6">
      <w:pPr>
        <w:pStyle w:val="ListParagraph"/>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ListParagraph"/>
        <w:numPr>
          <w:ilvl w:val="0"/>
          <w:numId w:val="6"/>
        </w:numPr>
        <w:spacing w:after="0"/>
      </w:pPr>
      <w:r w:rsidRPr="0091423F">
        <w:t>Retransmission of cancelled HARQ</w:t>
      </w:r>
    </w:p>
    <w:p w14:paraId="03765B91" w14:textId="77777777" w:rsidR="0091423F" w:rsidRPr="0091423F" w:rsidRDefault="0091423F" w:rsidP="00DC38B6">
      <w:pPr>
        <w:pStyle w:val="ListParagraph"/>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ListParagraph"/>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ListParagraph"/>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2"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ListParagraph"/>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ListParagraph"/>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ListParagraph"/>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ListParagraph"/>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ListParagraph"/>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ListParagraph"/>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ListParagraph"/>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DC38B6">
      <w:pPr>
        <w:pStyle w:val="listparagraph0"/>
        <w:numPr>
          <w:ilvl w:val="0"/>
          <w:numId w:val="19"/>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0"/>
        <w:numPr>
          <w:ilvl w:val="0"/>
          <w:numId w:val="19"/>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0"/>
        <w:numPr>
          <w:ilvl w:val="0"/>
          <w:numId w:val="19"/>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ListParagraph"/>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ListParagraph"/>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ListParagraph"/>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ListParagraph"/>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ListParagraph"/>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ListParagraph"/>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3"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ListParagraph"/>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ListParagraph"/>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ListParagraph"/>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ListParagraph"/>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ListParagraph"/>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ListParagraph"/>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ListParagraph"/>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ListParagraph"/>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ListParagraph"/>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ListParagraph"/>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ListParagraph"/>
        <w:ind w:left="0"/>
        <w:jc w:val="both"/>
        <w:rPr>
          <w:b/>
          <w:bCs/>
          <w:szCs w:val="22"/>
          <w:lang w:eastAsia="zh-CN"/>
        </w:rPr>
      </w:pPr>
    </w:p>
    <w:p w14:paraId="5FDC414D" w14:textId="77777777" w:rsidR="00A0741A" w:rsidRPr="00D93C17" w:rsidRDefault="00A0741A" w:rsidP="00A0741A">
      <w:pPr>
        <w:pStyle w:val="ListParagraph"/>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ListParagraph"/>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Heading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ListParagraph"/>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ListParagraph"/>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ListParagraph"/>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ListParagraph"/>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ListParagraph"/>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ListParagraph"/>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ListParagraph"/>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ListParagraph"/>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ListParagraph"/>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TableGrid"/>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ListParagraph"/>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ListParagraph"/>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ListParagraph"/>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ListParagraph"/>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Heading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TableofFigures"/>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Hyperlink"/>
            <w:rFonts w:cs="Arial"/>
            <w:noProof/>
          </w:rPr>
          <w:t>Observation 1</w:t>
        </w:r>
        <w:r>
          <w:rPr>
            <w:rFonts w:asciiTheme="minorHAnsi" w:hAnsiTheme="minorHAnsi"/>
            <w:b w:val="0"/>
            <w:noProof/>
          </w:rPr>
          <w:tab/>
        </w:r>
        <w:r w:rsidRPr="005B1CB1">
          <w:rPr>
            <w:rStyle w:val="Hyperlink"/>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2E2D56" w:rsidP="00393270">
      <w:pPr>
        <w:pStyle w:val="TableofFigures"/>
        <w:tabs>
          <w:tab w:val="right" w:leader="dot" w:pos="9629"/>
        </w:tabs>
        <w:rPr>
          <w:rFonts w:asciiTheme="minorHAnsi" w:hAnsiTheme="minorHAnsi"/>
          <w:b w:val="0"/>
          <w:noProof/>
        </w:rPr>
      </w:pPr>
      <w:hyperlink w:anchor="_Toc94824673" w:history="1">
        <w:r w:rsidR="00393270" w:rsidRPr="005B1CB1">
          <w:rPr>
            <w:rStyle w:val="Hyperlink"/>
            <w:rFonts w:cs="Arial"/>
            <w:noProof/>
          </w:rPr>
          <w:t>Observation 2</w:t>
        </w:r>
        <w:r w:rsidR="00393270">
          <w:rPr>
            <w:rFonts w:asciiTheme="minorHAnsi" w:hAnsiTheme="minorHAnsi"/>
            <w:b w:val="0"/>
            <w:noProof/>
          </w:rPr>
          <w:tab/>
        </w:r>
        <w:r w:rsidR="00393270" w:rsidRPr="005B1CB1">
          <w:rPr>
            <w:rStyle w:val="Hyperlink"/>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2E2D56" w:rsidP="00393270">
      <w:pPr>
        <w:pStyle w:val="TableofFigures"/>
        <w:tabs>
          <w:tab w:val="right" w:leader="dot" w:pos="9629"/>
        </w:tabs>
        <w:rPr>
          <w:rFonts w:asciiTheme="minorHAnsi" w:hAnsiTheme="minorHAnsi"/>
          <w:b w:val="0"/>
          <w:noProof/>
        </w:rPr>
      </w:pPr>
      <w:hyperlink w:anchor="_Toc94824674" w:history="1">
        <w:r w:rsidR="00393270" w:rsidRPr="005B1CB1">
          <w:rPr>
            <w:rStyle w:val="Hyperlink"/>
            <w:noProof/>
          </w:rPr>
          <w:t>Observation 3</w:t>
        </w:r>
        <w:r w:rsidR="00393270">
          <w:rPr>
            <w:rFonts w:asciiTheme="minorHAnsi" w:hAnsiTheme="minorHAnsi"/>
            <w:b w:val="0"/>
            <w:noProof/>
          </w:rPr>
          <w:tab/>
        </w:r>
        <w:r w:rsidR="00393270" w:rsidRPr="005B1CB1">
          <w:rPr>
            <w:rStyle w:val="Hyperlink"/>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BodyText"/>
        <w:rPr>
          <w:b/>
          <w:sz w:val="20"/>
          <w:szCs w:val="20"/>
        </w:rPr>
      </w:pPr>
      <w:r w:rsidRPr="005152FF">
        <w:rPr>
          <w:b/>
          <w:bCs/>
          <w:sz w:val="20"/>
          <w:szCs w:val="20"/>
        </w:rPr>
        <w:fldChar w:fldCharType="end"/>
      </w:r>
    </w:p>
    <w:p w14:paraId="620F5344" w14:textId="77777777" w:rsidR="00393270" w:rsidRPr="00CD1732" w:rsidRDefault="00393270" w:rsidP="00393270">
      <w:pPr>
        <w:pStyle w:val="BodyText"/>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TableofFigures"/>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Hyperlink"/>
            <w:rFonts w:cs="Arial"/>
            <w:noProof/>
          </w:rPr>
          <w:t>Proposal 1</w:t>
        </w:r>
        <w:r>
          <w:rPr>
            <w:rFonts w:asciiTheme="minorHAnsi" w:hAnsiTheme="minorHAnsi"/>
            <w:b w:val="0"/>
            <w:noProof/>
          </w:rPr>
          <w:tab/>
        </w:r>
        <w:r w:rsidRPr="00AF2BA1">
          <w:rPr>
            <w:rStyle w:val="Hyperlink"/>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2E2D56" w:rsidP="00393270">
      <w:pPr>
        <w:pStyle w:val="TableofFigures"/>
        <w:tabs>
          <w:tab w:val="right" w:leader="dot" w:pos="9629"/>
        </w:tabs>
        <w:rPr>
          <w:rFonts w:asciiTheme="minorHAnsi" w:hAnsiTheme="minorHAnsi"/>
          <w:b w:val="0"/>
          <w:noProof/>
        </w:rPr>
      </w:pPr>
      <w:hyperlink w:anchor="_Toc94824676" w:history="1">
        <w:r w:rsidR="00393270" w:rsidRPr="00AF2BA1">
          <w:rPr>
            <w:rStyle w:val="Hyperlink"/>
            <w:rFonts w:cs="Arial"/>
            <w:noProof/>
          </w:rPr>
          <w:t>Proposal 2</w:t>
        </w:r>
        <w:r w:rsidR="00393270">
          <w:rPr>
            <w:rFonts w:asciiTheme="minorHAnsi" w:hAnsiTheme="minorHAnsi"/>
            <w:b w:val="0"/>
            <w:noProof/>
          </w:rPr>
          <w:tab/>
        </w:r>
        <w:r w:rsidR="00393270" w:rsidRPr="00AF2BA1">
          <w:rPr>
            <w:rStyle w:val="Hyperlink"/>
            <w:noProof/>
            <w:lang w:eastAsia="ja-JP"/>
          </w:rPr>
          <w:t>SPS HARQ-ACK of different PHY priorities can be separately deferred with the target PUCCHs separately determined according to their respective PHY priorities. T</w:t>
        </w:r>
        <w:r w:rsidR="00393270" w:rsidRPr="00AF2BA1">
          <w:rPr>
            <w:rStyle w:val="Hyperlink"/>
            <w:rFonts w:cs="Arial"/>
            <w:noProof/>
            <w:lang w:eastAsia="ja-JP"/>
          </w:rPr>
          <w:t>hen depending on where the target slot(s) is/are located, Rel-17 intra UE multiplexing can be applied when applicable.</w:t>
        </w:r>
      </w:hyperlink>
    </w:p>
    <w:p w14:paraId="5302E11C" w14:textId="77777777" w:rsidR="00393270" w:rsidRDefault="002E2D56" w:rsidP="00393270">
      <w:pPr>
        <w:pStyle w:val="TableofFigures"/>
        <w:tabs>
          <w:tab w:val="right" w:leader="dot" w:pos="9629"/>
        </w:tabs>
        <w:rPr>
          <w:rFonts w:asciiTheme="minorHAnsi" w:hAnsiTheme="minorHAnsi"/>
          <w:b w:val="0"/>
          <w:noProof/>
        </w:rPr>
      </w:pPr>
      <w:hyperlink w:anchor="_Toc94824677" w:history="1">
        <w:r w:rsidR="00393270" w:rsidRPr="00AF2BA1">
          <w:rPr>
            <w:rStyle w:val="Hyperlink"/>
            <w:rFonts w:cs="Arial"/>
            <w:noProof/>
          </w:rPr>
          <w:t>Proposal 3</w:t>
        </w:r>
        <w:r w:rsidR="00393270">
          <w:rPr>
            <w:rFonts w:asciiTheme="minorHAnsi" w:hAnsiTheme="minorHAnsi"/>
            <w:b w:val="0"/>
            <w:noProof/>
          </w:rPr>
          <w:tab/>
        </w:r>
        <w:r w:rsidR="00393270" w:rsidRPr="00AF2BA1">
          <w:rPr>
            <w:rStyle w:val="Hyperlink"/>
            <w:noProof/>
          </w:rPr>
          <w:t>Joint configuration of dynamic/semi-static PUCCH cell switching and Rel-16/Rel-17 intra-UE multiplexing is supported.</w:t>
        </w:r>
      </w:hyperlink>
    </w:p>
    <w:p w14:paraId="3082CEBF" w14:textId="77777777" w:rsidR="00393270" w:rsidRDefault="002E2D56" w:rsidP="00393270">
      <w:pPr>
        <w:pStyle w:val="TableofFigures"/>
        <w:tabs>
          <w:tab w:val="right" w:leader="dot" w:pos="9629"/>
        </w:tabs>
        <w:rPr>
          <w:rFonts w:asciiTheme="minorHAnsi" w:hAnsiTheme="minorHAnsi"/>
          <w:b w:val="0"/>
          <w:noProof/>
        </w:rPr>
      </w:pPr>
      <w:hyperlink w:anchor="_Toc94824678" w:history="1">
        <w:r w:rsidR="00393270" w:rsidRPr="00AF2BA1">
          <w:rPr>
            <w:rStyle w:val="Hyperlink"/>
            <w:rFonts w:cs="Arial"/>
            <w:noProof/>
          </w:rPr>
          <w:t>Proposal 4</w:t>
        </w:r>
        <w:r w:rsidR="00393270">
          <w:rPr>
            <w:rFonts w:asciiTheme="minorHAnsi" w:hAnsiTheme="minorHAnsi"/>
            <w:b w:val="0"/>
            <w:noProof/>
          </w:rPr>
          <w:tab/>
        </w:r>
        <w:r w:rsidR="00393270" w:rsidRPr="00AF2BA1">
          <w:rPr>
            <w:rStyle w:val="Hyperlink"/>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Heading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ListParagraph"/>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ListParagraph"/>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ListParagraph"/>
        <w:rPr>
          <w:b/>
          <w:bCs/>
          <w:sz w:val="22"/>
          <w:szCs w:val="22"/>
        </w:rPr>
      </w:pPr>
    </w:p>
    <w:p w14:paraId="722611B9" w14:textId="77777777" w:rsidR="00175EE0" w:rsidRPr="0000574B" w:rsidRDefault="00175EE0" w:rsidP="00E67C01">
      <w:pPr>
        <w:pStyle w:val="ListParagraph"/>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ListParagraph"/>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ListParagraph"/>
        <w:rPr>
          <w:b/>
          <w:bCs/>
          <w:i/>
          <w:iCs/>
          <w:sz w:val="22"/>
          <w:szCs w:val="22"/>
        </w:rPr>
      </w:pPr>
    </w:p>
    <w:p w14:paraId="2D5C6C04"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ListParagraph"/>
        <w:rPr>
          <w:sz w:val="22"/>
          <w:szCs w:val="22"/>
        </w:rPr>
      </w:pPr>
    </w:p>
    <w:p w14:paraId="57C78B0B"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ListParagraph"/>
        <w:rPr>
          <w:sz w:val="22"/>
          <w:szCs w:val="22"/>
        </w:rPr>
      </w:pPr>
    </w:p>
    <w:p w14:paraId="09709F97"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ListParagraph"/>
        <w:rPr>
          <w:sz w:val="22"/>
          <w:szCs w:val="22"/>
        </w:rPr>
      </w:pPr>
    </w:p>
    <w:p w14:paraId="64343530"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ListParagraph"/>
        <w:rPr>
          <w:sz w:val="22"/>
          <w:szCs w:val="22"/>
        </w:rPr>
      </w:pPr>
    </w:p>
    <w:p w14:paraId="31E5E603"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ListParagraph"/>
        <w:rPr>
          <w:sz w:val="22"/>
          <w:szCs w:val="22"/>
        </w:rPr>
      </w:pPr>
    </w:p>
    <w:p w14:paraId="6A01751D"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ListParagraph"/>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ListParagraph"/>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ListParagraph"/>
        <w:ind w:left="823"/>
        <w:rPr>
          <w:b/>
          <w:sz w:val="22"/>
          <w:szCs w:val="22"/>
        </w:rPr>
      </w:pPr>
    </w:p>
    <w:p w14:paraId="5747CB05"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ListParagraph"/>
        <w:rPr>
          <w:b/>
          <w:bCs/>
          <w:i/>
          <w:iCs/>
          <w:sz w:val="22"/>
          <w:szCs w:val="22"/>
        </w:rPr>
      </w:pPr>
    </w:p>
    <w:p w14:paraId="73853A1F" w14:textId="77777777" w:rsidR="00175EE0" w:rsidRPr="0000574B" w:rsidRDefault="00175EE0" w:rsidP="00E67C01">
      <w:pPr>
        <w:pStyle w:val="ListParagraph"/>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ListParagraph"/>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ListParagraph"/>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ListParagraph"/>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ListParagraph"/>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ListParagraph"/>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ListParagraph"/>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ListParagraph"/>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ListParagraph"/>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ListParagraph"/>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ListParagraph"/>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ListParagraph"/>
        <w:rPr>
          <w:b/>
          <w:bCs/>
          <w:sz w:val="22"/>
          <w:szCs w:val="22"/>
        </w:rPr>
      </w:pPr>
    </w:p>
    <w:p w14:paraId="00B5380E" w14:textId="77777777" w:rsidR="00175EE0" w:rsidRPr="0000574B" w:rsidRDefault="00175EE0" w:rsidP="00E67C01">
      <w:pPr>
        <w:pStyle w:val="ListParagraph"/>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TableGrid"/>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Heading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TableGrid"/>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Heading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Heading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ListParagraph"/>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ko-KR"/>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ListParagraph"/>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Heading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ListParagraph"/>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ListParagraph"/>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ListParagraph"/>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ListParagraph"/>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Heading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TableGrid"/>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Heading3"/>
        <w:numPr>
          <w:ilvl w:val="0"/>
          <w:numId w:val="3"/>
        </w:numPr>
      </w:pPr>
      <w:r>
        <w:t>R1-2201295</w:t>
      </w:r>
      <w:r>
        <w:tab/>
        <w:t>HARQ-ACK enhancements for Rel-17 URLLC/IIoT</w:t>
      </w:r>
      <w:r>
        <w:tab/>
        <w:t>OPPO</w:t>
      </w:r>
    </w:p>
    <w:p w14:paraId="0609F7C1" w14:textId="77777777" w:rsidR="00A7043F" w:rsidRPr="00A7043F" w:rsidRDefault="00A7043F" w:rsidP="00A7043F">
      <w:pPr>
        <w:pStyle w:val="BodyText"/>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BodyText"/>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Heading3"/>
        <w:numPr>
          <w:ilvl w:val="0"/>
          <w:numId w:val="3"/>
        </w:numPr>
      </w:pPr>
      <w:r>
        <w:t>R1-2201356</w:t>
      </w:r>
      <w:r>
        <w:tab/>
        <w:t>UE feedback enhancements for HARQ-ACK</w:t>
      </w:r>
      <w:r>
        <w:tab/>
        <w:t>CATT</w:t>
      </w:r>
    </w:p>
    <w:p w14:paraId="3EC05964" w14:textId="77777777" w:rsidR="00696109" w:rsidRPr="00696109" w:rsidRDefault="00696109" w:rsidP="00696109">
      <w:pPr>
        <w:pStyle w:val="BodyText"/>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ko-KR"/>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ko-KR"/>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ListParagraph"/>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TableGrid"/>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ListParagraph"/>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BodyText"/>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BodyText"/>
        <w:rPr>
          <w:rFonts w:ascii="Times New Roman" w:hAnsi="Times New Roman" w:cs="Times New Roman"/>
          <w:b/>
          <w:i/>
          <w:sz w:val="20"/>
          <w:szCs w:val="20"/>
        </w:rPr>
      </w:pPr>
    </w:p>
    <w:p w14:paraId="693FDF27" w14:textId="15F75D53"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BodyText"/>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Heading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Heading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ListParagraph"/>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ListParagraph"/>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ListParagraph"/>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ListParagraph"/>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ListParagraph"/>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ListParagraph"/>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Heading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Heading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ListParagraph"/>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ListParagraph"/>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Heading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Heading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PUCCH-sSCell.</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Heading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6"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39"/>
      <w:bookmarkEnd w:id="66"/>
      <w:r w:rsidRPr="00C55485">
        <w:rPr>
          <w:rFonts w:ascii="Times New Roman" w:hAnsi="Times New Roman"/>
          <w:i/>
          <w:iCs/>
          <w:lang w:val="en-US"/>
        </w:rPr>
        <w:t>LP PUCCH is dropped according to Release 16 procedures</w:t>
      </w:r>
    </w:p>
    <w:bookmarkEnd w:id="67"/>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Heading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Heading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ListParagraph"/>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ListParagraph"/>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TableGrid"/>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ko-KR"/>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ko-KR"/>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ko-KR"/>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ko-KR"/>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ko-KR"/>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ko-KR"/>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ko-KR"/>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ko-KR"/>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ko-KR"/>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ko-KR"/>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ko-KR"/>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ko-KR"/>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ko-KR"/>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ko-KR"/>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ko-KR"/>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ko-KR"/>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ko-KR"/>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ko-KR"/>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ko-KR"/>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ListParagraph"/>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Heading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Heading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ListParagraph"/>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ListParagraph"/>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ListParagraph"/>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Heading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216A" w14:textId="77777777" w:rsidR="00D74B2B" w:rsidRDefault="00D74B2B">
      <w:r>
        <w:separator/>
      </w:r>
    </w:p>
  </w:endnote>
  <w:endnote w:type="continuationSeparator" w:id="0">
    <w:p w14:paraId="31836EC8" w14:textId="77777777" w:rsidR="00D74B2B" w:rsidRDefault="00D74B2B">
      <w:r>
        <w:continuationSeparator/>
      </w:r>
    </w:p>
  </w:endnote>
  <w:endnote w:type="continuationNotice" w:id="1">
    <w:p w14:paraId="4D9AF4D2" w14:textId="77777777" w:rsidR="00D74B2B" w:rsidRDefault="00D74B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539A28DB" w:rsidR="00DE2DFF" w:rsidRDefault="00DE2DFF">
        <w:pPr>
          <w:pStyle w:val="Footer"/>
        </w:pPr>
        <w:r>
          <w:fldChar w:fldCharType="begin"/>
        </w:r>
        <w:r>
          <w:instrText>PAGE   \* MERGEFORMAT</w:instrText>
        </w:r>
        <w:r>
          <w:fldChar w:fldCharType="separate"/>
        </w:r>
        <w:r w:rsidR="00DF3D9C" w:rsidRPr="00DF3D9C">
          <w:rPr>
            <w:lang w:val="zh-CN" w:eastAsia="zh-CN"/>
          </w:rPr>
          <w:t>94</w:t>
        </w:r>
        <w:r>
          <w:fldChar w:fldCharType="end"/>
        </w:r>
      </w:p>
    </w:sdtContent>
  </w:sdt>
  <w:p w14:paraId="00A820FC" w14:textId="77777777" w:rsidR="00DE2DFF" w:rsidRDefault="00DE2DFF">
    <w:pPr>
      <w:pStyle w:val="Footer"/>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CCED" w14:textId="77777777" w:rsidR="00D74B2B" w:rsidRDefault="00D74B2B">
      <w:r>
        <w:separator/>
      </w:r>
    </w:p>
  </w:footnote>
  <w:footnote w:type="continuationSeparator" w:id="0">
    <w:p w14:paraId="5A2440A2" w14:textId="77777777" w:rsidR="00D74B2B" w:rsidRDefault="00D74B2B">
      <w:r>
        <w:continuationSeparator/>
      </w:r>
    </w:p>
  </w:footnote>
  <w:footnote w:type="continuationNotice" w:id="1">
    <w:p w14:paraId="458FE729" w14:textId="77777777" w:rsidR="00D74B2B" w:rsidRDefault="00D74B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DE2DFF" w:rsidRDefault="00DE2DFF">
    <w:pPr>
      <w:pStyle w:val="Header"/>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8"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1"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3"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1"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2"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3"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6"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7"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8"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0"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4"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9"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4"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7"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8"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1"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7"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9"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1"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5"/>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num>
  <w:num w:numId="4">
    <w:abstractNumId w:val="79"/>
  </w:num>
  <w:num w:numId="5">
    <w:abstractNumId w:val="7"/>
  </w:num>
  <w:num w:numId="6">
    <w:abstractNumId w:val="4"/>
  </w:num>
  <w:num w:numId="7">
    <w:abstractNumId w:val="49"/>
  </w:num>
  <w:num w:numId="8">
    <w:abstractNumId w:val="35"/>
  </w:num>
  <w:num w:numId="9">
    <w:abstractNumId w:val="35"/>
  </w:num>
  <w:num w:numId="10">
    <w:abstractNumId w:val="5"/>
  </w:num>
  <w:num w:numId="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num>
  <w:num w:numId="13">
    <w:abstractNumId w:val="70"/>
  </w:num>
  <w:num w:numId="14">
    <w:abstractNumId w:val="60"/>
  </w:num>
  <w:num w:numId="15">
    <w:abstractNumId w:val="35"/>
  </w:num>
  <w:num w:numId="16">
    <w:abstractNumId w:val="67"/>
  </w:num>
  <w:num w:numId="17">
    <w:abstractNumId w:val="108"/>
  </w:num>
  <w:num w:numId="18">
    <w:abstractNumId w:val="134"/>
  </w:num>
  <w:num w:numId="19">
    <w:abstractNumId w:val="91"/>
  </w:num>
  <w:num w:numId="20">
    <w:abstractNumId w:val="61"/>
  </w:num>
  <w:num w:numId="21">
    <w:abstractNumId w:val="19"/>
  </w:num>
  <w:num w:numId="22">
    <w:abstractNumId w:val="11"/>
  </w:num>
  <w:num w:numId="23">
    <w:abstractNumId w:val="42"/>
  </w:num>
  <w:num w:numId="24">
    <w:abstractNumId w:val="116"/>
  </w:num>
  <w:num w:numId="25">
    <w:abstractNumId w:val="28"/>
  </w:num>
  <w:num w:numId="26">
    <w:abstractNumId w:val="129"/>
  </w:num>
  <w:num w:numId="27">
    <w:abstractNumId w:val="119"/>
  </w:num>
  <w:num w:numId="28">
    <w:abstractNumId w:val="131"/>
  </w:num>
  <w:num w:numId="29">
    <w:abstractNumId w:val="10"/>
  </w:num>
  <w:num w:numId="30">
    <w:abstractNumId w:val="101"/>
  </w:num>
  <w:num w:numId="31">
    <w:abstractNumId w:val="17"/>
  </w:num>
  <w:num w:numId="32">
    <w:abstractNumId w:val="78"/>
  </w:num>
  <w:num w:numId="33">
    <w:abstractNumId w:val="18"/>
  </w:num>
  <w:num w:numId="34">
    <w:abstractNumId w:val="77"/>
  </w:num>
  <w:num w:numId="35">
    <w:abstractNumId w:val="16"/>
  </w:num>
  <w:num w:numId="36">
    <w:abstractNumId w:val="120"/>
  </w:num>
  <w:num w:numId="37">
    <w:abstractNumId w:val="95"/>
  </w:num>
  <w:num w:numId="38">
    <w:abstractNumId w:val="130"/>
  </w:num>
  <w:num w:numId="39">
    <w:abstractNumId w:val="80"/>
  </w:num>
  <w:num w:numId="40">
    <w:abstractNumId w:val="68"/>
  </w:num>
  <w:num w:numId="41">
    <w:abstractNumId w:val="64"/>
  </w:num>
  <w:num w:numId="42">
    <w:abstractNumId w:val="92"/>
  </w:num>
  <w:num w:numId="43">
    <w:abstractNumId w:val="18"/>
  </w:num>
  <w:num w:numId="44">
    <w:abstractNumId w:val="43"/>
  </w:num>
  <w:num w:numId="45">
    <w:abstractNumId w:val="19"/>
  </w:num>
  <w:num w:numId="46">
    <w:abstractNumId w:val="42"/>
  </w:num>
  <w:num w:numId="47">
    <w:abstractNumId w:val="64"/>
  </w:num>
  <w:num w:numId="48">
    <w:abstractNumId w:val="81"/>
  </w:num>
  <w:num w:numId="49">
    <w:abstractNumId w:val="77"/>
  </w:num>
  <w:num w:numId="50">
    <w:abstractNumId w:val="75"/>
  </w:num>
  <w:num w:numId="51">
    <w:abstractNumId w:val="109"/>
  </w:num>
  <w:num w:numId="52">
    <w:abstractNumId w:val="96"/>
  </w:num>
  <w:num w:numId="53">
    <w:abstractNumId w:val="38"/>
  </w:num>
  <w:num w:numId="54">
    <w:abstractNumId w:val="44"/>
  </w:num>
  <w:num w:numId="55">
    <w:abstractNumId w:val="33"/>
  </w:num>
  <w:num w:numId="56">
    <w:abstractNumId w:val="111"/>
  </w:num>
  <w:num w:numId="57">
    <w:abstractNumId w:val="20"/>
  </w:num>
  <w:num w:numId="58">
    <w:abstractNumId w:val="29"/>
  </w:num>
  <w:num w:numId="59">
    <w:abstractNumId w:val="83"/>
  </w:num>
  <w:num w:numId="60">
    <w:abstractNumId w:val="90"/>
  </w:num>
  <w:num w:numId="61">
    <w:abstractNumId w:val="59"/>
  </w:num>
  <w:num w:numId="62">
    <w:abstractNumId w:val="48"/>
  </w:num>
  <w:num w:numId="63">
    <w:abstractNumId w:val="93"/>
  </w:num>
  <w:num w:numId="64">
    <w:abstractNumId w:val="23"/>
  </w:num>
  <w:num w:numId="65">
    <w:abstractNumId w:val="132"/>
  </w:num>
  <w:num w:numId="66">
    <w:abstractNumId w:val="3"/>
  </w:num>
  <w:num w:numId="67">
    <w:abstractNumId w:val="6"/>
  </w:num>
  <w:num w:numId="68">
    <w:abstractNumId w:val="24"/>
  </w:num>
  <w:num w:numId="69">
    <w:abstractNumId w:val="57"/>
  </w:num>
  <w:num w:numId="70">
    <w:abstractNumId w:val="98"/>
  </w:num>
  <w:num w:numId="71">
    <w:abstractNumId w:val="110"/>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6"/>
  </w:num>
  <w:num w:numId="74">
    <w:abstractNumId w:val="21"/>
  </w:num>
  <w:num w:numId="75">
    <w:abstractNumId w:val="46"/>
  </w:num>
  <w:num w:numId="76">
    <w:abstractNumId w:val="105"/>
  </w:num>
  <w:num w:numId="77">
    <w:abstractNumId w:val="128"/>
  </w:num>
  <w:num w:numId="78">
    <w:abstractNumId w:val="88"/>
  </w:num>
  <w:num w:numId="79">
    <w:abstractNumId w:val="103"/>
  </w:num>
  <w:num w:numId="80">
    <w:abstractNumId w:val="121"/>
  </w:num>
  <w:num w:numId="81">
    <w:abstractNumId w:val="37"/>
  </w:num>
  <w:num w:numId="82">
    <w:abstractNumId w:val="102"/>
  </w:num>
  <w:num w:numId="83">
    <w:abstractNumId w:val="115"/>
  </w:num>
  <w:num w:numId="84">
    <w:abstractNumId w:val="123"/>
  </w:num>
  <w:num w:numId="85">
    <w:abstractNumId w:val="39"/>
  </w:num>
  <w:num w:numId="86">
    <w:abstractNumId w:val="13"/>
  </w:num>
  <w:num w:numId="87">
    <w:abstractNumId w:val="50"/>
  </w:num>
  <w:num w:numId="88">
    <w:abstractNumId w:val="40"/>
  </w:num>
  <w:num w:numId="89">
    <w:abstractNumId w:val="117"/>
  </w:num>
  <w:num w:numId="90">
    <w:abstractNumId w:val="37"/>
  </w:num>
  <w:num w:numId="91">
    <w:abstractNumId w:val="89"/>
  </w:num>
  <w:num w:numId="92">
    <w:abstractNumId w:val="124"/>
  </w:num>
  <w:num w:numId="93">
    <w:abstractNumId w:val="133"/>
  </w:num>
  <w:num w:numId="94">
    <w:abstractNumId w:val="122"/>
  </w:num>
  <w:num w:numId="95">
    <w:abstractNumId w:val="27"/>
  </w:num>
  <w:num w:numId="96">
    <w:abstractNumId w:val="34"/>
  </w:num>
  <w:num w:numId="97">
    <w:abstractNumId w:val="69"/>
  </w:num>
  <w:num w:numId="98">
    <w:abstractNumId w:val="82"/>
  </w:num>
  <w:num w:numId="99">
    <w:abstractNumId w:val="87"/>
  </w:num>
  <w:num w:numId="100">
    <w:abstractNumId w:val="1"/>
  </w:num>
  <w:num w:numId="101">
    <w:abstractNumId w:val="2"/>
  </w:num>
  <w:num w:numId="102">
    <w:abstractNumId w:val="0"/>
  </w:num>
  <w:num w:numId="103">
    <w:abstractNumId w:val="107"/>
  </w:num>
  <w:num w:numId="104">
    <w:abstractNumId w:val="72"/>
  </w:num>
  <w:num w:numId="105">
    <w:abstractNumId w:val="127"/>
  </w:num>
  <w:num w:numId="106">
    <w:abstractNumId w:val="14"/>
  </w:num>
  <w:num w:numId="107">
    <w:abstractNumId w:val="84"/>
  </w:num>
  <w:num w:numId="108">
    <w:abstractNumId w:val="126"/>
  </w:num>
  <w:num w:numId="109">
    <w:abstractNumId w:val="86"/>
  </w:num>
  <w:num w:numId="110">
    <w:abstractNumId w:val="12"/>
  </w:num>
  <w:num w:numId="111">
    <w:abstractNumId w:val="63"/>
  </w:num>
  <w:num w:numId="112">
    <w:abstractNumId w:val="51"/>
  </w:num>
  <w:num w:numId="113">
    <w:abstractNumId w:val="53"/>
  </w:num>
  <w:num w:numId="114">
    <w:abstractNumId w:val="41"/>
  </w:num>
  <w:num w:numId="115">
    <w:abstractNumId w:val="85"/>
  </w:num>
  <w:num w:numId="116">
    <w:abstractNumId w:val="106"/>
  </w:num>
  <w:num w:numId="117">
    <w:abstractNumId w:val="45"/>
  </w:num>
  <w:num w:numId="118">
    <w:abstractNumId w:val="99"/>
  </w:num>
  <w:num w:numId="119">
    <w:abstractNumId w:val="58"/>
  </w:num>
  <w:num w:numId="120">
    <w:abstractNumId w:val="94"/>
  </w:num>
  <w:num w:numId="121">
    <w:abstractNumId w:val="100"/>
  </w:num>
  <w:num w:numId="122">
    <w:abstractNumId w:val="65"/>
  </w:num>
  <w:num w:numId="123">
    <w:abstractNumId w:val="112"/>
  </w:num>
  <w:num w:numId="124">
    <w:abstractNumId w:val="74"/>
  </w:num>
  <w:num w:numId="125">
    <w:abstractNumId w:val="54"/>
  </w:num>
  <w:num w:numId="126">
    <w:abstractNumId w:val="55"/>
  </w:num>
  <w:num w:numId="127">
    <w:abstractNumId w:val="73"/>
  </w:num>
  <w:num w:numId="128">
    <w:abstractNumId w:val="71"/>
  </w:num>
  <w:num w:numId="129">
    <w:abstractNumId w:val="22"/>
  </w:num>
  <w:num w:numId="130">
    <w:abstractNumId w:val="25"/>
  </w:num>
  <w:num w:numId="131">
    <w:abstractNumId w:val="31"/>
  </w:num>
  <w:num w:numId="132">
    <w:abstractNumId w:val="52"/>
  </w:num>
  <w:num w:numId="133">
    <w:abstractNumId w:val="15"/>
  </w:num>
  <w:num w:numId="134">
    <w:abstractNumId w:val="118"/>
  </w:num>
  <w:num w:numId="135">
    <w:abstractNumId w:val="104"/>
  </w:num>
  <w:num w:numId="136">
    <w:abstractNumId w:val="36"/>
  </w:num>
  <w:num w:numId="137">
    <w:abstractNumId w:val="47"/>
  </w:num>
  <w:num w:numId="138">
    <w:abstractNumId w:val="30"/>
  </w:num>
  <w:num w:numId="139">
    <w:abstractNumId w:val="32"/>
  </w:num>
  <w:num w:numId="140">
    <w:abstractNumId w:val="66"/>
  </w:num>
  <w:num w:numId="141">
    <w:abstractNumId w:val="56"/>
  </w:num>
  <w:num w:numId="142">
    <w:abstractNumId w:val="9"/>
  </w:num>
  <w:num w:numId="143">
    <w:abstractNumId w:val="7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1E"/>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D56"/>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2AA8"/>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12B"/>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8D8"/>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7A3"/>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B5"/>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96F"/>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76D"/>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2B"/>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A5"/>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Drawing7.vsdx"/><Relationship Id="rId39" Type="http://schemas.openxmlformats.org/officeDocument/2006/relationships/image" Target="media/image19.wmf"/><Relationship Id="rId21" Type="http://schemas.openxmlformats.org/officeDocument/2006/relationships/package" Target="embeddings/Microsoft_Visio_Drawing3.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6.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5.emf"/><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hyperlink" Target="https://www.3gpp.org/ftp/TSG_RAN/TSG_RAN/TSGR_92e/Docs/RP-211569.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Drawing4.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Drawing8.vsdx"/><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hyperlink" Target="http://www.3gpp.org/ftp/tsg_ran/TSG_RAN/TSGR_90e/Docs/RP-20287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package" Target="embeddings/Microsoft_Visio_Drawing9.vsdx"/><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87DBE7B-DF1B-4FD6-9BCF-3FAAE2AC9089}">
  <ds:schemaRefs>
    <ds:schemaRef ds:uri="http://schemas.openxmlformats.org/officeDocument/2006/bibliography"/>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149</Pages>
  <Words>58218</Words>
  <Characters>331848</Characters>
  <Application>Microsoft Office Word</Application>
  <DocSecurity>0</DocSecurity>
  <Lines>2765</Lines>
  <Paragraphs>778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389288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Shariatmadari, Hamidreza</cp:lastModifiedBy>
  <cp:revision>15</cp:revision>
  <cp:lastPrinted>1901-01-02T03:00:00Z</cp:lastPrinted>
  <dcterms:created xsi:type="dcterms:W3CDTF">2022-02-23T12:13:00Z</dcterms:created>
  <dcterms:modified xsi:type="dcterms:W3CDTF">2022-02-23T13:23:00Z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