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March,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Heading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BodyText"/>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BodyText"/>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BodyText"/>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Heading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hint="eastAsia"/>
                      <w:lang w:eastAsia="zh-CN"/>
                    </w:rPr>
                    <w:t xml:space="preserve"> , where </w:t>
                  </w:r>
                  <w:r>
                    <w:rPr>
                      <w:rFonts w:eastAsia="SimSun"/>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5.25pt" o:ole="">
                        <v:imagedata r:id="rId13" o:title=""/>
                      </v:shape>
                      <o:OLEObject Type="Embed" ProgID="Equation.3" ShapeID="_x0000_i1025" DrawAspect="Content" ObjectID="_1707038664" r:id="rId14"/>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rPr>
                    <w:t xml:space="preserve"> is the spreading factor for PUCCH format 3 [4, TS 38.211]</w:t>
                  </w:r>
                  <w:r>
                    <w:rPr>
                      <w:rFonts w:eastAsia="SimSun"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Pr>
                      <w:rFonts w:eastAsia="SimSun" w:hint="eastAsia"/>
                      <w:color w:val="FF0000"/>
                      <w:lang w:eastAsia="zh-CN"/>
                    </w:rPr>
                    <w:t xml:space="preserve"> is the number of PRBs that is determined by the UE for PUCCH </w:t>
                  </w:r>
                  <w:r>
                    <w:rPr>
                      <w:rFonts w:eastAsia="SimSun"/>
                      <w:color w:val="FF0000"/>
                      <w:lang w:eastAsia="zh-CN"/>
                    </w:rPr>
                    <w:t>format</w:t>
                  </w:r>
                  <w:r>
                    <w:rPr>
                      <w:rFonts w:eastAsia="SimSun" w:hint="eastAsia"/>
                      <w:color w:val="FF0000"/>
                      <w:lang w:eastAsia="zh-CN"/>
                    </w:rPr>
                    <w:t xml:space="preserve"> </w:t>
                  </w:r>
                  <w:r>
                    <w:rPr>
                      <w:rFonts w:eastAsia="SimSun"/>
                      <w:color w:val="FF0000"/>
                      <w:lang w:eastAsia="zh-CN"/>
                    </w:rPr>
                    <w:t>4</w:t>
                  </w:r>
                  <w:r>
                    <w:rPr>
                      <w:rFonts w:eastAsia="SimSun" w:hint="eastAsia"/>
                      <w:color w:val="FF0000"/>
                      <w:lang w:eastAsia="zh-CN"/>
                    </w:rPr>
                    <w:t xml:space="preserve"> transmission according to Clause 9.2 of [5, TS</w:t>
                  </w:r>
                  <w:r>
                    <w:rPr>
                      <w:rFonts w:eastAsia="SimSun"/>
                      <w:color w:val="FF0000"/>
                      <w:lang w:eastAsia="zh-CN"/>
                    </w:rPr>
                    <w:t xml:space="preserve"> </w:t>
                  </w:r>
                  <w:r>
                    <w:rPr>
                      <w:rFonts w:eastAsia="SimSun" w:hint="eastAsia"/>
                      <w:color w:val="FF0000"/>
                      <w:lang w:eastAsia="zh-CN"/>
                    </w:rPr>
                    <w:t>38.213]</w:t>
                  </w:r>
                  <w:r>
                    <w:rPr>
                      <w:rFonts w:eastAsia="SimSun"/>
                      <w:color w:val="FF0000"/>
                      <w:lang w:eastAsia="zh-CN"/>
                    </w:rPr>
                    <w:t xml:space="preserve">, and </w:t>
                  </w:r>
                  <w:r>
                    <w:rPr>
                      <w:rFonts w:eastAsia="SimSun"/>
                      <w:position w:val="-12"/>
                      <w:sz w:val="20"/>
                      <w:szCs w:val="20"/>
                      <w:lang w:eastAsia="en-US"/>
                    </w:rPr>
                    <w:object w:dxaOrig="780" w:dyaOrig="300" w14:anchorId="17C6FC25">
                      <v:shape id="_x0000_i1026" type="#_x0000_t75" style="width:39.25pt;height:15.25pt" o:ole="">
                        <v:imagedata r:id="rId15" o:title=""/>
                      </v:shape>
                      <o:OLEObject Type="Embed" ProgID="Equation.3" ShapeID="_x0000_i1026" DrawAspect="Content" ObjectID="_1707038665" r:id="rId16"/>
                    </w:object>
                  </w:r>
                  <w:r>
                    <w:rPr>
                      <w:rFonts w:eastAsia="SimSun"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BodyText"/>
        <w:spacing w:after="0"/>
        <w:jc w:val="left"/>
      </w:pPr>
    </w:p>
    <w:p w14:paraId="6248CD79" w14:textId="77777777" w:rsidR="00916B3B" w:rsidRDefault="00D56752">
      <w:pPr>
        <w:pStyle w:val="Heading2"/>
        <w:rPr>
          <w:b/>
          <w:bCs/>
          <w:sz w:val="20"/>
        </w:rPr>
      </w:pPr>
      <w:r>
        <w:rPr>
          <w:b/>
          <w:bCs/>
          <w:sz w:val="20"/>
          <w:highlight w:val="cyan"/>
        </w:rPr>
        <w:t>[HIGH] Text Proposal #2 (Multiplexing of coded bits to PUCCH)</w:t>
      </w:r>
    </w:p>
    <w:p w14:paraId="1DFF832F" w14:textId="77777777" w:rsidR="00916B3B" w:rsidRDefault="00916B3B">
      <w:pPr>
        <w:pStyle w:val="ListParagraph"/>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PUCCH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7E0523F6" w14:textId="77777777" w:rsidR="00916B3B" w:rsidRDefault="00D56752">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77777777" w:rsidR="00916B3B" w:rsidRDefault="00916B3B">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TableGrid"/>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BodyText"/>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BodyText"/>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BodyText"/>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BodyText"/>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BodyText"/>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BodyText"/>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BodyText"/>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BodyText"/>
              <w:spacing w:after="0"/>
              <w:ind w:right="27"/>
              <w:rPr>
                <w:rFonts w:hint="eastAsia"/>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BodyText"/>
              <w:spacing w:after="0"/>
              <w:ind w:right="27"/>
            </w:pPr>
            <w:r>
              <w:rPr>
                <w:lang w:val="en-US"/>
              </w:rPr>
              <w:t xml:space="preserve">We are ok with the </w:t>
            </w:r>
            <w:proofErr w:type="spellStart"/>
            <w:r>
              <w:rPr>
                <w:lang w:val="en-US"/>
              </w:rPr>
              <w:t>pirit</w:t>
            </w:r>
            <w:proofErr w:type="spellEnd"/>
            <w:r>
              <w:rPr>
                <w:lang w:val="en-US"/>
              </w:rPr>
              <w:t xml:space="preserve"> of the TP. One suggestion on the wording, it needs to clarify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SimSun"/>
                <w:lang w:eastAsia="zh-CN"/>
              </w:rPr>
            </w:pPr>
          </w:p>
          <w:p w14:paraId="6EC26387" w14:textId="3AFF2C30" w:rsidR="00E01504" w:rsidRDefault="00E01504" w:rsidP="00E01504">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E01504">
              <w:rPr>
                <w:rFonts w:eastAsia="SimSun"/>
                <w:color w:val="7030A0"/>
              </w:rPr>
              <w:t xml:space="preserve">the corresponding </w:t>
            </w:r>
            <w:r>
              <w:rPr>
                <w:rFonts w:eastAsia="SimSun"/>
              </w:rPr>
              <w:t xml:space="preserve">PUCCH </w:t>
            </w:r>
            <w:r w:rsidRPr="00E01504">
              <w:rPr>
                <w:rFonts w:eastAsia="SimSun"/>
                <w:color w:val="7030A0"/>
              </w:rPr>
              <w:t xml:space="preserve">format </w:t>
            </w:r>
            <w:proofErr w:type="spellStart"/>
            <w:r>
              <w:rPr>
                <w:rFonts w:eastAsia="SimSun"/>
                <w:strike/>
                <w:color w:val="FF0000"/>
              </w:rPr>
              <w:t>format</w:t>
            </w:r>
            <w:proofErr w:type="spellEnd"/>
            <w:r>
              <w:rPr>
                <w:rFonts w:eastAsia="SimSun"/>
                <w:strike/>
                <w:color w:val="FF0000"/>
              </w:rPr>
              <w:t xml:space="preserve">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6B153BD8" w14:textId="3B805370" w:rsidR="00E01504" w:rsidRPr="00E01504" w:rsidRDefault="00E01504" w:rsidP="00E01504">
            <w:pPr>
              <w:pStyle w:val="BodyText"/>
              <w:spacing w:after="0"/>
              <w:ind w:right="27"/>
            </w:pPr>
          </w:p>
        </w:tc>
      </w:tr>
    </w:tbl>
    <w:p w14:paraId="5677DED5" w14:textId="77777777" w:rsidR="00916B3B" w:rsidRDefault="00916B3B"/>
    <w:p w14:paraId="4FAC7855" w14:textId="77777777" w:rsidR="00916B3B" w:rsidRDefault="00D56752">
      <w:pPr>
        <w:pStyle w:val="Heading1"/>
      </w:pPr>
      <w:r>
        <w:t>3</w:t>
      </w:r>
      <w:r>
        <w:tab/>
        <w:t>Mapping to Physical Resources</w:t>
      </w:r>
    </w:p>
    <w:p w14:paraId="269129D9" w14:textId="77777777" w:rsidR="00916B3B" w:rsidRDefault="00D56752">
      <w:pPr>
        <w:pStyle w:val="Heading2"/>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 xml:space="preserve">TP#1 for TS 38.211 Clause </w:t>
                  </w:r>
                  <w:bookmarkStart w:id="26" w:name="_Hlk95829392"/>
                  <w:r>
                    <w:rPr>
                      <w:rFonts w:eastAsia="SimSun"/>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lastRenderedPageBreak/>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Pr>
                      <w:rFonts w:eastAsia="DengXian"/>
                      <w:position w:val="-10"/>
                      <w:sz w:val="20"/>
                      <w:szCs w:val="20"/>
                      <w:lang w:eastAsia="en-US"/>
                    </w:rPr>
                    <w:object w:dxaOrig="420" w:dyaOrig="300" w14:anchorId="47C3D8C7">
                      <v:shape id="_x0000_i1027" type="#_x0000_t75" style="width:21.25pt;height:15.25pt" o:ole="">
                        <v:imagedata r:id="rId17" o:title=""/>
                      </v:shape>
                      <o:OLEObject Type="Embed" ProgID="Equation.3" ShapeID="_x0000_i1027" DrawAspect="Content" ObjectID="_1707038666" r:id="rId18"/>
                    </w:object>
                  </w:r>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3F60331E">
                      <v:shape id="_x0000_i1028" type="#_x0000_t75" style="width:39.25pt;height:15.25pt" o:ole="">
                        <v:imagedata r:id="rId19" o:title=""/>
                      </v:shape>
                      <o:OLEObject Type="Embed" ProgID="Equation.3" ShapeID="_x0000_i1028" DrawAspect="Content" ObjectID="_1707038667" r:id="rId20"/>
                    </w:object>
                  </w:r>
                  <w:r>
                    <w:rPr>
                      <w:rFonts w:eastAsia="DengXian"/>
                      <w:lang w:eastAsia="en-US"/>
                    </w:rPr>
                    <w:t xml:space="preserve"> in order to conform to the transmit power specified in [5, TS 38.213] and mapped in sequence starting with </w:t>
                  </w:r>
                  <w:r>
                    <w:rPr>
                      <w:rFonts w:eastAsia="DengXian"/>
                      <w:position w:val="-10"/>
                      <w:sz w:val="20"/>
                      <w:szCs w:val="20"/>
                      <w:lang w:eastAsia="en-US"/>
                    </w:rPr>
                    <w:object w:dxaOrig="420" w:dyaOrig="300" w14:anchorId="6895E428">
                      <v:shape id="_x0000_i1029" type="#_x0000_t75" style="width:21.25pt;height:15.25pt" o:ole="">
                        <v:imagedata r:id="rId17" o:title=""/>
                      </v:shape>
                      <o:OLEObject Type="Embed" ProgID="Equation.3" ShapeID="_x0000_i1029" DrawAspect="Content" ObjectID="_1707038668"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595EBFB3">
                      <v:shape id="_x0000_i1030" type="#_x0000_t75" style="width:8.75pt;height:13.65pt" o:ole="">
                        <v:imagedata r:id="rId22" o:title=""/>
                      </v:shape>
                      <o:OLEObject Type="Embed" ProgID="Equation.3" ShapeID="_x0000_i1030" DrawAspect="Content" ObjectID="_1707038669"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Pr>
                      <w:rFonts w:eastAsia="DengXian"/>
                      <w:position w:val="-6"/>
                      <w:sz w:val="20"/>
                      <w:szCs w:val="20"/>
                      <w:lang w:eastAsia="en-US"/>
                    </w:rPr>
                    <w:object w:dxaOrig="150" w:dyaOrig="270" w14:anchorId="22ED28D2">
                      <v:shape id="_x0000_i1031" type="#_x0000_t75" style="width:7.65pt;height:13.65pt" o:ole="">
                        <v:imagedata r:id="rId24" o:title=""/>
                      </v:shape>
                      <o:OLEObject Type="Embed" ProgID="Equation.3" ShapeID="_x0000_i1031" DrawAspect="Content" ObjectID="_1707038670" r:id="rId25"/>
                    </w:object>
                  </w:r>
                  <w:r>
                    <w:rPr>
                      <w:rFonts w:eastAsia="DengXian"/>
                      <w:lang w:eastAsia="en-US"/>
                    </w:rPr>
                    <w:t xml:space="preserve"> on antenna port </w:t>
                  </w:r>
                  <w:r>
                    <w:rPr>
                      <w:rFonts w:eastAsia="DengXian"/>
                      <w:position w:val="-10"/>
                      <w:sz w:val="20"/>
                      <w:szCs w:val="20"/>
                      <w:lang w:eastAsia="en-US"/>
                    </w:rPr>
                    <w:object w:dxaOrig="825" w:dyaOrig="285" w14:anchorId="7F43BE40">
                      <v:shape id="_x0000_i1032" type="#_x0000_t75" style="width:41.45pt;height:14.75pt" o:ole="">
                        <v:imagedata r:id="rId26" o:title=""/>
                      </v:shape>
                      <o:OLEObject Type="Embed" ProgID="Equation.3" ShapeID="_x0000_i1032" DrawAspect="Content" ObjectID="_1707038671"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64E6A5C4">
                      <v:shape id="_x0000_i1033" type="#_x0000_t75" style="width:39.25pt;height:15.25pt" o:ole="">
                        <v:imagedata r:id="rId28" o:title=""/>
                      </v:shape>
                      <o:OLEObject Type="Embed" ProgID="Equation.3" ShapeID="_x0000_i1033" DrawAspect="Content" ObjectID="_1707038672"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7F724E9B">
                      <v:shape id="_x0000_i1034" type="#_x0000_t75" style="width:8.75pt;height:13.65pt" o:ole="">
                        <v:imagedata r:id="rId22" o:title=""/>
                      </v:shape>
                      <o:OLEObject Type="Embed" ProgID="Equation.3" ShapeID="_x0000_i1034" DrawAspect="Content" ObjectID="_1707038673"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Pr>
                      <w:rFonts w:eastAsia="DengXian"/>
                      <w:position w:val="-6"/>
                      <w:sz w:val="20"/>
                      <w:szCs w:val="20"/>
                      <w:lang w:eastAsia="en-US"/>
                    </w:rPr>
                    <w:object w:dxaOrig="150" w:dyaOrig="270" w14:anchorId="5F3E7A8E">
                      <v:shape id="_x0000_i1035" type="#_x0000_t75" style="width:7.65pt;height:13.65pt" o:ole="">
                        <v:imagedata r:id="rId24" o:title=""/>
                      </v:shape>
                      <o:OLEObject Type="Embed" ProgID="Equation.3" ShapeID="_x0000_i1035" DrawAspect="Content" ObjectID="_1707038674" r:id="rId31"/>
                    </w:object>
                  </w:r>
                  <w:r>
                    <w:rPr>
                      <w:rFonts w:eastAsia="DengXian"/>
                      <w:lang w:eastAsia="en-US"/>
                    </w:rPr>
                    <w:t xml:space="preserve"> on antenna port </w:t>
                  </w:r>
                  <w:r>
                    <w:rPr>
                      <w:rFonts w:eastAsia="DengXian"/>
                      <w:position w:val="-10"/>
                      <w:sz w:val="20"/>
                      <w:szCs w:val="20"/>
                      <w:lang w:eastAsia="en-US"/>
                    </w:rPr>
                    <w:object w:dxaOrig="810" w:dyaOrig="285" w14:anchorId="7AF0894D">
                      <v:shape id="_x0000_i1036" type="#_x0000_t75" style="width:40.35pt;height:14.75pt" o:ole="">
                        <v:imagedata r:id="rId26" o:title=""/>
                      </v:shape>
                      <o:OLEObject Type="Embed" ProgID="Equation.3" ShapeID="_x0000_i1036" DrawAspect="Content" ObjectID="_1707038675"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BodyText"/>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r>
        <w:rPr>
          <w:rFonts w:eastAsia="SimSun"/>
          <w:i/>
          <w:lang w:eastAsia="en-US"/>
        </w:rPr>
        <w:t>initialCyclicShift</w:t>
      </w:r>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xml:space="preserve">, a first symbol for the PUCCH transmission provided by </w:t>
      </w:r>
      <w:r>
        <w:rPr>
          <w:rFonts w:eastAsia="SimSun"/>
          <w:i/>
          <w:lang w:eastAsia="en-US"/>
        </w:rPr>
        <w:t>startingSymbolIndex</w:t>
      </w:r>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r>
        <w:rPr>
          <w:rFonts w:eastAsia="SimSun"/>
          <w:i/>
          <w:lang w:eastAsia="en-US"/>
        </w:rPr>
        <w:t>timeDomainOCC</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Pr>
          <w:rFonts w:eastAsia="SimSun"/>
          <w:i/>
          <w:highlight w:val="green"/>
          <w:lang w:eastAsia="en-US"/>
        </w:rPr>
        <w:t>.</w:t>
      </w:r>
    </w:p>
    <w:p w14:paraId="77F880B2" w14:textId="77777777" w:rsidR="00916B3B" w:rsidRDefault="00D56752">
      <w:pPr>
        <w:ind w:left="567"/>
        <w:rPr>
          <w:rFonts w:eastAsia="SimSun"/>
          <w:lang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lastRenderedPageBreak/>
        <w:t>startingSymbolIndex</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Heading3"/>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ListParagraph"/>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BodyText"/>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Pr>
          <w:rFonts w:eastAsia="Times New Roman"/>
          <w:position w:val="-10"/>
          <w:lang w:eastAsia="en-US"/>
        </w:rPr>
        <w:object w:dxaOrig="420" w:dyaOrig="300" w14:anchorId="78D04881">
          <v:shape id="_x0000_i1037" type="#_x0000_t75" style="width:21.25pt;height:15.25pt" o:ole="">
            <v:imagedata r:id="rId17" o:title=""/>
          </v:shape>
          <o:OLEObject Type="Embed" ProgID="Equation.3" ShapeID="_x0000_i1037" DrawAspect="Content" ObjectID="_1707038676" r:id="rId33"/>
        </w:object>
      </w:r>
      <w:r>
        <w:rPr>
          <w:rFonts w:eastAsia="Times New Roman"/>
          <w:lang w:eastAsia="en-US"/>
        </w:rPr>
        <w:t xml:space="preserve"> shall be multiplied with the amplitude scaling factor </w:t>
      </w:r>
      <w:r>
        <w:rPr>
          <w:rFonts w:eastAsia="Times New Roman"/>
          <w:position w:val="-12"/>
          <w:lang w:eastAsia="en-US"/>
        </w:rPr>
        <w:object w:dxaOrig="780" w:dyaOrig="300" w14:anchorId="697A6EAD">
          <v:shape id="_x0000_i1038" type="#_x0000_t75" style="width:39.25pt;height:15.25pt" o:ole="">
            <v:imagedata r:id="rId19" o:title=""/>
          </v:shape>
          <o:OLEObject Type="Embed" ProgID="Equation.3" ShapeID="_x0000_i1038" DrawAspect="Content" ObjectID="_1707038677" r:id="rId34"/>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w:dxaOrig="420" w:dyaOrig="300" w14:anchorId="18F4DFC1">
          <v:shape id="_x0000_i1039" type="#_x0000_t75" style="width:21.25pt;height:15.25pt" o:ole="">
            <v:imagedata r:id="rId17" o:title=""/>
          </v:shape>
          <o:OLEObject Type="Embed" ProgID="Equation.3" ShapeID="_x0000_i1039" DrawAspect="Content" ObjectID="_1707038678"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w:dxaOrig="180" w:dyaOrig="270" w14:anchorId="0538C117">
          <v:shape id="_x0000_i1040" type="#_x0000_t75" style="width:9.25pt;height:13.65pt" o:ole="">
            <v:imagedata r:id="rId22" o:title=""/>
          </v:shape>
          <o:OLEObject Type="Embed" ProgID="Equation.3" ShapeID="_x0000_i1040" DrawAspect="Content" ObjectID="_1707038679"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w:dxaOrig="150" w:dyaOrig="270" w14:anchorId="6D5437E4">
          <v:shape id="_x0000_i1041" type="#_x0000_t75" style="width:7.65pt;height:13.65pt" o:ole="">
            <v:imagedata r:id="rId24" o:title=""/>
          </v:shape>
          <o:OLEObject Type="Embed" ProgID="Equation.3" ShapeID="_x0000_i1041" DrawAspect="Content" ObjectID="_1707038680" r:id="rId37"/>
        </w:object>
      </w:r>
      <w:r>
        <w:rPr>
          <w:rFonts w:eastAsia="Times New Roman"/>
          <w:lang w:eastAsia="en-US"/>
        </w:rPr>
        <w:t xml:space="preserve"> on antenna port </w:t>
      </w:r>
      <w:r>
        <w:rPr>
          <w:rFonts w:eastAsia="Times New Roman"/>
          <w:position w:val="-10"/>
          <w:lang w:eastAsia="en-US"/>
        </w:rPr>
        <w:object w:dxaOrig="825" w:dyaOrig="285" w14:anchorId="52F109EE">
          <v:shape id="_x0000_i1042" type="#_x0000_t75" style="width:41.45pt;height:14.75pt" o:ole="">
            <v:imagedata r:id="rId26" o:title=""/>
          </v:shape>
          <o:OLEObject Type="Embed" ProgID="Equation.3" ShapeID="_x0000_i1042" DrawAspect="Content" ObjectID="_1707038681"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BodyText"/>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BodyText"/>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BodyText"/>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BodyText"/>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BodyText"/>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BodyText"/>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BodyText"/>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BodyText"/>
              <w:spacing w:after="0"/>
              <w:ind w:right="27"/>
              <w:rPr>
                <w:rFonts w:hint="eastAsia"/>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BodyText"/>
              <w:spacing w:after="0"/>
              <w:ind w:right="27"/>
              <w:rPr>
                <w:lang w:val="en-US"/>
              </w:rPr>
            </w:pPr>
            <w:r>
              <w:rPr>
                <w:lang w:val="en-US"/>
              </w:rPr>
              <w:t xml:space="preserve">We are ok with the TP. </w:t>
            </w: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Heading2"/>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SimSun" w:hAnsi="Arial" w:cs="Arial"/>
                      <w:color w:val="FF0000"/>
                      <w:sz w:val="24"/>
                      <w:szCs w:val="24"/>
                      <w:lang w:val="en-US" w:eastAsia="zh-CN"/>
                    </w:rPr>
                  </w:pPr>
                  <w:r>
                    <w:rPr>
                      <w:rFonts w:eastAsia="SimSun"/>
                      <w:b/>
                      <w:sz w:val="24"/>
                      <w:szCs w:val="24"/>
                      <w:lang w:val="en-US" w:eastAsia="zh-CN"/>
                    </w:rPr>
                    <w:lastRenderedPageBreak/>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a number of symbols for a PUCCH transmission provided by </w:t>
                  </w:r>
                  <w:r>
                    <w:rPr>
                      <w:rFonts w:eastAsia="SimSun"/>
                      <w:i/>
                      <w:lang w:val="en-US" w:eastAsia="en-US"/>
                    </w:rPr>
                    <w:t>nrofSymbols</w:t>
                  </w:r>
                  <w:r>
                    <w:rPr>
                      <w:rFonts w:eastAsia="SimSun"/>
                      <w:lang w:val="en-US" w:eastAsia="en-US"/>
                    </w:rPr>
                    <w:t xml:space="preserve">, an orthogonal cover code length by </w:t>
                  </w:r>
                  <w:r>
                    <w:rPr>
                      <w:rFonts w:eastAsia="SimSun"/>
                      <w:i/>
                      <w:lang w:val="en-US" w:eastAsia="en-US"/>
                    </w:rPr>
                    <w:t>occ-Length</w:t>
                  </w:r>
                  <w:r>
                    <w:rPr>
                      <w:rFonts w:eastAsia="SimSun"/>
                      <w:lang w:val="en-US" w:eastAsia="en-US"/>
                    </w:rPr>
                    <w:t xml:space="preserve">, an orthogonal cover code index by </w:t>
                  </w:r>
                  <w:r>
                    <w:rPr>
                      <w:rFonts w:eastAsia="SimSun"/>
                      <w:i/>
                      <w:lang w:val="en-US" w:eastAsia="en-US"/>
                    </w:rPr>
                    <w:t>occ-Index</w:t>
                  </w:r>
                  <w:r>
                    <w:rPr>
                      <w:rFonts w:eastAsia="SimSun"/>
                      <w:lang w:val="en-US" w:eastAsia="en-US"/>
                    </w:rPr>
                    <w:t xml:space="preserve">, and a first symbol for the PUCCH transmission provided by </w:t>
                  </w:r>
                  <w:r>
                    <w:rPr>
                      <w:rFonts w:eastAsia="SimSun"/>
                      <w:i/>
                      <w:lang w:val="en-US"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Pr>
                      <w:rFonts w:eastAsia="SimSun"/>
                      <w:lang w:val="en-US" w:eastAsia="en-US"/>
                    </w:rPr>
                    <w:t xml:space="preserve"> provided by </w:t>
                  </w:r>
                  <w:r>
                    <w:rPr>
                      <w:rFonts w:eastAsia="SimSun"/>
                      <w:i/>
                      <w:lang w:val="en-US" w:eastAsia="en-US"/>
                    </w:rPr>
                    <w:t>nrofPRBs</w:t>
                  </w:r>
                  <w:r>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Pr>
                      <w:rFonts w:eastAsia="SimSun"/>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Heading3"/>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ListParagraph"/>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Pr>
          <w:rFonts w:eastAsia="SimSun"/>
          <w:lang w:eastAsia="en-US"/>
        </w:rPr>
        <w:t xml:space="preserve"> </w:t>
      </w:r>
      <w:r>
        <w:rPr>
          <w:rFonts w:eastAsia="SimSun"/>
          <w:lang w:val="en-US" w:eastAsia="en-US"/>
        </w:rPr>
        <w:t xml:space="preserve">provided by </w:t>
      </w:r>
      <w:r>
        <w:rPr>
          <w:rFonts w:eastAsia="SimSun"/>
          <w:i/>
          <w:lang w:eastAsia="en-US"/>
        </w:rPr>
        <w:t>nrofPRBs</w:t>
      </w:r>
      <w:r>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Pr>
          <w:rFonts w:eastAsia="SimSun"/>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TableGri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BodyText"/>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BodyText"/>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BodyText"/>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BodyText"/>
              <w:spacing w:after="0"/>
              <w:ind w:right="27"/>
              <w:rPr>
                <w:sz w:val="20"/>
                <w:szCs w:val="20"/>
              </w:rPr>
            </w:pPr>
            <w:r>
              <w:rPr>
                <w:sz w:val="20"/>
                <w:szCs w:val="20"/>
              </w:rPr>
              <w:t>Nokia, NSB</w:t>
            </w:r>
          </w:p>
        </w:tc>
        <w:tc>
          <w:tcPr>
            <w:tcW w:w="7564" w:type="dxa"/>
          </w:tcPr>
          <w:p w14:paraId="2B2E00DF" w14:textId="77777777" w:rsidR="00916B3B" w:rsidRDefault="00D56752">
            <w:pPr>
              <w:pStyle w:val="BodyText"/>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BodyText"/>
              <w:spacing w:after="0"/>
              <w:ind w:right="27"/>
              <w:rPr>
                <w:lang w:val="en-US"/>
              </w:rPr>
            </w:pPr>
            <w:r>
              <w:rPr>
                <w:lang w:val="en-US"/>
              </w:rPr>
              <w:t>Lenovo</w:t>
            </w:r>
          </w:p>
        </w:tc>
        <w:tc>
          <w:tcPr>
            <w:tcW w:w="7564" w:type="dxa"/>
          </w:tcPr>
          <w:p w14:paraId="5AC8412F" w14:textId="2F9783C6" w:rsidR="00FD7508" w:rsidRDefault="00FD7508">
            <w:pPr>
              <w:pStyle w:val="BodyText"/>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BodyText"/>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BodyText"/>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BodyText"/>
              <w:spacing w:after="0"/>
              <w:ind w:right="27"/>
              <w:rPr>
                <w:rFonts w:hint="eastAsia"/>
              </w:rPr>
            </w:pPr>
            <w:r>
              <w:t>Samsung</w:t>
            </w:r>
          </w:p>
        </w:tc>
        <w:tc>
          <w:tcPr>
            <w:tcW w:w="7564" w:type="dxa"/>
          </w:tcPr>
          <w:p w14:paraId="75FA4E43" w14:textId="7F2C05D7" w:rsidR="00E01504" w:rsidRDefault="00E01504" w:rsidP="00426BF3">
            <w:pPr>
              <w:pStyle w:val="BodyText"/>
              <w:spacing w:after="0"/>
              <w:ind w:right="27"/>
            </w:pPr>
            <w:r>
              <w:t xml:space="preserve">We are ok with the TP. </w:t>
            </w:r>
            <w:bookmarkStart w:id="34" w:name="_GoBack"/>
            <w:bookmarkEnd w:id="34"/>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Heading1"/>
        <w:ind w:left="1170" w:hanging="1170"/>
      </w:pPr>
      <w:r>
        <w:t>4</w:t>
      </w:r>
      <w:r>
        <w:tab/>
        <w:t>Potential Coverage Imbalance between PF2/3 and PF4</w:t>
      </w:r>
    </w:p>
    <w:p w14:paraId="7D1AC2CA" w14:textId="77777777" w:rsidR="00916B3B" w:rsidRDefault="00D56752">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lastRenderedPageBreak/>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SimSun" w:hint="eastAsia"/>
                <w:b/>
                <w:kern w:val="2"/>
                <w:szCs w:val="24"/>
                <w:lang w:eastAsia="zh-CN"/>
              </w:rPr>
              <w:t>P</w:t>
            </w:r>
            <w:r>
              <w:rPr>
                <w:rFonts w:eastAsia="SimSun"/>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SimSun" w:hint="eastAsia"/>
                <w:b/>
                <w:bCs/>
                <w:lang w:val="en-US" w:eastAsia="zh-CN"/>
              </w:rPr>
              <w:t>Observation 1</w:t>
            </w:r>
            <w:r>
              <w:rPr>
                <w:rFonts w:eastAsia="SimSun"/>
                <w:b/>
                <w:bCs/>
                <w:lang w:val="en-US" w:eastAsia="zh-CN"/>
              </w:rPr>
              <w:t>:</w:t>
            </w:r>
            <w:r>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SimSun"/>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ListParagraph"/>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BodyText"/>
              <w:spacing w:after="0"/>
              <w:ind w:right="27"/>
              <w:rPr>
                <w:sz w:val="20"/>
                <w:szCs w:val="20"/>
              </w:rPr>
            </w:pPr>
            <w:r>
              <w:rPr>
                <w:sz w:val="20"/>
                <w:szCs w:val="20"/>
              </w:rPr>
              <w:t>Nokia, NSB</w:t>
            </w:r>
          </w:p>
        </w:tc>
        <w:tc>
          <w:tcPr>
            <w:tcW w:w="7560" w:type="dxa"/>
          </w:tcPr>
          <w:p w14:paraId="6A70B060" w14:textId="77777777" w:rsidR="00916B3B" w:rsidRDefault="00D56752">
            <w:pPr>
              <w:pStyle w:val="BodyText"/>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BodyText"/>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BodyText"/>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BodyText"/>
              <w:spacing w:after="0"/>
              <w:ind w:right="27"/>
              <w:rPr>
                <w:lang w:val="en-US"/>
              </w:rPr>
            </w:pPr>
            <w:r>
              <w:rPr>
                <w:lang w:val="en-US"/>
              </w:rPr>
              <w:lastRenderedPageBreak/>
              <w:t>Lenovo</w:t>
            </w:r>
          </w:p>
        </w:tc>
        <w:tc>
          <w:tcPr>
            <w:tcW w:w="7560" w:type="dxa"/>
          </w:tcPr>
          <w:p w14:paraId="0001F00E" w14:textId="34BFD71B" w:rsidR="007208A5" w:rsidRDefault="007208A5">
            <w:pPr>
              <w:pStyle w:val="BodyText"/>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BodyText"/>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SimSun"/>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w:t>
            </w:r>
            <w:proofErr w:type="spellStart"/>
            <w:r w:rsidRPr="008F01C8">
              <w:rPr>
                <w:rFonts w:ascii="Arial" w:eastAsiaTheme="minorEastAsia" w:hAnsi="Arial"/>
                <w:sz w:val="20"/>
                <w:lang w:eastAsia="zh-CN"/>
              </w:rPr>
              <w:t>gNB</w:t>
            </w:r>
            <w:proofErr w:type="spellEnd"/>
            <w:r w:rsidRPr="008F01C8">
              <w:rPr>
                <w:rFonts w:ascii="Arial" w:eastAsiaTheme="minorEastAsia" w:hAnsi="Arial"/>
                <w:sz w:val="20"/>
                <w:lang w:eastAsia="zh-CN"/>
              </w:rPr>
              <w:t xml:space="preserve"> implementation. For example, for PF3, even if the lowest code rate, i.e. r=0.08, and </w:t>
            </w:r>
            <w:proofErr w:type="spellStart"/>
            <w:r w:rsidRPr="008F01C8">
              <w:rPr>
                <w:rFonts w:ascii="Arial" w:eastAsiaTheme="minorEastAsia" w:hAnsi="Arial"/>
                <w:sz w:val="20"/>
                <w:lang w:eastAsia="zh-CN"/>
              </w:rPr>
              <w:t>Qm</w:t>
            </w:r>
            <w:proofErr w:type="spellEnd"/>
            <w:r w:rsidRPr="008F01C8">
              <w:rPr>
                <w:rFonts w:ascii="Arial" w:eastAsiaTheme="minorEastAsia" w:hAnsi="Arial"/>
                <w:sz w:val="20"/>
                <w:lang w:eastAsia="zh-CN"/>
              </w:rPr>
              <w:t xml:space="preserve">=1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BodyText"/>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has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bl>
    <w:p w14:paraId="76910BA1" w14:textId="77777777" w:rsidR="00916B3B" w:rsidRDefault="00916B3B">
      <w:pPr>
        <w:pStyle w:val="BodyText"/>
      </w:pPr>
    </w:p>
    <w:p w14:paraId="35780458" w14:textId="77777777" w:rsidR="00916B3B" w:rsidRDefault="00916B3B"/>
    <w:p w14:paraId="584B6A53" w14:textId="77777777" w:rsidR="00916B3B" w:rsidRDefault="00D56752">
      <w:pPr>
        <w:pStyle w:val="Heading1"/>
      </w:pPr>
      <w:bookmarkStart w:id="35" w:name="_Toc79688492"/>
      <w:bookmarkStart w:id="36" w:name="_Toc71910541"/>
      <w:bookmarkStart w:id="37" w:name="_Toc79688798"/>
      <w:r>
        <w:t>References</w:t>
      </w:r>
      <w:bookmarkEnd w:id="13"/>
      <w:bookmarkEnd w:id="14"/>
      <w:bookmarkEnd w:id="15"/>
      <w:bookmarkEnd w:id="16"/>
      <w:bookmarkEnd w:id="17"/>
      <w:bookmarkEnd w:id="18"/>
      <w:bookmarkEnd w:id="19"/>
      <w:bookmarkEnd w:id="20"/>
      <w:bookmarkEnd w:id="21"/>
      <w:bookmarkEnd w:id="22"/>
      <w:bookmarkEnd w:id="35"/>
      <w:bookmarkEnd w:id="36"/>
      <w:bookmarkEnd w:id="37"/>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8" w:name="_Ref79501119"/>
      <w:r>
        <w:t>R1-2200403, "FL Summary for [107bis-e-R17-52-71GHz-03] Email discussion/approval on enhancements for PUCCH formats 0/1/4," Moderator (Ericsson), RAN1#107bis-e, January 2022.</w:t>
      </w:r>
      <w:bookmarkEnd w:id="38"/>
    </w:p>
    <w:p w14:paraId="4DE99BD4" w14:textId="77777777" w:rsidR="00916B3B" w:rsidRDefault="00D56752">
      <w:pPr>
        <w:pStyle w:val="Reference"/>
        <w:spacing w:after="0" w:line="240" w:lineRule="auto"/>
      </w:pPr>
      <w:bookmarkStart w:id="39" w:name="_Ref95827363"/>
      <w:r>
        <w:t>R1-2200954</w:t>
      </w:r>
      <w:r>
        <w:tab/>
        <w:t>Remaining issues of PUCCH enhancement for 52-71GHz spectrum</w:t>
      </w:r>
      <w:r>
        <w:tab/>
        <w:t>Huawei, HiSilicon</w:t>
      </w:r>
      <w:bookmarkEnd w:id="39"/>
    </w:p>
    <w:p w14:paraId="160BF3ED" w14:textId="77777777" w:rsidR="00916B3B" w:rsidRDefault="00D56752">
      <w:pPr>
        <w:pStyle w:val="Reference"/>
        <w:spacing w:after="0" w:line="240" w:lineRule="auto"/>
      </w:pPr>
      <w:bookmarkStart w:id="40" w:name="_Ref95824493"/>
      <w:r>
        <w:t>R1-2201034</w:t>
      </w:r>
      <w:r>
        <w:tab/>
        <w:t>Remaining issues for enhanced PUCCH formats 0/1/4</w:t>
      </w:r>
      <w:r>
        <w:tab/>
        <w:t>InterDigital, Inc.</w:t>
      </w:r>
      <w:bookmarkEnd w:id="40"/>
    </w:p>
    <w:p w14:paraId="639991C1" w14:textId="77777777" w:rsidR="00916B3B" w:rsidRDefault="00D56752">
      <w:pPr>
        <w:pStyle w:val="Reference"/>
        <w:spacing w:after="0" w:line="240" w:lineRule="auto"/>
      </w:pPr>
      <w:bookmarkStart w:id="41" w:name="_Ref95823875"/>
      <w:r>
        <w:t>R1-2201267</w:t>
      </w:r>
      <w:r>
        <w:tab/>
        <w:t>Discussion on remaining issue for enhancements for PUCCH format 0/1/4</w:t>
      </w:r>
      <w:r>
        <w:tab/>
        <w:t>OPPO</w:t>
      </w:r>
      <w:bookmarkEnd w:id="41"/>
    </w:p>
    <w:p w14:paraId="15797DF8" w14:textId="77777777" w:rsidR="00916B3B" w:rsidRDefault="00D56752">
      <w:pPr>
        <w:pStyle w:val="Reference"/>
        <w:spacing w:after="0" w:line="240" w:lineRule="auto"/>
      </w:pPr>
      <w:bookmarkStart w:id="42" w:name="_Ref95824166"/>
      <w:r>
        <w:t>R1-2201390</w:t>
      </w:r>
      <w:r>
        <w:tab/>
        <w:t>Remaining issues on the PUCCH enhancements for 52.6 to 71GHz</w:t>
      </w:r>
      <w:r>
        <w:tab/>
        <w:t>ZTE, Sanechips</w:t>
      </w:r>
      <w:bookmarkEnd w:id="42"/>
    </w:p>
    <w:p w14:paraId="70E2594D" w14:textId="77777777" w:rsidR="00916B3B" w:rsidRDefault="00D56752">
      <w:pPr>
        <w:pStyle w:val="Reference"/>
        <w:spacing w:after="0" w:line="240" w:lineRule="auto"/>
      </w:pPr>
      <w:bookmarkStart w:id="43" w:name="_Ref95824538"/>
      <w:r>
        <w:t>R1-2201736</w:t>
      </w:r>
      <w:r>
        <w:tab/>
        <w:t>PUCCH enhancements</w:t>
      </w:r>
      <w:r>
        <w:tab/>
        <w:t>Ericsson</w:t>
      </w:r>
      <w:bookmarkEnd w:id="43"/>
    </w:p>
    <w:p w14:paraId="3688C061" w14:textId="77777777" w:rsidR="00916B3B" w:rsidRDefault="00916B3B">
      <w:pPr>
        <w:pStyle w:val="BodyText"/>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8E1E9" w14:textId="77777777" w:rsidR="00831C7A" w:rsidRDefault="00831C7A">
      <w:pPr>
        <w:spacing w:line="240" w:lineRule="auto"/>
      </w:pPr>
      <w:r>
        <w:separator/>
      </w:r>
    </w:p>
  </w:endnote>
  <w:endnote w:type="continuationSeparator" w:id="0">
    <w:p w14:paraId="242CB298" w14:textId="77777777" w:rsidR="00831C7A" w:rsidRDefault="00831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43C1" w14:textId="413A0A99" w:rsidR="00916B3B" w:rsidRDefault="00D56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1504">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1504">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9B770" w14:textId="77777777" w:rsidR="00831C7A" w:rsidRDefault="00831C7A">
      <w:pPr>
        <w:spacing w:after="0"/>
      </w:pPr>
      <w:r>
        <w:separator/>
      </w:r>
    </w:p>
  </w:footnote>
  <w:footnote w:type="continuationSeparator" w:id="0">
    <w:p w14:paraId="586897BA" w14:textId="77777777" w:rsidR="00831C7A" w:rsidRDefault="00831C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2307" w14:textId="77777777" w:rsidR="00916B3B" w:rsidRDefault="00D567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B3AD7F-F9FB-456E-9F0A-E094D9D6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7</Pages>
  <Words>2577</Words>
  <Characters>14128</Characters>
  <Application>Microsoft Office Word</Application>
  <DocSecurity>0</DocSecurity>
  <Lines>117</Lines>
  <Paragraphs>33</Paragraphs>
  <ScaleCrop>false</ScaleCrop>
  <Company>Ericsson</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Hongbo Si</cp:lastModifiedBy>
  <cp:revision>5</cp:revision>
  <cp:lastPrinted>2008-01-30T21:09:00Z</cp:lastPrinted>
  <dcterms:created xsi:type="dcterms:W3CDTF">2022-02-22T14:15:00Z</dcterms:created>
  <dcterms:modified xsi:type="dcterms:W3CDTF">2022-02-22T16:54:00Z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