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0"/>
        <w:rPr>
          <w:rFonts w:cs="Arial"/>
          <w:b/>
          <w:color w:val="000000"/>
          <w:sz w:val="28"/>
          <w:szCs w:val="28"/>
        </w:rPr>
      </w:pPr>
      <w:r>
        <w:rPr>
          <w:rFonts w:cs="Arial"/>
          <w:b/>
          <w:color w:val="000000"/>
          <w:sz w:val="28"/>
          <w:szCs w:val="28"/>
        </w:rPr>
        <w:t>3GPP TSG RAN WG1 #108-e</w:t>
      </w:r>
      <w:r>
        <w:rPr>
          <w:rFonts w:cs="Arial"/>
          <w:b/>
          <w:color w:val="000000"/>
          <w:sz w:val="28"/>
          <w:szCs w:val="28"/>
        </w:rPr>
        <w:tab/>
      </w:r>
      <w:r>
        <w:rPr>
          <w:rFonts w:cs="Arial"/>
          <w:b/>
          <w:color w:val="000000"/>
          <w:sz w:val="28"/>
          <w:szCs w:val="28"/>
        </w:rPr>
        <w:tab/>
      </w:r>
      <w:r>
        <w:rPr>
          <w:rFonts w:cs="Arial"/>
          <w:b/>
          <w:color w:val="000000"/>
          <w:sz w:val="28"/>
          <w:szCs w:val="28"/>
        </w:rPr>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 xml:space="preserve">                 </w:t>
      </w:r>
      <w:r>
        <w:rPr>
          <w:rFonts w:cs="Arial"/>
          <w:b/>
          <w:color w:val="000000"/>
          <w:sz w:val="28"/>
          <w:szCs w:val="28"/>
          <w:highlight w:val="yellow"/>
        </w:rPr>
        <w:t>R1-2nnnnn</w:t>
      </w:r>
    </w:p>
    <w:p>
      <w:pPr>
        <w:snapToGrid w:val="0"/>
        <w:spacing w:after="0"/>
        <w:rPr>
          <w:rFonts w:cs="Arial"/>
          <w:b/>
          <w:color w:val="000000"/>
          <w:sz w:val="28"/>
          <w:szCs w:val="28"/>
        </w:rPr>
      </w:pPr>
      <w:r>
        <w:rPr>
          <w:rFonts w:cs="Arial"/>
          <w:b/>
          <w:color w:val="000000"/>
          <w:sz w:val="28"/>
          <w:szCs w:val="28"/>
        </w:rPr>
        <w:t>e-Meeting, February 21st – March 3rd, 2022</w:t>
      </w:r>
    </w:p>
    <w:p>
      <w:pPr>
        <w:snapToGrid w:val="0"/>
        <w:spacing w:after="0"/>
        <w:rPr>
          <w:rFonts w:cs="Arial"/>
          <w:b/>
          <w:color w:val="000000"/>
          <w:sz w:val="28"/>
          <w:szCs w:val="28"/>
        </w:rPr>
      </w:pPr>
    </w:p>
    <w:p>
      <w:pPr>
        <w:ind w:left="1800" w:hanging="1800"/>
        <w:rPr>
          <w:b/>
          <w:color w:val="000000"/>
          <w:sz w:val="24"/>
          <w:szCs w:val="24"/>
        </w:rPr>
      </w:pPr>
      <w:r>
        <w:rPr>
          <w:b/>
          <w:color w:val="000000"/>
          <w:sz w:val="24"/>
          <w:szCs w:val="24"/>
        </w:rPr>
        <w:t>Agenda Item:</w:t>
      </w:r>
      <w:r>
        <w:rPr>
          <w:b/>
          <w:color w:val="000000"/>
          <w:sz w:val="24"/>
          <w:szCs w:val="24"/>
        </w:rPr>
        <w:tab/>
      </w:r>
      <w:r>
        <w:rPr>
          <w:b/>
          <w:color w:val="000000"/>
          <w:sz w:val="24"/>
          <w:szCs w:val="24"/>
        </w:rPr>
        <w:t>8.16.16</w:t>
      </w:r>
    </w:p>
    <w:p>
      <w:pPr>
        <w:ind w:left="1800" w:hanging="1800"/>
        <w:rPr>
          <w:b/>
          <w:color w:val="000000"/>
          <w:sz w:val="24"/>
          <w:szCs w:val="24"/>
        </w:rPr>
      </w:pPr>
      <w:r>
        <w:rPr>
          <w:b/>
          <w:color w:val="000000"/>
          <w:sz w:val="24"/>
          <w:szCs w:val="24"/>
        </w:rPr>
        <w:t>Source:</w:t>
      </w:r>
      <w:r>
        <w:rPr>
          <w:b/>
          <w:color w:val="000000"/>
          <w:sz w:val="24"/>
          <w:szCs w:val="24"/>
        </w:rPr>
        <w:tab/>
      </w:r>
      <w:r>
        <w:rPr>
          <w:b/>
          <w:color w:val="000000"/>
          <w:sz w:val="24"/>
          <w:szCs w:val="24"/>
        </w:rPr>
        <w:t>Moderator (AT&amp;T)</w:t>
      </w:r>
    </w:p>
    <w:p>
      <w:pPr>
        <w:ind w:left="1800" w:hanging="1800"/>
        <w:rPr>
          <w:b/>
          <w:color w:val="000000"/>
          <w:sz w:val="24"/>
          <w:szCs w:val="24"/>
        </w:rPr>
      </w:pPr>
      <w:r>
        <w:rPr>
          <w:b/>
          <w:color w:val="000000"/>
          <w:sz w:val="24"/>
          <w:szCs w:val="24"/>
        </w:rPr>
        <w:t>Title:</w:t>
      </w:r>
      <w:r>
        <w:rPr>
          <w:b/>
          <w:color w:val="000000"/>
          <w:sz w:val="24"/>
          <w:szCs w:val="24"/>
        </w:rPr>
        <w:tab/>
      </w:r>
      <w:r>
        <w:rPr>
          <w:b/>
          <w:color w:val="000000"/>
          <w:sz w:val="24"/>
          <w:szCs w:val="24"/>
        </w:rPr>
        <w:t>Summary of UE features for DL 1024QAM for NR FR1</w:t>
      </w:r>
    </w:p>
    <w:p>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pPr>
        <w:pStyle w:val="47"/>
        <w:jc w:val="left"/>
        <w:rPr>
          <w:color w:val="000000"/>
          <w:sz w:val="16"/>
          <w:szCs w:val="16"/>
        </w:rPr>
      </w:pPr>
    </w:p>
    <w:p>
      <w:pPr>
        <w:pStyle w:val="2"/>
        <w:numPr>
          <w:ilvl w:val="0"/>
          <w:numId w:val="8"/>
        </w:numPr>
        <w:jc w:val="both"/>
        <w:rPr>
          <w:color w:val="000000"/>
        </w:rPr>
      </w:pPr>
      <w:r>
        <w:rPr>
          <w:color w:val="000000"/>
        </w:rPr>
        <w:t>Introduction</w:t>
      </w:r>
    </w:p>
    <w:p>
      <w:pPr>
        <w:pStyle w:val="40"/>
        <w:ind w:firstLine="180" w:firstLineChars="90"/>
        <w:rPr>
          <w:rFonts w:ascii="Calibri" w:hAnsi="Calibri" w:cs="Arial"/>
          <w:color w:val="000000"/>
        </w:rPr>
      </w:pPr>
      <w:r>
        <w:rPr>
          <w:rFonts w:ascii="Calibri" w:hAnsi="Calibri" w:cs="Arial"/>
          <w:color w:val="000000"/>
        </w:rPr>
        <w:t>This document presents the summary of email discussion/approval [108-e-R17-UE-features-1024QAM-01] during RAN1 #108-e. According to the Chairman’s Notes: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highlight w:val="cyan"/>
                <w:lang w:eastAsia="zh-CN"/>
              </w:rPr>
              <w:t xml:space="preserve">[108-e-R17-UE-features-1024QAM-01] Email discussion on UE features for </w:t>
            </w:r>
            <w:r>
              <w:rPr>
                <w:highlight w:val="cyan"/>
              </w:rPr>
              <w:t>DL 1024QAM for NR FR1 – Ralf (AT&amp;T)</w:t>
            </w:r>
          </w:p>
          <w:p>
            <w:pPr>
              <w:numPr>
                <w:ilvl w:val="0"/>
                <w:numId w:val="9"/>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9"/>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r>
              <w:rPr>
                <w:highlight w:val="cyan"/>
              </w:rPr>
              <w:br w:type="textWrapping"/>
            </w:r>
          </w:p>
        </w:tc>
      </w:tr>
    </w:tbl>
    <w:p>
      <w:pPr>
        <w:pStyle w:val="40"/>
        <w:ind w:firstLine="180" w:firstLineChars="90"/>
        <w:rPr>
          <w:rFonts w:ascii="Calibri" w:hAnsi="Calibri" w:cs="Calibri"/>
          <w:color w:val="000000"/>
        </w:rPr>
      </w:pPr>
      <w:r>
        <w:rPr>
          <w:rFonts w:ascii="Calibri" w:hAnsi="Calibri" w:cs="Calibri"/>
          <w:color w:val="000000"/>
        </w:rPr>
        <w:t xml:space="preserve">The following was discussed and/or agreed during RAN1 #108-e within the scope of [108-e-R17-UE-features-1024QAM-01].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w:instrText>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pPr>
        <w:pStyle w:val="2"/>
        <w:numPr>
          <w:ilvl w:val="0"/>
          <w:numId w:val="8"/>
        </w:numPr>
        <w:jc w:val="both"/>
        <w:rPr>
          <w:color w:val="000000"/>
        </w:rPr>
      </w:pPr>
      <w:r>
        <w:rPr>
          <w:color w:val="000000"/>
        </w:rPr>
        <w:t>Summary of Contributions Submitted to RAN1 #108-e</w:t>
      </w:r>
    </w:p>
    <w:p>
      <w:pPr>
        <w:pStyle w:val="40"/>
        <w:ind w:firstLine="180" w:firstLineChars="90"/>
        <w:rPr>
          <w:rFonts w:ascii="Calibri" w:hAnsi="Calibri" w:cs="Arial"/>
          <w:color w:val="000000"/>
        </w:rPr>
      </w:pPr>
      <w:r>
        <w:rPr>
          <w:rFonts w:ascii="Calibri" w:hAnsi="Calibri" w:cs="Arial"/>
        </w:rPr>
        <w:t xml:space="preserve">The following is the moderator’s summary </w:t>
      </w:r>
      <w:r>
        <w:rPr>
          <w:rFonts w:ascii="Calibri" w:hAnsi="Calibri" w:eastAsia="宋体" w:cs="Calibri"/>
          <w:lang w:eastAsia="zh-CN"/>
        </w:rPr>
        <w:t>of contributions submitted to RAN1 #108-e in this agenda item.</w:t>
      </w: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510"/>
        <w:gridCol w:w="1727"/>
        <w:gridCol w:w="6046"/>
        <w:gridCol w:w="1278"/>
        <w:gridCol w:w="527"/>
        <w:gridCol w:w="517"/>
        <w:gridCol w:w="1608"/>
        <w:gridCol w:w="746"/>
        <w:gridCol w:w="517"/>
        <w:gridCol w:w="1368"/>
        <w:gridCol w:w="517"/>
        <w:gridCol w:w="3482"/>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36. NR_DL1024QAM_FR1</w:t>
            </w:r>
          </w:p>
        </w:tc>
        <w:tc>
          <w:tcPr>
            <w:tcW w:w="0" w:type="auto"/>
            <w:shd w:val="clear" w:color="auto" w:fill="auto"/>
          </w:tcPr>
          <w:p>
            <w:pPr>
              <w:pStyle w:val="57"/>
              <w:rPr>
                <w:rFonts w:cs="Arial"/>
                <w:color w:val="000000"/>
                <w:szCs w:val="18"/>
              </w:rPr>
            </w:pPr>
            <w:r>
              <w:rPr>
                <w:rFonts w:cs="Arial"/>
                <w:color w:val="000000"/>
                <w:szCs w:val="18"/>
              </w:rPr>
              <w:t>36-1</w:t>
            </w:r>
          </w:p>
        </w:tc>
        <w:tc>
          <w:tcPr>
            <w:tcW w:w="0" w:type="auto"/>
            <w:shd w:val="clear" w:color="auto" w:fill="auto"/>
          </w:tcPr>
          <w:p>
            <w:pPr>
              <w:pStyle w:val="57"/>
              <w:rPr>
                <w:rFonts w:eastAsia="宋体" w:cs="Arial"/>
                <w:color w:val="000000"/>
                <w:szCs w:val="18"/>
                <w:lang w:eastAsia="zh-CN"/>
              </w:rPr>
            </w:pPr>
            <w:r>
              <w:rPr>
                <w:rFonts w:cs="Arial"/>
                <w:color w:val="000000"/>
              </w:rPr>
              <w:t>1024QAM for PDSCH for FR1</w:t>
            </w:r>
          </w:p>
        </w:tc>
        <w:tc>
          <w:tcPr>
            <w:tcW w:w="0" w:type="auto"/>
            <w:shd w:val="clear" w:color="auto" w:fill="auto"/>
          </w:tcPr>
          <w:p>
            <w:pPr>
              <w:autoSpaceDE w:val="0"/>
              <w:autoSpaceDN w:val="0"/>
              <w:adjustRightInd w:val="0"/>
              <w:snapToGrid w:val="0"/>
              <w:spacing w:afterLines="50"/>
              <w:contextualSpacing/>
              <w:rPr>
                <w:rFonts w:cs="Arial"/>
                <w:color w:val="000000"/>
                <w:sz w:val="18"/>
                <w:szCs w:val="18"/>
              </w:rPr>
            </w:pPr>
            <w:r>
              <w:rPr>
                <w:rFonts w:cs="Arial"/>
                <w:color w:val="000000"/>
                <w:sz w:val="18"/>
                <w:szCs w:val="18"/>
              </w:rPr>
              <w:t>Support 1024QAM for PDSCH for FR1 including 1024QAM modulation scheme as defined in TS 38.211, MCS and CQI feedback tables based on 1024QAM modulation order as defined in TS 38.214.</w:t>
            </w:r>
          </w:p>
          <w:p>
            <w:pPr>
              <w:autoSpaceDE w:val="0"/>
              <w:autoSpaceDN w:val="0"/>
              <w:adjustRightInd w:val="0"/>
              <w:snapToGrid w:val="0"/>
              <w:contextualSpacing/>
              <w:rPr>
                <w:rFonts w:cs="Arial"/>
                <w:color w:val="000000"/>
                <w:sz w:val="18"/>
                <w:szCs w:val="18"/>
              </w:rPr>
            </w:pPr>
          </w:p>
          <w:p>
            <w:pPr>
              <w:autoSpaceDE w:val="0"/>
              <w:autoSpaceDN w:val="0"/>
              <w:adjustRightInd w:val="0"/>
              <w:snapToGrid w:val="0"/>
              <w:contextualSpacing/>
              <w:rPr>
                <w:rFonts w:cs="Arial"/>
                <w:color w:val="000000"/>
                <w:sz w:val="18"/>
                <w:szCs w:val="18"/>
              </w:rPr>
            </w:pPr>
          </w:p>
        </w:tc>
        <w:tc>
          <w:tcPr>
            <w:tcW w:w="0" w:type="auto"/>
            <w:shd w:val="clear" w:color="auto" w:fill="auto"/>
          </w:tcPr>
          <w:p>
            <w:pPr>
              <w:pStyle w:val="57"/>
              <w:rPr>
                <w:rFonts w:eastAsia="ＭＳ 明朝" w:cs="Arial"/>
                <w:color w:val="000000"/>
                <w:szCs w:val="18"/>
              </w:rPr>
            </w:pPr>
            <w:r>
              <w:rPr>
                <w:rFonts w:eastAsia="ＭＳ 明朝" w:cs="Arial"/>
                <w:color w:val="000000"/>
                <w:szCs w:val="18"/>
              </w:rPr>
              <w:t>pdsch-256QAM-FR1</w:t>
            </w:r>
          </w:p>
        </w:tc>
        <w:tc>
          <w:tcPr>
            <w:tcW w:w="0" w:type="auto"/>
            <w:shd w:val="clear" w:color="auto" w:fill="auto"/>
          </w:tcPr>
          <w:p>
            <w:pPr>
              <w:pStyle w:val="57"/>
              <w:rPr>
                <w:rFonts w:cs="Arial"/>
                <w:color w:val="000000"/>
                <w:szCs w:val="18"/>
              </w:rPr>
            </w:pPr>
            <w:r>
              <w:rPr>
                <w:rFonts w:cs="Arial"/>
                <w:color w:val="000000"/>
                <w:szCs w:val="18"/>
              </w:rPr>
              <w:t>Yes</w:t>
            </w:r>
          </w:p>
        </w:tc>
        <w:tc>
          <w:tcPr>
            <w:tcW w:w="0" w:type="auto"/>
            <w:shd w:val="clear" w:color="auto" w:fill="auto"/>
          </w:tcPr>
          <w:p>
            <w:pPr>
              <w:pStyle w:val="57"/>
              <w:rPr>
                <w:rFonts w:cs="Arial"/>
                <w:color w:val="000000"/>
                <w:szCs w:val="18"/>
              </w:rPr>
            </w:pPr>
            <w:r>
              <w:rPr>
                <w:rFonts w:cs="Arial"/>
                <w:color w:val="000000"/>
                <w:szCs w:val="18"/>
              </w:rPr>
              <w:t>N/A</w:t>
            </w:r>
          </w:p>
        </w:tc>
        <w:tc>
          <w:tcPr>
            <w:tcW w:w="0" w:type="auto"/>
            <w:shd w:val="clear" w:color="auto" w:fill="auto"/>
          </w:tcPr>
          <w:p>
            <w:pPr>
              <w:pStyle w:val="57"/>
              <w:rPr>
                <w:rFonts w:cs="Arial"/>
                <w:color w:val="000000"/>
                <w:szCs w:val="18"/>
              </w:rPr>
            </w:pPr>
            <w:r>
              <w:rPr>
                <w:rFonts w:cs="Arial"/>
                <w:color w:val="000000"/>
                <w:szCs w:val="18"/>
              </w:rPr>
              <w:t>No support of 1024 QAM for PDSCH</w:t>
            </w:r>
          </w:p>
        </w:tc>
        <w:tc>
          <w:tcPr>
            <w:tcW w:w="0" w:type="auto"/>
            <w:shd w:val="clear" w:color="auto" w:fill="auto"/>
          </w:tcPr>
          <w:p>
            <w:pPr>
              <w:pStyle w:val="57"/>
              <w:rPr>
                <w:rFonts w:cs="Arial"/>
                <w:color w:val="000000"/>
                <w:szCs w:val="18"/>
              </w:rPr>
            </w:pPr>
            <w:r>
              <w:rPr>
                <w:rFonts w:cs="Arial"/>
                <w:color w:val="000000"/>
                <w:szCs w:val="18"/>
              </w:rPr>
              <w:t>Per Band</w:t>
            </w:r>
          </w:p>
        </w:tc>
        <w:tc>
          <w:tcPr>
            <w:tcW w:w="0" w:type="auto"/>
            <w:shd w:val="clear" w:color="auto" w:fill="auto"/>
          </w:tcPr>
          <w:p>
            <w:pPr>
              <w:pStyle w:val="57"/>
              <w:rPr>
                <w:rFonts w:cs="Arial"/>
                <w:color w:val="000000"/>
                <w:szCs w:val="18"/>
              </w:rPr>
            </w:pPr>
            <w:r>
              <w:rPr>
                <w:rFonts w:cs="Arial"/>
                <w:color w:val="000000"/>
                <w:szCs w:val="18"/>
              </w:rPr>
              <w:t>N/A</w:t>
            </w:r>
          </w:p>
        </w:tc>
        <w:tc>
          <w:tcPr>
            <w:tcW w:w="0" w:type="auto"/>
            <w:shd w:val="clear" w:color="auto" w:fill="auto"/>
          </w:tcPr>
          <w:p>
            <w:pPr>
              <w:pStyle w:val="57"/>
              <w:rPr>
                <w:rFonts w:cs="Arial"/>
                <w:color w:val="000000"/>
                <w:szCs w:val="18"/>
              </w:rPr>
            </w:pPr>
            <w:r>
              <w:rPr>
                <w:rFonts w:cs="Arial"/>
                <w:color w:val="000000"/>
                <w:szCs w:val="18"/>
              </w:rPr>
              <w:t>Applicable only to FR1</w:t>
            </w:r>
          </w:p>
        </w:tc>
        <w:tc>
          <w:tcPr>
            <w:tcW w:w="0" w:type="auto"/>
            <w:shd w:val="clear" w:color="auto" w:fill="auto"/>
          </w:tcPr>
          <w:p>
            <w:pPr>
              <w:pStyle w:val="57"/>
              <w:rPr>
                <w:rFonts w:cs="Arial"/>
                <w:color w:val="000000"/>
                <w:szCs w:val="18"/>
              </w:rPr>
            </w:pPr>
            <w:r>
              <w:rPr>
                <w:rFonts w:cs="Arial"/>
                <w:color w:val="000000"/>
                <w:szCs w:val="18"/>
              </w:rPr>
              <w:t>N/A</w:t>
            </w:r>
          </w:p>
        </w:tc>
        <w:tc>
          <w:tcPr>
            <w:tcW w:w="0" w:type="auto"/>
            <w:shd w:val="clear" w:color="auto" w:fill="auto"/>
          </w:tcPr>
          <w:p>
            <w:pPr>
              <w:spacing w:after="180"/>
              <w:rPr>
                <w:rFonts w:eastAsia="游明朝" w:cs="Arial"/>
                <w:color w:val="000000"/>
                <w:sz w:val="18"/>
                <w:szCs w:val="18"/>
                <w:lang w:eastAsia="sv-SE"/>
              </w:rPr>
            </w:pPr>
            <w:r>
              <w:rPr>
                <w:rFonts w:eastAsia="游明朝" w:cs="Arial"/>
                <w:color w:val="000000"/>
                <w:sz w:val="18"/>
                <w:szCs w:val="18"/>
                <w:lang w:eastAsia="sv-SE"/>
              </w:rPr>
              <w:t>Note from WI objective: DL PDSCH 1024QAM for FR1 should be defined as a per-band UE capability</w:t>
            </w:r>
          </w:p>
        </w:tc>
        <w:tc>
          <w:tcPr>
            <w:tcW w:w="0" w:type="auto"/>
            <w:shd w:val="clear" w:color="auto" w:fill="auto"/>
          </w:tcPr>
          <w:p>
            <w:pPr>
              <w:pStyle w:val="57"/>
              <w:rPr>
                <w:rFonts w:cs="Arial"/>
                <w:color w:val="000000"/>
                <w:szCs w:val="18"/>
              </w:rPr>
            </w:pPr>
            <w:r>
              <w:rPr>
                <w:rFonts w:cs="Arial"/>
                <w:color w:val="000000"/>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36. NR_DL1024QAM_FR1</w:t>
            </w:r>
          </w:p>
        </w:tc>
        <w:tc>
          <w:tcPr>
            <w:tcW w:w="0" w:type="auto"/>
            <w:shd w:val="clear" w:color="auto" w:fill="auto"/>
          </w:tcPr>
          <w:p>
            <w:pPr>
              <w:pStyle w:val="57"/>
              <w:rPr>
                <w:rFonts w:cs="Arial"/>
                <w:color w:val="000000"/>
                <w:szCs w:val="18"/>
              </w:rPr>
            </w:pPr>
            <w:r>
              <w:rPr>
                <w:rFonts w:cs="Arial"/>
                <w:color w:val="000000"/>
                <w:szCs w:val="18"/>
              </w:rPr>
              <w:t>36-2</w:t>
            </w:r>
          </w:p>
        </w:tc>
        <w:tc>
          <w:tcPr>
            <w:tcW w:w="0" w:type="auto"/>
            <w:shd w:val="clear" w:color="auto" w:fill="auto"/>
          </w:tcPr>
          <w:p>
            <w:pPr>
              <w:pStyle w:val="57"/>
              <w:rPr>
                <w:rFonts w:cs="Arial"/>
                <w:color w:val="000000"/>
                <w:szCs w:val="18"/>
              </w:rPr>
            </w:pPr>
            <w:r>
              <w:rPr>
                <w:rFonts w:cs="Arial"/>
                <w:color w:val="000000"/>
                <w:szCs w:val="18"/>
              </w:rPr>
              <w:t>scalingFactor for 1024QAM</w:t>
            </w:r>
          </w:p>
        </w:tc>
        <w:tc>
          <w:tcPr>
            <w:tcW w:w="0" w:type="auto"/>
            <w:shd w:val="clear" w:color="auto" w:fill="auto"/>
          </w:tcPr>
          <w:p>
            <w:pPr>
              <w:pStyle w:val="57"/>
              <w:rPr>
                <w:rFonts w:cs="Arial"/>
                <w:color w:val="000000"/>
                <w:szCs w:val="18"/>
              </w:rPr>
            </w:pPr>
            <w:r>
              <w:rPr>
                <w:rFonts w:cs="Arial"/>
                <w:color w:val="000000"/>
                <w:szCs w:val="18"/>
              </w:rPr>
              <w:t>Indicates the scaling factor to be applied to the band in the max data rate calculation as defined in 4.1.2 when support of 1024-QAM is signalled for the band</w:t>
            </w:r>
          </w:p>
        </w:tc>
        <w:tc>
          <w:tcPr>
            <w:tcW w:w="0" w:type="auto"/>
            <w:shd w:val="clear" w:color="auto" w:fill="auto"/>
          </w:tcPr>
          <w:p>
            <w:pPr>
              <w:pStyle w:val="57"/>
              <w:rPr>
                <w:rFonts w:cs="Arial"/>
                <w:color w:val="000000"/>
                <w:szCs w:val="18"/>
              </w:rPr>
            </w:pPr>
            <w:r>
              <w:rPr>
                <w:rFonts w:cs="Arial"/>
                <w:color w:val="000000"/>
                <w:szCs w:val="18"/>
              </w:rPr>
              <w:t>36-1</w:t>
            </w:r>
          </w:p>
        </w:tc>
        <w:tc>
          <w:tcPr>
            <w:tcW w:w="0" w:type="auto"/>
            <w:shd w:val="clear" w:color="auto" w:fill="auto"/>
          </w:tcPr>
          <w:p>
            <w:pPr>
              <w:pStyle w:val="57"/>
              <w:rPr>
                <w:rFonts w:cs="Arial"/>
                <w:color w:val="000000"/>
                <w:szCs w:val="18"/>
              </w:rPr>
            </w:pPr>
            <w:r>
              <w:rPr>
                <w:rFonts w:cs="Arial"/>
                <w:color w:val="000000"/>
                <w:szCs w:val="18"/>
              </w:rPr>
              <w:t>Yes</w:t>
            </w:r>
          </w:p>
        </w:tc>
        <w:tc>
          <w:tcPr>
            <w:tcW w:w="0" w:type="auto"/>
            <w:shd w:val="clear" w:color="auto" w:fill="auto"/>
          </w:tcPr>
          <w:p>
            <w:pPr>
              <w:pStyle w:val="57"/>
              <w:rPr>
                <w:rFonts w:cs="Arial"/>
                <w:color w:val="000000"/>
                <w:szCs w:val="18"/>
              </w:rPr>
            </w:pPr>
            <w:r>
              <w:rPr>
                <w:rFonts w:cs="Arial"/>
                <w:color w:val="000000"/>
                <w:szCs w:val="18"/>
              </w:rPr>
              <w:t>N/A</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Per FS</w:t>
            </w:r>
          </w:p>
        </w:tc>
        <w:tc>
          <w:tcPr>
            <w:tcW w:w="0" w:type="auto"/>
            <w:shd w:val="clear" w:color="auto" w:fill="auto"/>
          </w:tcPr>
          <w:p>
            <w:pPr>
              <w:pStyle w:val="57"/>
              <w:rPr>
                <w:rFonts w:cs="Arial"/>
                <w:color w:val="000000"/>
                <w:szCs w:val="18"/>
              </w:rPr>
            </w:pPr>
            <w:r>
              <w:rPr>
                <w:rFonts w:cs="Arial"/>
                <w:color w:val="000000"/>
                <w:szCs w:val="18"/>
              </w:rPr>
              <w:t>N/A</w:t>
            </w:r>
          </w:p>
        </w:tc>
        <w:tc>
          <w:tcPr>
            <w:tcW w:w="0" w:type="auto"/>
            <w:shd w:val="clear" w:color="auto" w:fill="auto"/>
          </w:tcPr>
          <w:p>
            <w:pPr>
              <w:pStyle w:val="57"/>
              <w:rPr>
                <w:rFonts w:cs="Arial"/>
                <w:color w:val="000000"/>
                <w:szCs w:val="18"/>
              </w:rPr>
            </w:pPr>
            <w:r>
              <w:rPr>
                <w:rFonts w:cs="Arial"/>
                <w:color w:val="000000"/>
                <w:szCs w:val="18"/>
              </w:rPr>
              <w:t>Applicable only to FR1</w:t>
            </w:r>
          </w:p>
        </w:tc>
        <w:tc>
          <w:tcPr>
            <w:tcW w:w="0" w:type="auto"/>
            <w:shd w:val="clear" w:color="auto" w:fill="auto"/>
          </w:tcPr>
          <w:p>
            <w:pPr>
              <w:pStyle w:val="57"/>
              <w:rPr>
                <w:rFonts w:cs="Arial"/>
                <w:color w:val="000000"/>
                <w:szCs w:val="18"/>
              </w:rPr>
            </w:pPr>
            <w:r>
              <w:rPr>
                <w:rFonts w:cs="Arial"/>
                <w:color w:val="000000"/>
                <w:szCs w:val="18"/>
              </w:rPr>
              <w:t>N/A</w:t>
            </w:r>
          </w:p>
        </w:tc>
        <w:tc>
          <w:tcPr>
            <w:tcW w:w="0" w:type="auto"/>
            <w:shd w:val="clear" w:color="auto" w:fill="auto"/>
          </w:tcPr>
          <w:p>
            <w:pPr>
              <w:pStyle w:val="57"/>
              <w:rPr>
                <w:rFonts w:cs="Arial"/>
                <w:color w:val="000000"/>
                <w:szCs w:val="18"/>
              </w:rPr>
            </w:pPr>
            <w:r>
              <w:rPr>
                <w:rFonts w:cs="Arial"/>
                <w:color w:val="000000"/>
                <w:szCs w:val="18"/>
              </w:rPr>
              <w:t xml:space="preserve">Candidate component values: </w:t>
            </w:r>
          </w:p>
          <w:p>
            <w:pPr>
              <w:pStyle w:val="57"/>
              <w:rPr>
                <w:rFonts w:cs="Arial"/>
                <w:color w:val="000000"/>
                <w:szCs w:val="18"/>
              </w:rPr>
            </w:pPr>
            <w:r>
              <w:rPr>
                <w:rFonts w:cs="Arial"/>
                <w:color w:val="000000"/>
                <w:szCs w:val="18"/>
              </w:rPr>
              <w:t>{0.4, 0.75, 0.8, 1.0}</w:t>
            </w:r>
          </w:p>
        </w:tc>
        <w:tc>
          <w:tcPr>
            <w:tcW w:w="0" w:type="auto"/>
            <w:shd w:val="clear" w:color="auto" w:fill="auto"/>
          </w:tcPr>
          <w:p>
            <w:pPr>
              <w:pStyle w:val="57"/>
              <w:rPr>
                <w:rFonts w:cs="Arial"/>
                <w:color w:val="000000"/>
                <w:szCs w:val="18"/>
              </w:rPr>
            </w:pPr>
            <w:r>
              <w:rPr>
                <w:rFonts w:cs="Arial"/>
                <w:color w:val="000000"/>
                <w:szCs w:val="18"/>
              </w:rPr>
              <w:t>Optional with capability signaling</w:t>
            </w:r>
          </w:p>
        </w:tc>
      </w:tr>
    </w:tbl>
    <w:p>
      <w:pPr>
        <w:pStyle w:val="40"/>
        <w:ind w:firstLine="180" w:firstLineChars="90"/>
        <w:rPr>
          <w:rFonts w:ascii="Calibri" w:hAnsi="Calibri" w:cs="Arial"/>
          <w:color w:val="000000"/>
        </w:rPr>
      </w:pPr>
    </w:p>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olor w:val="000000"/>
                <w:lang w:eastAsia="ko-KR"/>
              </w:rPr>
              <w:t xml:space="preserve">Ericsson </w:t>
            </w:r>
            <w:r>
              <w:rPr>
                <w:rFonts w:ascii="Calibri" w:hAnsi="Calibri"/>
                <w:color w:val="000000"/>
                <w:lang w:eastAsia="ko-KR"/>
              </w:rPr>
              <w:fldChar w:fldCharType="begin"/>
            </w:r>
            <w:r>
              <w:rPr>
                <w:rFonts w:ascii="Calibri" w:hAnsi="Calibri"/>
                <w:color w:val="000000"/>
                <w:lang w:eastAsia="ko-KR"/>
              </w:rPr>
              <w:instrText xml:space="preserve"> REF _Ref95832671 \r \h </w:instrText>
            </w:r>
            <w:r>
              <w:rPr>
                <w:rFonts w:ascii="Calibri" w:hAnsi="Calibri"/>
                <w:color w:val="000000"/>
                <w:lang w:eastAsia="ko-KR"/>
              </w:rPr>
              <w:fldChar w:fldCharType="separate"/>
            </w:r>
            <w:r>
              <w:rPr>
                <w:rFonts w:ascii="Calibri" w:hAnsi="Calibri"/>
                <w:color w:val="000000"/>
                <w:lang w:eastAsia="ko-KR"/>
              </w:rPr>
              <w:t>[2]</w:t>
            </w:r>
            <w:r>
              <w:rPr>
                <w:rFonts w:ascii="Calibri" w:hAnsi="Calibri"/>
                <w:color w:val="000000"/>
                <w:lang w:eastAsia="ko-KR"/>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lang w:eastAsia="ja-JP"/>
              </w:rPr>
            </w:pPr>
            <w:r>
              <w:rPr>
                <w:lang w:eastAsia="ja-JP"/>
              </w:rPr>
              <w:t xml:space="preserve">Two FGs 36-1 (1024-QAM on DL for FR1) and 36-2 (data rate scaling factor for 1024-QAM) were agreed for support of 1024-QAM. The data rate section (from 38.306) needs to reflect new FG for 1024-QAM scaling factor, and the corresponding value utilized for the parameter supportedModulationOrderDL.   </w:t>
            </w:r>
          </w:p>
          <w:p>
            <w:pPr>
              <w:rPr>
                <w:rFonts w:cs="Arial"/>
                <w:iCs/>
              </w:rPr>
            </w:pPr>
            <w:r>
              <w:rPr>
                <w:rFonts w:cs="Arial"/>
                <w:iCs/>
              </w:rPr>
              <w:t xml:space="preserve">Regarding introducing a new capability for </w:t>
            </w:r>
            <w:r>
              <w:rPr>
                <w:rFonts w:cs="Arial"/>
                <w:i/>
              </w:rPr>
              <w:t xml:space="preserve">supportedModulationOrderDL-r17 for </w:t>
            </w:r>
            <w:r>
              <w:rPr>
                <w:rFonts w:cs="Arial"/>
                <w:iCs/>
              </w:rPr>
              <w:t>1024QAM (especially as per FSPC),</w:t>
            </w:r>
            <w:r>
              <w:rPr>
                <w:rFonts w:cs="Arial"/>
                <w:i/>
              </w:rPr>
              <w:t xml:space="preserve"> </w:t>
            </w:r>
            <w:r>
              <w:rPr>
                <w:rFonts w:cs="Arial"/>
                <w:iCs/>
              </w:rPr>
              <w:t xml:space="preserve">we are not supportive since it is unnecessary (leading to extremely low data rates with 1024-QAM support, </w:t>
            </w:r>
            <w:r>
              <w:rPr>
                <w:rFonts w:cs="Arial"/>
              </w:rPr>
              <w:t>(e.g. when supportedModulationOrderDL = pi/2-BPSK, scalingFactor = 0.4)</w:t>
            </w:r>
            <w:r>
              <w:rPr>
                <w:rFonts w:cs="Arial"/>
                <w:iCs/>
              </w:rPr>
              <w:t>) given the scaling factor FG 36-2 is enough for indicating lower data rate. Moreover per-FSPC signaling leads to large signaling overhead.</w:t>
            </w:r>
          </w:p>
          <w:p>
            <w:pPr>
              <w:rPr>
                <w:rFonts w:cs="Arial"/>
                <w:iCs/>
              </w:rPr>
            </w:pPr>
            <w:r>
              <w:rPr>
                <w:rFonts w:cs="Arial"/>
                <w:iCs/>
              </w:rPr>
              <w:t xml:space="preserve">Nonetheless, </w:t>
            </w:r>
            <w:r>
              <w:rPr>
                <w:rFonts w:cs="Arial"/>
                <w:i/>
              </w:rPr>
              <w:t xml:space="preserve">supportedModulationOrderDL </w:t>
            </w:r>
            <w:r>
              <w:rPr>
                <w:rFonts w:cs="Arial"/>
                <w:iCs/>
              </w:rPr>
              <w:t>needs to be defined</w:t>
            </w:r>
            <w:r>
              <w:rPr>
                <w:rFonts w:cs="Arial"/>
                <w:i/>
              </w:rPr>
              <w:t xml:space="preserve"> </w:t>
            </w:r>
            <w:r>
              <w:rPr>
                <w:rFonts w:cs="Arial"/>
                <w:iCs/>
              </w:rPr>
              <w:t xml:space="preserve">for 1024-QAM data rate calculation. For this out of below two options, we prefer Option 1. </w:t>
            </w:r>
          </w:p>
          <w:p>
            <w:pPr>
              <w:rPr>
                <w:rFonts w:cs="Arial"/>
                <w:lang w:eastAsia="ja-JP"/>
              </w:rPr>
            </w:pPr>
            <w:r>
              <w:rPr>
                <w:rFonts w:cs="Arial"/>
                <w:lang w:eastAsia="ja-JP"/>
              </w:rPr>
              <w:t xml:space="preserve">Option 1 : Define supportedModulationDL = 1024QAM for the case of 1024QAM indication for a band. </w:t>
            </w:r>
          </w:p>
          <w:p>
            <w:pPr>
              <w:rPr>
                <w:rFonts w:cs="Arial"/>
                <w:lang w:eastAsia="ja-JP"/>
              </w:rPr>
            </w:pPr>
            <w:r>
              <w:rPr>
                <w:rFonts w:cs="Arial"/>
                <w:lang w:eastAsia="ja-JP"/>
              </w:rPr>
              <w:t xml:space="preserve">Option 2 : Update the field description for existing capability supportedModulationOrderDL as shown below, allowing applying the existing UE reported parameter value (supportedModulationOrderDL) with 1024-QAM scaling factor (in which case the existing parameter description must be updated to allow it to take the value of 1024-QAM). </w:t>
            </w:r>
          </w:p>
          <w:tbl>
            <w:tblPr>
              <w:tblStyle w:val="26"/>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8118"/>
              <w:gridCol w:w="697"/>
              <w:gridCol w:w="447"/>
              <w:gridCol w:w="517"/>
              <w:gridCol w:w="51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0" w:type="auto"/>
                </w:tcPr>
                <w:p>
                  <w:pPr>
                    <w:pStyle w:val="57"/>
                    <w:rPr>
                      <w:b/>
                      <w:bCs/>
                      <w:i/>
                      <w:iCs/>
                    </w:rPr>
                  </w:pPr>
                  <w:r>
                    <w:rPr>
                      <w:b/>
                      <w:bCs/>
                      <w:i/>
                      <w:iCs/>
                    </w:rPr>
                    <w:t>supportedModulationOrderDL</w:t>
                  </w:r>
                </w:p>
                <w:p>
                  <w:pPr>
                    <w:pStyle w:val="57"/>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pPr>
                    <w:pStyle w:val="57"/>
                    <w:rPr>
                      <w:rFonts w:cs="Arial"/>
                      <w:szCs w:val="18"/>
                    </w:rPr>
                  </w:pPr>
                  <w:r>
                    <w:rPr>
                      <w:rFonts w:cs="Arial"/>
                      <w:szCs w:val="18"/>
                    </w:rPr>
                    <w:t>-</w:t>
                  </w:r>
                  <w:r>
                    <w:rPr>
                      <w:rFonts w:cs="Arial"/>
                      <w:szCs w:val="18"/>
                    </w:rPr>
                    <w:tab/>
                  </w:r>
                  <w:r>
                    <w:rPr>
                      <w:rFonts w:cs="Arial"/>
                      <w:szCs w:val="18"/>
                    </w:rPr>
                    <w:t xml:space="preserve">for FR1, the network uses the modulation order signalled </w:t>
                  </w:r>
                  <w:r>
                    <w:rPr>
                      <w:rFonts w:cs="Arial"/>
                      <w:color w:val="FF0000"/>
                      <w:szCs w:val="18"/>
                      <w:u w:val="single"/>
                      <w:lang w:val="en-US"/>
                    </w:rPr>
                    <w:t>per band i.e.</w:t>
                  </w:r>
                  <w:r>
                    <w:rPr>
                      <w:rFonts w:cs="Arial"/>
                      <w:color w:val="FF0000"/>
                      <w:szCs w:val="18"/>
                      <w:u w:val="single"/>
                    </w:rPr>
                    <w:t xml:space="preserve"> </w:t>
                  </w:r>
                  <w:r>
                    <w:rPr>
                      <w:rFonts w:eastAsia="Batang" w:cs="Arial"/>
                      <w:iCs/>
                      <w:color w:val="FF0000"/>
                      <w:szCs w:val="24"/>
                      <w:u w:val="single"/>
                    </w:rPr>
                    <w:t>[</w:t>
                  </w:r>
                  <w:r>
                    <w:rPr>
                      <w:rFonts w:cs="Arial"/>
                      <w:iCs/>
                      <w:color w:val="FF0000"/>
                      <w:szCs w:val="18"/>
                      <w:u w:val="single"/>
                    </w:rPr>
                    <w:t xml:space="preserve">pdsch-1024QAM-FR1] </w:t>
                  </w:r>
                  <w:r>
                    <w:rPr>
                      <w:rFonts w:eastAsia="Batang" w:cs="Arial"/>
                      <w:iCs/>
                      <w:color w:val="FF0000"/>
                      <w:szCs w:val="24"/>
                      <w:u w:val="single"/>
                    </w:rPr>
                    <w:t>when [</w:t>
                  </w:r>
                  <w:r>
                    <w:rPr>
                      <w:rFonts w:cs="Arial"/>
                      <w:iCs/>
                      <w:color w:val="FF0000"/>
                      <w:szCs w:val="18"/>
                      <w:u w:val="single"/>
                    </w:rPr>
                    <w:t>pdsch-1024QAM-FR1] is signalled for the band , otherwise the network uses the modulation order signalled</w:t>
                  </w:r>
                  <w:r>
                    <w:rPr>
                      <w:rFonts w:cs="Arial"/>
                      <w:iCs/>
                      <w:color w:val="FF0000"/>
                      <w:szCs w:val="18"/>
                    </w:rPr>
                    <w:t xml:space="preserve"> </w:t>
                  </w:r>
                  <w:r>
                    <w:rPr>
                      <w:rFonts w:cs="Arial"/>
                      <w:iCs/>
                      <w:szCs w:val="18"/>
                    </w:rPr>
                    <w:t>in</w:t>
                  </w:r>
                  <w:r>
                    <w:rPr>
                      <w:rFonts w:cs="Arial"/>
                      <w:i/>
                      <w:iCs/>
                      <w:szCs w:val="18"/>
                    </w:rPr>
                    <w:t xml:space="preserve"> pdsch-256QAM-FR1</w:t>
                  </w:r>
                  <w:r>
                    <w:rPr>
                      <w:rFonts w:cs="Arial"/>
                      <w:szCs w:val="18"/>
                    </w:rPr>
                    <w:t>.</w:t>
                  </w:r>
                </w:p>
                <w:p>
                  <w:pPr>
                    <w:pStyle w:val="57"/>
                    <w:rPr>
                      <w:rFonts w:cs="Arial"/>
                      <w:szCs w:val="18"/>
                    </w:rPr>
                  </w:pPr>
                  <w:r>
                    <w:rPr>
                      <w:rFonts w:cs="Arial"/>
                      <w:szCs w:val="18"/>
                    </w:rPr>
                    <w:t>-</w:t>
                  </w:r>
                  <w:r>
                    <w:rPr>
                      <w:rFonts w:cs="Arial"/>
                      <w:szCs w:val="18"/>
                    </w:rPr>
                    <w:tab/>
                  </w:r>
                  <w:r>
                    <w:rPr>
                      <w:rFonts w:cs="Arial"/>
                      <w:szCs w:val="18"/>
                    </w:rPr>
                    <w:t xml:space="preserve">for FR2, the network uses the modulation order signalled per band i.e. </w:t>
                  </w:r>
                  <w:r>
                    <w:rPr>
                      <w:rFonts w:cs="Arial"/>
                      <w:i/>
                      <w:iCs/>
                      <w:szCs w:val="18"/>
                    </w:rPr>
                    <w:t>pdsch-256QAM-FR2</w:t>
                  </w:r>
                  <w:r>
                    <w:rPr>
                      <w:rFonts w:cs="Arial"/>
                      <w:szCs w:val="18"/>
                    </w:rPr>
                    <w:t xml:space="preserve"> if signalled. If not signalled in a given band, the network shall use the modulation order 64QAM.</w:t>
                  </w:r>
                </w:p>
                <w:p>
                  <w:pPr>
                    <w:pStyle w:val="57"/>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0" w:type="auto"/>
                </w:tcPr>
                <w:p>
                  <w:pPr>
                    <w:pStyle w:val="57"/>
                    <w:jc w:val="center"/>
                  </w:pPr>
                  <w:r>
                    <w:t>FSPC</w:t>
                  </w:r>
                </w:p>
              </w:tc>
              <w:tc>
                <w:tcPr>
                  <w:tcW w:w="0" w:type="auto"/>
                </w:tcPr>
                <w:p>
                  <w:pPr>
                    <w:pStyle w:val="57"/>
                    <w:jc w:val="center"/>
                  </w:pPr>
                  <w:r>
                    <w:t>No</w:t>
                  </w:r>
                </w:p>
              </w:tc>
              <w:tc>
                <w:tcPr>
                  <w:tcW w:w="0" w:type="auto"/>
                </w:tcPr>
                <w:p>
                  <w:pPr>
                    <w:pStyle w:val="57"/>
                    <w:jc w:val="center"/>
                  </w:pPr>
                  <w:r>
                    <w:rPr>
                      <w:bCs/>
                      <w:iCs/>
                    </w:rPr>
                    <w:t>N/A</w:t>
                  </w:r>
                </w:p>
              </w:tc>
              <w:tc>
                <w:tcPr>
                  <w:tcW w:w="0" w:type="auto"/>
                </w:tcPr>
                <w:p>
                  <w:pPr>
                    <w:pStyle w:val="57"/>
                    <w:jc w:val="center"/>
                  </w:pPr>
                  <w:r>
                    <w:rPr>
                      <w:bCs/>
                      <w:iCs/>
                    </w:rPr>
                    <w:t>N/A</w:t>
                  </w:r>
                </w:p>
              </w:tc>
            </w:tr>
          </w:tbl>
          <w:p>
            <w:pPr>
              <w:rPr>
                <w:rFonts w:cs="Arial"/>
                <w:iCs/>
              </w:rPr>
            </w:pPr>
          </w:p>
          <w:p>
            <w:pPr>
              <w:rPr>
                <w:rFonts w:cs="Arial"/>
                <w:iCs/>
              </w:rPr>
            </w:pPr>
            <w:r>
              <w:rPr>
                <w:rFonts w:cs="Arial"/>
                <w:iCs/>
              </w:rPr>
              <w:t xml:space="preserve">In either case, the main point is that since the UE signals both 1024-QAM and 256-QAM, the data rate calculation for 1024-QAM case is based on the 1024-QAM scaling factor and the 1024-QAM modulation order (i.e. supportedModulationOrderDL = 1024-QAM), and for the case of 256-QAM, it would be based on the legacy scaling factor, legacy modulation order (supportedModulationOrderDL). </w:t>
            </w:r>
          </w:p>
          <w:p>
            <w:pPr>
              <w:rPr>
                <w:rFonts w:cs="Arial"/>
                <w:iCs/>
              </w:rPr>
            </w:pPr>
          </w:p>
          <w:p>
            <w:pPr>
              <w:pStyle w:val="87"/>
              <w:numPr>
                <w:ilvl w:val="0"/>
                <w:numId w:val="10"/>
              </w:numPr>
              <w:tabs>
                <w:tab w:val="clear" w:pos="256"/>
                <w:tab w:val="clear" w:pos="936"/>
              </w:tabs>
              <w:ind w:left="1304"/>
            </w:pPr>
            <w:bookmarkStart w:id="1" w:name="_Toc83983048"/>
            <w:r>
              <w:t>Adopt below updates for UE FGs for support of 1024-QAM (red text highlights the relative change on top of the agreed FG table).</w:t>
            </w:r>
            <w:bookmarkEnd w:id="1"/>
            <w:r>
              <w:t xml:space="preserve"> </w:t>
            </w:r>
          </w:p>
          <w:p>
            <w:pPr>
              <w:pStyle w:val="87"/>
              <w:numPr>
                <w:ilvl w:val="0"/>
                <w:numId w:val="10"/>
              </w:numPr>
              <w:tabs>
                <w:tab w:val="clear" w:pos="256"/>
              </w:tabs>
              <w:ind w:left="1304"/>
            </w:pPr>
            <w:r>
              <w:rPr>
                <w:szCs w:val="20"/>
                <w:lang w:eastAsia="ja-JP"/>
              </w:rPr>
              <w:t xml:space="preserve">When UE indicates 1024QAM support for a band, supportedModulationDL is set to 1024QAM, and is not explicitly indicated by the UE. </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518"/>
              <w:gridCol w:w="1744"/>
              <w:gridCol w:w="5793"/>
              <w:gridCol w:w="518"/>
              <w:gridCol w:w="527"/>
              <w:gridCol w:w="517"/>
              <w:gridCol w:w="222"/>
              <w:gridCol w:w="611"/>
              <w:gridCol w:w="517"/>
              <w:gridCol w:w="1443"/>
              <w:gridCol w:w="517"/>
              <w:gridCol w:w="3466"/>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36. NR_DL1024QAM_FR1</w:t>
                  </w:r>
                </w:p>
              </w:tc>
              <w:tc>
                <w:tcPr>
                  <w:tcW w:w="0" w:type="auto"/>
                  <w:shd w:val="clear" w:color="auto" w:fill="auto"/>
                </w:tcPr>
                <w:p>
                  <w:pPr>
                    <w:pStyle w:val="57"/>
                    <w:rPr>
                      <w:rFonts w:cs="Arial"/>
                      <w:color w:val="000000"/>
                      <w:szCs w:val="18"/>
                    </w:rPr>
                  </w:pPr>
                  <w:r>
                    <w:rPr>
                      <w:rFonts w:cs="Arial"/>
                      <w:color w:val="000000"/>
                      <w:szCs w:val="18"/>
                    </w:rPr>
                    <w:t>36-2</w:t>
                  </w:r>
                </w:p>
              </w:tc>
              <w:tc>
                <w:tcPr>
                  <w:tcW w:w="0" w:type="auto"/>
                  <w:shd w:val="clear" w:color="auto" w:fill="auto"/>
                </w:tcPr>
                <w:p>
                  <w:pPr>
                    <w:pStyle w:val="57"/>
                    <w:rPr>
                      <w:rFonts w:cs="Arial"/>
                      <w:color w:val="000000"/>
                      <w:szCs w:val="18"/>
                    </w:rPr>
                  </w:pPr>
                  <w:r>
                    <w:rPr>
                      <w:rFonts w:cs="Arial"/>
                      <w:color w:val="000000"/>
                      <w:szCs w:val="18"/>
                    </w:rPr>
                    <w:t>scalingFactor for 1024QAM</w:t>
                  </w:r>
                </w:p>
              </w:tc>
              <w:tc>
                <w:tcPr>
                  <w:tcW w:w="0" w:type="auto"/>
                  <w:shd w:val="clear" w:color="auto" w:fill="auto"/>
                </w:tcPr>
                <w:p>
                  <w:pPr>
                    <w:pStyle w:val="57"/>
                    <w:rPr>
                      <w:rFonts w:cs="Arial"/>
                      <w:color w:val="000000"/>
                      <w:szCs w:val="18"/>
                    </w:rPr>
                  </w:pPr>
                  <w:r>
                    <w:rPr>
                      <w:rFonts w:cs="Arial"/>
                      <w:color w:val="000000"/>
                      <w:szCs w:val="18"/>
                    </w:rPr>
                    <w:t>Indicates the scaling factor to be applied to the band in the max data rate calculation as defined in 4.1.2 when support of 1024-QAM is signalled for the band</w:t>
                  </w:r>
                </w:p>
              </w:tc>
              <w:tc>
                <w:tcPr>
                  <w:tcW w:w="0" w:type="auto"/>
                  <w:shd w:val="clear" w:color="auto" w:fill="auto"/>
                </w:tcPr>
                <w:p>
                  <w:pPr>
                    <w:pStyle w:val="57"/>
                    <w:rPr>
                      <w:rFonts w:cs="Arial"/>
                      <w:color w:val="000000"/>
                      <w:szCs w:val="18"/>
                    </w:rPr>
                  </w:pPr>
                  <w:r>
                    <w:rPr>
                      <w:rFonts w:cs="Arial"/>
                      <w:color w:val="000000"/>
                      <w:szCs w:val="18"/>
                    </w:rPr>
                    <w:t>36-1</w:t>
                  </w:r>
                </w:p>
              </w:tc>
              <w:tc>
                <w:tcPr>
                  <w:tcW w:w="0" w:type="auto"/>
                  <w:shd w:val="clear" w:color="auto" w:fill="auto"/>
                </w:tcPr>
                <w:p>
                  <w:pPr>
                    <w:pStyle w:val="57"/>
                    <w:rPr>
                      <w:rFonts w:cs="Arial"/>
                      <w:color w:val="000000"/>
                      <w:szCs w:val="18"/>
                    </w:rPr>
                  </w:pPr>
                  <w:r>
                    <w:rPr>
                      <w:rFonts w:cs="Arial"/>
                      <w:color w:val="000000"/>
                      <w:szCs w:val="18"/>
                    </w:rPr>
                    <w:t>Yes</w:t>
                  </w:r>
                </w:p>
              </w:tc>
              <w:tc>
                <w:tcPr>
                  <w:tcW w:w="0" w:type="auto"/>
                  <w:shd w:val="clear" w:color="auto" w:fill="auto"/>
                </w:tcPr>
                <w:p>
                  <w:pPr>
                    <w:pStyle w:val="57"/>
                    <w:rPr>
                      <w:rFonts w:cs="Arial"/>
                      <w:color w:val="000000"/>
                      <w:szCs w:val="18"/>
                    </w:rPr>
                  </w:pPr>
                  <w:r>
                    <w:rPr>
                      <w:rFonts w:cs="Arial"/>
                      <w:color w:val="000000"/>
                      <w:szCs w:val="18"/>
                    </w:rPr>
                    <w:t>N/A</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Per FS</w:t>
                  </w:r>
                </w:p>
              </w:tc>
              <w:tc>
                <w:tcPr>
                  <w:tcW w:w="0" w:type="auto"/>
                  <w:shd w:val="clear" w:color="auto" w:fill="auto"/>
                </w:tcPr>
                <w:p>
                  <w:pPr>
                    <w:pStyle w:val="57"/>
                    <w:rPr>
                      <w:rFonts w:cs="Arial"/>
                      <w:color w:val="000000"/>
                      <w:szCs w:val="18"/>
                    </w:rPr>
                  </w:pPr>
                  <w:r>
                    <w:rPr>
                      <w:rFonts w:cs="Arial"/>
                      <w:color w:val="000000"/>
                      <w:szCs w:val="18"/>
                    </w:rPr>
                    <w:t>N/A</w:t>
                  </w:r>
                </w:p>
              </w:tc>
              <w:tc>
                <w:tcPr>
                  <w:tcW w:w="0" w:type="auto"/>
                  <w:shd w:val="clear" w:color="auto" w:fill="auto"/>
                </w:tcPr>
                <w:p>
                  <w:pPr>
                    <w:pStyle w:val="57"/>
                    <w:rPr>
                      <w:rFonts w:cs="Arial"/>
                      <w:color w:val="000000"/>
                      <w:szCs w:val="18"/>
                    </w:rPr>
                  </w:pPr>
                  <w:r>
                    <w:rPr>
                      <w:rFonts w:cs="Arial"/>
                      <w:color w:val="000000"/>
                      <w:szCs w:val="18"/>
                    </w:rPr>
                    <w:t>Applicable only to FR1</w:t>
                  </w:r>
                </w:p>
              </w:tc>
              <w:tc>
                <w:tcPr>
                  <w:tcW w:w="0" w:type="auto"/>
                  <w:shd w:val="clear" w:color="auto" w:fill="auto"/>
                </w:tcPr>
                <w:p>
                  <w:pPr>
                    <w:pStyle w:val="57"/>
                    <w:rPr>
                      <w:rFonts w:cs="Arial"/>
                      <w:color w:val="000000"/>
                      <w:szCs w:val="18"/>
                    </w:rPr>
                  </w:pPr>
                  <w:r>
                    <w:rPr>
                      <w:rFonts w:cs="Arial"/>
                      <w:color w:val="000000"/>
                      <w:szCs w:val="18"/>
                    </w:rPr>
                    <w:t>N/A</w:t>
                  </w:r>
                </w:p>
              </w:tc>
              <w:tc>
                <w:tcPr>
                  <w:tcW w:w="0" w:type="auto"/>
                  <w:shd w:val="clear" w:color="auto" w:fill="auto"/>
                </w:tcPr>
                <w:p>
                  <w:pPr>
                    <w:pStyle w:val="57"/>
                    <w:rPr>
                      <w:rFonts w:cs="Arial"/>
                      <w:color w:val="000000"/>
                      <w:szCs w:val="18"/>
                    </w:rPr>
                  </w:pPr>
                  <w:r>
                    <w:rPr>
                      <w:rFonts w:cs="Arial"/>
                      <w:color w:val="000000"/>
                      <w:szCs w:val="18"/>
                    </w:rPr>
                    <w:t xml:space="preserve">Candidate component values: </w:t>
                  </w:r>
                </w:p>
                <w:p>
                  <w:pPr>
                    <w:pStyle w:val="57"/>
                    <w:rPr>
                      <w:rFonts w:cs="Arial"/>
                      <w:color w:val="000000"/>
                      <w:szCs w:val="18"/>
                    </w:rPr>
                  </w:pPr>
                  <w:r>
                    <w:rPr>
                      <w:rFonts w:cs="Arial"/>
                      <w:color w:val="000000"/>
                      <w:szCs w:val="18"/>
                    </w:rPr>
                    <w:t>{0.4, 0.75, 0.8, 1.0}</w:t>
                  </w:r>
                </w:p>
                <w:p>
                  <w:pPr>
                    <w:pStyle w:val="57"/>
                    <w:rPr>
                      <w:rFonts w:cs="Arial"/>
                      <w:color w:val="000000"/>
                      <w:szCs w:val="18"/>
                    </w:rPr>
                  </w:pPr>
                </w:p>
                <w:p>
                  <w:pPr>
                    <w:pStyle w:val="57"/>
                    <w:rPr>
                      <w:rFonts w:cs="Arial"/>
                      <w:color w:val="000000"/>
                      <w:szCs w:val="18"/>
                      <w:u w:val="single"/>
                    </w:rPr>
                  </w:pPr>
                  <w:r>
                    <w:rPr>
                      <w:rFonts w:cs="Arial"/>
                      <w:color w:val="FF0000"/>
                      <w:u w:val="single"/>
                    </w:rPr>
                    <w:t>If absent, the scaling factor 1 is applied to the band in the max data rate calculation.</w:t>
                  </w:r>
                </w:p>
              </w:tc>
              <w:tc>
                <w:tcPr>
                  <w:tcW w:w="0" w:type="auto"/>
                  <w:shd w:val="clear" w:color="auto" w:fill="auto"/>
                </w:tcPr>
                <w:p>
                  <w:pPr>
                    <w:pStyle w:val="57"/>
                    <w:rPr>
                      <w:rFonts w:cs="Arial"/>
                      <w:color w:val="000000"/>
                      <w:szCs w:val="18"/>
                    </w:rPr>
                  </w:pPr>
                  <w:r>
                    <w:rPr>
                      <w:rFonts w:cs="Arial"/>
                      <w:color w:val="000000"/>
                      <w:szCs w:val="18"/>
                    </w:rPr>
                    <w:t>Optional with capability signaling</w:t>
                  </w:r>
                </w:p>
              </w:tc>
            </w:tr>
          </w:tbl>
          <w:p>
            <w:pPr>
              <w:spacing w:before="120" w:beforeLines="50"/>
              <w:jc w:val="left"/>
              <w:rPr>
                <w:rFonts w:ascii="Calibri" w:hAnsi="Calibri" w:cs="Calibri"/>
                <w:color w:val="000000"/>
              </w:rPr>
            </w:pPr>
          </w:p>
        </w:tc>
      </w:tr>
    </w:tbl>
    <w:p>
      <w:pPr>
        <w:pStyle w:val="40"/>
        <w:ind w:firstLine="180" w:firstLineChars="90"/>
        <w:rPr>
          <w:rFonts w:ascii="Calibri" w:hAnsi="Calibri" w:cs="Arial"/>
        </w:rPr>
      </w:pPr>
    </w:p>
    <w:p>
      <w:pPr>
        <w:pStyle w:val="2"/>
        <w:numPr>
          <w:ilvl w:val="0"/>
          <w:numId w:val="8"/>
        </w:numPr>
        <w:jc w:val="both"/>
        <w:rPr>
          <w:color w:val="000000"/>
        </w:rPr>
      </w:pPr>
      <w:r>
        <w:rPr>
          <w:color w:val="000000"/>
        </w:rPr>
        <w:t>Discussion/Approval Items during RAN1 #108-e — First Checkpoint</w:t>
      </w:r>
    </w:p>
    <w:p>
      <w:pPr>
        <w:pStyle w:val="40"/>
        <w:ind w:firstLine="180" w:firstLineChars="90"/>
        <w:rPr>
          <w:rFonts w:ascii="Calibri" w:hAnsi="Calibri" w:eastAsia="宋体" w:cs="Calibri"/>
          <w:lang w:eastAsia="zh-CN"/>
        </w:rPr>
      </w:pPr>
      <w:bookmarkStart w:id="2" w:name="_Hlk48059864"/>
      <w:r>
        <w:rPr>
          <w:rFonts w:ascii="Calibri" w:hAnsi="Calibri" w:eastAsia="宋体" w:cs="Calibri"/>
          <w:lang w:eastAsia="zh-CN"/>
        </w:rPr>
        <w:t>After review of contributions submitted to RAN1 #108-e in this agenda item, the following topics were identified by the moderator for discussion/approval during RAN1 #108-e.</w:t>
      </w:r>
    </w:p>
    <w:p>
      <w:pPr>
        <w:pStyle w:val="40"/>
        <w:ind w:firstLine="180" w:firstLineChars="90"/>
        <w:rPr>
          <w:rFonts w:ascii="Calibri" w:hAnsi="Calibri" w:eastAsia="宋体" w:cs="Calibri"/>
          <w:lang w:eastAsia="zh-CN"/>
        </w:rPr>
      </w:pPr>
    </w:p>
    <w:p>
      <w:pPr>
        <w:pStyle w:val="40"/>
        <w:ind w:firstLine="181" w:firstLineChars="90"/>
        <w:rPr>
          <w:rFonts w:ascii="Calibri" w:hAnsi="Calibri" w:eastAsia="宋体" w:cs="Calibri"/>
          <w:b/>
          <w:lang w:eastAsia="zh-CN"/>
        </w:rPr>
      </w:pPr>
      <w:r>
        <w:rPr>
          <w:rFonts w:ascii="Calibri" w:hAnsi="Calibri" w:eastAsia="宋体" w:cs="Calibri"/>
          <w:b/>
          <w:lang w:eastAsia="zh-CN"/>
        </w:rPr>
        <w:t>General comments</w:t>
      </w:r>
    </w:p>
    <w:p>
      <w:pPr>
        <w:pStyle w:val="40"/>
        <w:ind w:firstLine="180" w:firstLineChars="90"/>
        <w:rPr>
          <w:rFonts w:ascii="Calibri" w:hAnsi="Calibri" w:eastAsia="宋体" w:cs="Calibri"/>
          <w:lang w:eastAsia="zh-CN"/>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p>
        </w:tc>
      </w:tr>
    </w:tbl>
    <w:p>
      <w:pPr>
        <w:pStyle w:val="40"/>
        <w:ind w:firstLine="180" w:firstLineChars="90"/>
        <w:rPr>
          <w:rFonts w:ascii="Calibri" w:hAnsi="Calibri" w:eastAsia="宋体" w:cs="Calibri"/>
          <w:lang w:eastAsia="zh-CN"/>
        </w:rPr>
      </w:pPr>
    </w:p>
    <w:p>
      <w:pPr>
        <w:pStyle w:val="2"/>
        <w:numPr>
          <w:ilvl w:val="1"/>
          <w:numId w:val="8"/>
        </w:numPr>
        <w:jc w:val="both"/>
        <w:rPr>
          <w:color w:val="000000"/>
        </w:rPr>
      </w:pPr>
      <w:r>
        <w:rPr>
          <w:color w:val="000000"/>
        </w:rPr>
        <w:t>Issue 1: FG 36-2</w:t>
      </w:r>
    </w:p>
    <w:p>
      <w:pPr>
        <w:pStyle w:val="40"/>
        <w:ind w:firstLine="180" w:firstLineChars="9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0"/>
        <w:ind w:firstLine="180" w:firstLineChars="90"/>
        <w:rPr>
          <w:rFonts w:ascii="Calibri" w:hAnsi="Calibri" w:cs="Arial"/>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528"/>
        <w:gridCol w:w="1862"/>
        <w:gridCol w:w="7006"/>
        <w:gridCol w:w="528"/>
        <w:gridCol w:w="527"/>
        <w:gridCol w:w="517"/>
        <w:gridCol w:w="222"/>
        <w:gridCol w:w="641"/>
        <w:gridCol w:w="517"/>
        <w:gridCol w:w="1545"/>
        <w:gridCol w:w="517"/>
        <w:gridCol w:w="406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pStyle w:val="57"/>
              <w:rPr>
                <w:rFonts w:cs="Arial"/>
                <w:color w:val="000000"/>
                <w:szCs w:val="18"/>
              </w:rPr>
            </w:pPr>
            <w:r>
              <w:rPr>
                <w:rFonts w:cs="Arial"/>
                <w:color w:val="000000"/>
                <w:szCs w:val="18"/>
              </w:rPr>
              <w:t>36. NR_DL1024QAM_FR1</w:t>
            </w:r>
          </w:p>
        </w:tc>
        <w:tc>
          <w:tcPr>
            <w:tcW w:w="0" w:type="auto"/>
            <w:shd w:val="clear" w:color="auto" w:fill="auto"/>
          </w:tcPr>
          <w:p>
            <w:pPr>
              <w:pStyle w:val="57"/>
              <w:rPr>
                <w:rFonts w:cs="Arial"/>
                <w:color w:val="000000"/>
                <w:szCs w:val="18"/>
              </w:rPr>
            </w:pPr>
            <w:r>
              <w:rPr>
                <w:rFonts w:cs="Arial"/>
                <w:color w:val="000000"/>
                <w:szCs w:val="18"/>
              </w:rPr>
              <w:t>36-2</w:t>
            </w:r>
          </w:p>
        </w:tc>
        <w:tc>
          <w:tcPr>
            <w:tcW w:w="0" w:type="auto"/>
            <w:shd w:val="clear" w:color="auto" w:fill="auto"/>
          </w:tcPr>
          <w:p>
            <w:pPr>
              <w:pStyle w:val="57"/>
              <w:rPr>
                <w:rFonts w:cs="Arial"/>
                <w:color w:val="000000"/>
                <w:szCs w:val="18"/>
              </w:rPr>
            </w:pPr>
            <w:r>
              <w:rPr>
                <w:rFonts w:cs="Arial"/>
                <w:color w:val="000000"/>
                <w:szCs w:val="18"/>
              </w:rPr>
              <w:t>scalingFactor for 1024QAM</w:t>
            </w:r>
          </w:p>
        </w:tc>
        <w:tc>
          <w:tcPr>
            <w:tcW w:w="0" w:type="auto"/>
            <w:shd w:val="clear" w:color="auto" w:fill="auto"/>
          </w:tcPr>
          <w:p>
            <w:pPr>
              <w:pStyle w:val="57"/>
              <w:rPr>
                <w:rFonts w:cs="Arial"/>
                <w:color w:val="000000"/>
                <w:szCs w:val="18"/>
              </w:rPr>
            </w:pPr>
            <w:r>
              <w:rPr>
                <w:rFonts w:cs="Arial"/>
                <w:color w:val="000000"/>
                <w:szCs w:val="18"/>
              </w:rPr>
              <w:t>Indicates the scaling factor to be applied to the band in the max data rate calculation as defined in 4.1.2 when support of 1024-QAM is signalled for the band</w:t>
            </w:r>
          </w:p>
        </w:tc>
        <w:tc>
          <w:tcPr>
            <w:tcW w:w="0" w:type="auto"/>
            <w:shd w:val="clear" w:color="auto" w:fill="auto"/>
          </w:tcPr>
          <w:p>
            <w:pPr>
              <w:pStyle w:val="57"/>
              <w:rPr>
                <w:rFonts w:cs="Arial"/>
                <w:color w:val="000000"/>
                <w:szCs w:val="18"/>
              </w:rPr>
            </w:pPr>
            <w:r>
              <w:rPr>
                <w:rFonts w:cs="Arial"/>
                <w:color w:val="000000"/>
                <w:szCs w:val="18"/>
              </w:rPr>
              <w:t>36-1</w:t>
            </w:r>
          </w:p>
        </w:tc>
        <w:tc>
          <w:tcPr>
            <w:tcW w:w="0" w:type="auto"/>
            <w:shd w:val="clear" w:color="auto" w:fill="auto"/>
          </w:tcPr>
          <w:p>
            <w:pPr>
              <w:pStyle w:val="57"/>
              <w:rPr>
                <w:rFonts w:cs="Arial"/>
                <w:color w:val="000000"/>
                <w:szCs w:val="18"/>
              </w:rPr>
            </w:pPr>
            <w:r>
              <w:rPr>
                <w:rFonts w:cs="Arial"/>
                <w:color w:val="000000"/>
                <w:szCs w:val="18"/>
              </w:rPr>
              <w:t>Yes</w:t>
            </w:r>
          </w:p>
        </w:tc>
        <w:tc>
          <w:tcPr>
            <w:tcW w:w="0" w:type="auto"/>
            <w:shd w:val="clear" w:color="auto" w:fill="auto"/>
          </w:tcPr>
          <w:p>
            <w:pPr>
              <w:pStyle w:val="57"/>
              <w:rPr>
                <w:rFonts w:cs="Arial"/>
                <w:color w:val="000000"/>
                <w:szCs w:val="18"/>
              </w:rPr>
            </w:pPr>
            <w:r>
              <w:rPr>
                <w:rFonts w:cs="Arial"/>
                <w:color w:val="000000"/>
                <w:szCs w:val="18"/>
              </w:rPr>
              <w:t>N/A</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Per FS</w:t>
            </w:r>
          </w:p>
        </w:tc>
        <w:tc>
          <w:tcPr>
            <w:tcW w:w="0" w:type="auto"/>
            <w:shd w:val="clear" w:color="auto" w:fill="auto"/>
          </w:tcPr>
          <w:p>
            <w:pPr>
              <w:pStyle w:val="57"/>
              <w:rPr>
                <w:rFonts w:cs="Arial"/>
                <w:color w:val="000000"/>
                <w:szCs w:val="18"/>
              </w:rPr>
            </w:pPr>
            <w:r>
              <w:rPr>
                <w:rFonts w:cs="Arial"/>
                <w:color w:val="000000"/>
                <w:szCs w:val="18"/>
              </w:rPr>
              <w:t>N/A</w:t>
            </w:r>
          </w:p>
        </w:tc>
        <w:tc>
          <w:tcPr>
            <w:tcW w:w="0" w:type="auto"/>
            <w:shd w:val="clear" w:color="auto" w:fill="auto"/>
          </w:tcPr>
          <w:p>
            <w:pPr>
              <w:pStyle w:val="57"/>
              <w:rPr>
                <w:rFonts w:cs="Arial"/>
                <w:color w:val="000000"/>
                <w:szCs w:val="18"/>
              </w:rPr>
            </w:pPr>
            <w:r>
              <w:rPr>
                <w:rFonts w:cs="Arial"/>
                <w:color w:val="000000"/>
                <w:szCs w:val="18"/>
              </w:rPr>
              <w:t>Applicable only to FR1</w:t>
            </w:r>
          </w:p>
        </w:tc>
        <w:tc>
          <w:tcPr>
            <w:tcW w:w="0" w:type="auto"/>
            <w:shd w:val="clear" w:color="auto" w:fill="auto"/>
          </w:tcPr>
          <w:p>
            <w:pPr>
              <w:pStyle w:val="57"/>
              <w:rPr>
                <w:rFonts w:cs="Arial"/>
                <w:color w:val="000000"/>
                <w:szCs w:val="18"/>
              </w:rPr>
            </w:pPr>
            <w:r>
              <w:rPr>
                <w:rFonts w:cs="Arial"/>
                <w:color w:val="000000"/>
                <w:szCs w:val="18"/>
              </w:rPr>
              <w:t>N/A</w:t>
            </w:r>
          </w:p>
        </w:tc>
        <w:tc>
          <w:tcPr>
            <w:tcW w:w="0" w:type="auto"/>
            <w:shd w:val="clear" w:color="auto" w:fill="auto"/>
          </w:tcPr>
          <w:p>
            <w:pPr>
              <w:pStyle w:val="57"/>
              <w:rPr>
                <w:rFonts w:cs="Arial"/>
                <w:color w:val="000000"/>
                <w:szCs w:val="18"/>
              </w:rPr>
            </w:pPr>
            <w:r>
              <w:rPr>
                <w:rFonts w:cs="Arial"/>
                <w:color w:val="000000"/>
                <w:szCs w:val="18"/>
              </w:rPr>
              <w:t xml:space="preserve">Candidate component values: </w:t>
            </w:r>
          </w:p>
          <w:p>
            <w:pPr>
              <w:pStyle w:val="57"/>
              <w:rPr>
                <w:rFonts w:cs="Arial"/>
                <w:color w:val="000000"/>
                <w:szCs w:val="18"/>
              </w:rPr>
            </w:pPr>
            <w:r>
              <w:rPr>
                <w:rFonts w:cs="Arial"/>
                <w:color w:val="000000"/>
                <w:szCs w:val="18"/>
              </w:rPr>
              <w:t>{0.4, 0.75, 0.8, 1.0}</w:t>
            </w:r>
          </w:p>
          <w:p>
            <w:pPr>
              <w:pStyle w:val="57"/>
              <w:rPr>
                <w:rFonts w:cs="Arial"/>
                <w:color w:val="000000"/>
                <w:szCs w:val="18"/>
              </w:rPr>
            </w:pPr>
          </w:p>
          <w:p>
            <w:pPr>
              <w:pStyle w:val="57"/>
              <w:rPr>
                <w:rFonts w:cs="Arial"/>
                <w:color w:val="000000"/>
                <w:szCs w:val="18"/>
                <w:u w:val="single"/>
              </w:rPr>
            </w:pPr>
            <w:r>
              <w:rPr>
                <w:rFonts w:cs="Arial"/>
                <w:color w:val="FF0000"/>
                <w:u w:val="single"/>
              </w:rPr>
              <w:t>If absent, the scaling factor 1 is applied to the band in the max data rate calculation.</w:t>
            </w:r>
          </w:p>
        </w:tc>
        <w:tc>
          <w:tcPr>
            <w:tcW w:w="0" w:type="auto"/>
            <w:shd w:val="clear" w:color="auto" w:fill="auto"/>
          </w:tcPr>
          <w:p>
            <w:pPr>
              <w:pStyle w:val="57"/>
              <w:rPr>
                <w:rFonts w:cs="Arial"/>
                <w:color w:val="000000"/>
                <w:szCs w:val="18"/>
              </w:rPr>
            </w:pPr>
            <w:r>
              <w:rPr>
                <w:rFonts w:cs="Arial"/>
                <w:color w:val="000000"/>
                <w:szCs w:val="18"/>
              </w:rPr>
              <w:t>Optional with capability signaling</w:t>
            </w:r>
          </w:p>
        </w:tc>
      </w:tr>
    </w:tbl>
    <w:p>
      <w:pPr>
        <w:pStyle w:val="40"/>
        <w:ind w:firstLine="180" w:firstLineChars="90"/>
        <w:rPr>
          <w:rFonts w:ascii="Calibri" w:hAnsi="Calibri" w:cs="Arial"/>
        </w:rPr>
      </w:pPr>
    </w:p>
    <w:bookmarkEnd w:id="2"/>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hint="eastAsia" w:eastAsiaTheme="minorEastAsia"/>
                <w:sz w:val="20"/>
                <w:lang w:eastAsia="ja-JP"/>
              </w:rPr>
            </w:pPr>
            <w:r>
              <w:rPr>
                <w:rStyle w:val="93"/>
                <w:rFonts w:hint="eastAsia" w:eastAsiaTheme="minorEastAsia"/>
                <w:sz w:val="20"/>
                <w:lang w:eastAsia="ja-JP"/>
              </w:rPr>
              <w:t>N</w:t>
            </w:r>
            <w:r>
              <w:rPr>
                <w:rStyle w:val="93"/>
                <w:rFonts w:eastAsiaTheme="minorEastAsia"/>
                <w:sz w:val="20"/>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hint="eastAsia" w:eastAsiaTheme="minorEastAsia"/>
                <w:lang w:eastAsia="ja-JP"/>
              </w:rPr>
            </w:pPr>
            <w:r>
              <w:rPr>
                <w:rFonts w:hint="eastAsia" w:eastAsiaTheme="minorEastAsia"/>
                <w:lang w:eastAsia="ja-JP"/>
              </w:rPr>
              <w:t>W</w:t>
            </w:r>
            <w:r>
              <w:rPr>
                <w:rFonts w:eastAsiaTheme="minorEastAsia"/>
                <w:lang w:eastAsia="ja-JP"/>
              </w:rPr>
              <w:t>e support the proposal to add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hint="default" w:eastAsia="宋体"/>
                <w:sz w:val="20"/>
                <w:lang w:val="en-US" w:eastAsia="zh-CN"/>
              </w:rPr>
            </w:pPr>
            <w:r>
              <w:rPr>
                <w:rStyle w:val="93"/>
                <w:rFonts w:hint="eastAsia" w:eastAsia="宋体"/>
                <w:sz w:val="20"/>
                <w:lang w:val="en-US" w:eastAsia="zh-CN"/>
              </w:rPr>
              <w:t>ZTE, Sanechips</w:t>
            </w:r>
          </w:p>
        </w:tc>
        <w:tc>
          <w:tcPr>
            <w:tcW w:w="20522" w:type="dxa"/>
            <w:tcBorders>
              <w:top w:val="single" w:color="auto" w:sz="4" w:space="0"/>
              <w:left w:val="single" w:color="auto" w:sz="4" w:space="0"/>
              <w:bottom w:val="single" w:color="auto" w:sz="4" w:space="0"/>
              <w:right w:val="single" w:color="auto" w:sz="4" w:space="0"/>
            </w:tcBorders>
          </w:tcPr>
          <w:p>
            <w:pPr>
              <w:jc w:val="left"/>
              <w:rPr>
                <w:rFonts w:hint="default" w:eastAsia="宋体"/>
                <w:lang w:val="en-US" w:eastAsia="zh-CN"/>
              </w:rPr>
            </w:pPr>
            <w:r>
              <w:rPr>
                <w:rFonts w:hint="eastAsia" w:eastAsia="宋体"/>
                <w:lang w:val="en-US" w:eastAsia="zh-CN"/>
              </w:rPr>
              <w:t>Okay to add the note</w:t>
            </w:r>
          </w:p>
        </w:tc>
      </w:tr>
    </w:tbl>
    <w:p>
      <w:pPr>
        <w:pStyle w:val="40"/>
        <w:ind w:firstLine="180" w:firstLineChars="90"/>
        <w:rPr>
          <w:rFonts w:ascii="Calibri" w:hAnsi="Calibri" w:cs="Arial"/>
          <w:color w:val="000000"/>
          <w:lang w:val="en-US"/>
        </w:rPr>
      </w:pPr>
    </w:p>
    <w:p>
      <w:pPr>
        <w:pStyle w:val="2"/>
        <w:numPr>
          <w:ilvl w:val="1"/>
          <w:numId w:val="8"/>
        </w:numPr>
        <w:jc w:val="both"/>
        <w:rPr>
          <w:color w:val="000000"/>
        </w:rPr>
      </w:pPr>
      <w:r>
        <w:rPr>
          <w:color w:val="000000"/>
        </w:rPr>
        <w:t>Issue 2: supportedModulationDL</w:t>
      </w:r>
    </w:p>
    <w:p>
      <w:pPr>
        <w:pStyle w:val="40"/>
        <w:ind w:firstLine="180" w:firstLineChars="9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color w:val="000000"/>
        </w:rPr>
      </w:pPr>
      <w:r>
        <w:rPr>
          <w:rFonts w:ascii="Calibri" w:hAnsi="Calibri" w:cs="Arial"/>
          <w:b/>
        </w:rPr>
        <w:t>Proposal: When UE indicates 1024QAM support for a band, supportedModulationDL is set to 1024QAM, and is not explicitly indicated by the UE</w:t>
      </w:r>
    </w:p>
    <w:p>
      <w:pPr>
        <w:pStyle w:val="40"/>
        <w:ind w:firstLine="180" w:firstLineChars="90"/>
        <w:rPr>
          <w:rFonts w:ascii="Calibri" w:hAnsi="Calibri" w:cs="Arial"/>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hint="eastAsia" w:eastAsiaTheme="minorEastAsia"/>
                <w:sz w:val="20"/>
                <w:lang w:eastAsia="ja-JP"/>
              </w:rPr>
            </w:pPr>
            <w:r>
              <w:rPr>
                <w:rStyle w:val="93"/>
                <w:rFonts w:hint="eastAsia" w:eastAsiaTheme="minorEastAsia"/>
                <w:sz w:val="20"/>
                <w:lang w:eastAsia="ja-JP"/>
              </w:rPr>
              <w:t>N</w:t>
            </w:r>
            <w:r>
              <w:rPr>
                <w:rStyle w:val="93"/>
                <w:rFonts w:eastAsiaTheme="minorEastAsia"/>
                <w:sz w:val="20"/>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hint="eastAsia" w:eastAsiaTheme="minorEastAsia"/>
                <w:lang w:eastAsia="ja-JP"/>
              </w:rPr>
            </w:pPr>
            <w:r>
              <w:rPr>
                <w:rFonts w:hint="eastAsia" w:eastAsiaTheme="minorEastAsia"/>
                <w:lang w:eastAsia="ja-JP"/>
              </w:rPr>
              <w:t>W</w:t>
            </w:r>
            <w:r>
              <w:rPr>
                <w:rFonts w:eastAsiaTheme="minorEastAsia"/>
                <w:lang w:eastAsia="ja-JP"/>
              </w:rPr>
              <w:t>e are fine with the proposal (Option 1 in [2]) or Option 2 in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hint="default" w:eastAsia="宋体"/>
                <w:sz w:val="20"/>
                <w:lang w:val="en-US" w:eastAsia="zh-CN"/>
              </w:rPr>
            </w:pPr>
            <w:r>
              <w:rPr>
                <w:rStyle w:val="93"/>
                <w:rFonts w:hint="eastAsia" w:eastAsia="宋体"/>
                <w:sz w:val="20"/>
                <w:lang w:val="en-US" w:eastAsia="zh-CN"/>
              </w:rPr>
              <w:t>ZTE, Sanechips</w:t>
            </w:r>
          </w:p>
        </w:tc>
        <w:tc>
          <w:tcPr>
            <w:tcW w:w="20522" w:type="dxa"/>
            <w:tcBorders>
              <w:top w:val="single" w:color="auto" w:sz="4" w:space="0"/>
              <w:left w:val="single" w:color="auto" w:sz="4" w:space="0"/>
              <w:bottom w:val="single" w:color="auto" w:sz="4" w:space="0"/>
              <w:right w:val="single" w:color="auto" w:sz="4" w:space="0"/>
            </w:tcBorders>
          </w:tcPr>
          <w:p>
            <w:pPr>
              <w:jc w:val="left"/>
              <w:rPr>
                <w:rFonts w:hint="default" w:eastAsia="宋体"/>
                <w:lang w:val="en-US" w:eastAsia="zh-CN"/>
              </w:rPr>
            </w:pPr>
            <w:r>
              <w:rPr>
                <w:rFonts w:hint="eastAsia" w:eastAsia="宋体"/>
                <w:lang w:val="en-US" w:eastAsia="zh-CN"/>
              </w:rPr>
              <w:t>Option 2 is preferred.</w:t>
            </w:r>
            <w:bookmarkStart w:id="4" w:name="_GoBack"/>
            <w:bookmarkEnd w:id="4"/>
          </w:p>
        </w:tc>
      </w:tr>
    </w:tbl>
    <w:p>
      <w:pPr>
        <w:pStyle w:val="40"/>
        <w:ind w:firstLine="180" w:firstLineChars="90"/>
        <w:rPr>
          <w:rFonts w:ascii="Calibri" w:hAnsi="Calibri" w:cs="Arial"/>
          <w:color w:val="000000"/>
        </w:rPr>
      </w:pPr>
    </w:p>
    <w:p>
      <w:pPr>
        <w:pStyle w:val="2"/>
        <w:numPr>
          <w:ilvl w:val="0"/>
          <w:numId w:val="8"/>
        </w:numPr>
        <w:spacing w:line="259" w:lineRule="auto"/>
        <w:jc w:val="both"/>
        <w:rPr>
          <w:color w:val="E7E6E6"/>
        </w:rPr>
      </w:pPr>
      <w:r>
        <w:rPr>
          <w:color w:val="E7E6E6"/>
        </w:rPr>
        <w:t xml:space="preserve">Discussion/Approval Items during RAN1 #108-e — Second Checkpoint </w:t>
      </w:r>
    </w:p>
    <w:p>
      <w:pPr>
        <w:pStyle w:val="40"/>
        <w:ind w:firstLine="180" w:firstLineChars="90"/>
        <w:rPr>
          <w:rFonts w:ascii="Calibri" w:hAnsi="Calibri" w:eastAsia="宋体" w:cs="Calibri"/>
          <w:color w:val="E7E6E6"/>
          <w:lang w:eastAsia="zh-CN"/>
        </w:rPr>
      </w:pPr>
      <w:r>
        <w:rPr>
          <w:rFonts w:ascii="Calibri" w:hAnsi="Calibri" w:eastAsia="宋体"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pPr>
        <w:pStyle w:val="40"/>
        <w:ind w:firstLine="180" w:firstLineChars="90"/>
        <w:rPr>
          <w:rFonts w:ascii="Calibri" w:hAnsi="Calibri" w:eastAsia="宋体" w:cs="Calibri"/>
          <w:color w:val="E7E6E6"/>
          <w:lang w:eastAsia="zh-CN"/>
        </w:rPr>
      </w:pPr>
    </w:p>
    <w:p>
      <w:pPr>
        <w:pStyle w:val="40"/>
        <w:ind w:firstLine="325" w:firstLineChars="90"/>
        <w:rPr>
          <w:rFonts w:ascii="Calibri" w:hAnsi="Calibri" w:eastAsia="宋体" w:cs="Calibri"/>
          <w:b/>
          <w:i/>
          <w:color w:val="E7E6E6"/>
          <w:sz w:val="36"/>
          <w:lang w:eastAsia="zh-CN"/>
        </w:rPr>
      </w:pPr>
      <w:r>
        <w:rPr>
          <w:rFonts w:ascii="Calibri" w:hAnsi="Calibri" w:eastAsia="宋体" w:cs="Calibri"/>
          <w:b/>
          <w:i/>
          <w:color w:val="E7E6E6"/>
          <w:sz w:val="36"/>
          <w:lang w:eastAsia="zh-CN"/>
        </w:rPr>
        <w:t>[Please submit all comments/questions/suggestions here, late comments/questions/suggestions submitted in Section 3 will not be considered]</w:t>
      </w:r>
    </w:p>
    <w:p>
      <w:pPr>
        <w:pStyle w:val="40"/>
        <w:ind w:firstLine="180" w:firstLineChars="90"/>
        <w:rPr>
          <w:rFonts w:ascii="Calibri" w:hAnsi="Calibri" w:eastAsia="宋体" w:cs="Calibri"/>
          <w:color w:val="E7E6E6"/>
          <w:lang w:eastAsia="zh-CN"/>
        </w:rPr>
      </w:pPr>
    </w:p>
    <w:p>
      <w:pPr>
        <w:pStyle w:val="40"/>
        <w:ind w:firstLine="181" w:firstLineChars="90"/>
        <w:rPr>
          <w:rFonts w:ascii="Calibri" w:hAnsi="Calibri" w:eastAsia="宋体" w:cs="Calibri"/>
          <w:b/>
          <w:color w:val="E7E6E6"/>
          <w:lang w:eastAsia="zh-CN"/>
        </w:rPr>
      </w:pPr>
      <w:r>
        <w:rPr>
          <w:rFonts w:ascii="Calibri" w:hAnsi="Calibri" w:eastAsia="宋体" w:cs="Calibri"/>
          <w:b/>
          <w:color w:val="E7E6E6"/>
          <w:lang w:eastAsia="zh-CN"/>
        </w:rPr>
        <w:t>General comments</w:t>
      </w:r>
    </w:p>
    <w:p>
      <w:pPr>
        <w:pStyle w:val="40"/>
        <w:ind w:firstLine="180" w:firstLineChars="90"/>
        <w:rPr>
          <w:rFonts w:ascii="Calibri" w:hAnsi="Calibri" w:eastAsia="宋体" w:cs="Calibri"/>
          <w:color w:val="E7E6E6"/>
          <w:lang w:eastAsia="zh-CN"/>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ＭＳ 明朝" w:cs="Calibri"/>
                <w:color w:val="E7E6E6"/>
              </w:rPr>
            </w:pPr>
            <w:r>
              <w:rPr>
                <w:rFonts w:ascii="Calibri" w:hAnsi="Calibri" w:eastAsia="ＭＳ 明朝"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ＭＳ 明朝" w:cs="Calibri"/>
                <w:color w:val="E7E6E6"/>
              </w:rPr>
            </w:pPr>
            <w:r>
              <w:rPr>
                <w:rFonts w:ascii="Calibri" w:hAnsi="Calibri" w:eastAsia="ＭＳ 明朝"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color w:val="E7E6E6"/>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color w:val="E7E6E6"/>
              </w:rPr>
            </w:pPr>
          </w:p>
        </w:tc>
      </w:tr>
    </w:tbl>
    <w:p>
      <w:pPr>
        <w:pStyle w:val="40"/>
        <w:ind w:firstLine="180" w:firstLineChars="90"/>
        <w:rPr>
          <w:rFonts w:ascii="Calibri" w:hAnsi="Calibri" w:eastAsia="宋体" w:cs="Calibri"/>
          <w:color w:val="E7E6E6"/>
          <w:lang w:eastAsia="zh-CN"/>
        </w:rPr>
      </w:pPr>
    </w:p>
    <w:p>
      <w:pPr>
        <w:pStyle w:val="2"/>
        <w:numPr>
          <w:ilvl w:val="1"/>
          <w:numId w:val="8"/>
        </w:numPr>
        <w:jc w:val="both"/>
        <w:rPr>
          <w:color w:val="E7E6E6"/>
        </w:rPr>
      </w:pPr>
      <w:r>
        <w:rPr>
          <w:color w:val="E7E6E6"/>
        </w:rPr>
        <w:t xml:space="preserve">Issue 1: FG </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p>
      <w:pPr>
        <w:pStyle w:val="2"/>
        <w:numPr>
          <w:ilvl w:val="0"/>
          <w:numId w:val="8"/>
        </w:numPr>
        <w:spacing w:line="259" w:lineRule="auto"/>
        <w:jc w:val="both"/>
        <w:rPr>
          <w:color w:val="E7E6E6"/>
        </w:rPr>
      </w:pPr>
      <w:r>
        <w:rPr>
          <w:color w:val="E7E6E6"/>
        </w:rPr>
        <w:t xml:space="preserve">Discussion/Approval Items during RAN1 #108-e — Third Checkpoint </w:t>
      </w:r>
    </w:p>
    <w:p>
      <w:pPr>
        <w:pStyle w:val="40"/>
        <w:ind w:firstLine="180" w:firstLineChars="90"/>
        <w:rPr>
          <w:rFonts w:ascii="Calibri" w:hAnsi="Calibri" w:eastAsia="宋体" w:cs="Calibri"/>
          <w:color w:val="E7E6E6"/>
          <w:lang w:eastAsia="zh-CN"/>
        </w:rPr>
      </w:pPr>
      <w:r>
        <w:rPr>
          <w:rFonts w:ascii="Calibri" w:hAnsi="Calibri" w:eastAsia="宋体"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pPr>
        <w:pStyle w:val="40"/>
        <w:ind w:firstLine="180" w:firstLineChars="90"/>
        <w:rPr>
          <w:rFonts w:ascii="Calibri" w:hAnsi="Calibri" w:eastAsia="宋体" w:cs="Calibri"/>
          <w:color w:val="E7E6E6"/>
          <w:lang w:eastAsia="zh-CN"/>
        </w:rPr>
      </w:pPr>
    </w:p>
    <w:p>
      <w:pPr>
        <w:pStyle w:val="40"/>
        <w:ind w:firstLine="325" w:firstLineChars="90"/>
        <w:rPr>
          <w:rFonts w:ascii="Calibri" w:hAnsi="Calibri" w:eastAsia="宋体" w:cs="Calibri"/>
          <w:b/>
          <w:i/>
          <w:color w:val="E7E6E6"/>
          <w:sz w:val="36"/>
          <w:lang w:eastAsia="zh-CN"/>
        </w:rPr>
      </w:pPr>
      <w:r>
        <w:rPr>
          <w:rFonts w:ascii="Calibri" w:hAnsi="Calibri" w:eastAsia="宋体" w:cs="Calibri"/>
          <w:b/>
          <w:i/>
          <w:color w:val="E7E6E6"/>
          <w:sz w:val="36"/>
          <w:lang w:eastAsia="zh-CN"/>
        </w:rPr>
        <w:t>[Please submit all comments/questions/suggestions here, late comments/questions/suggestions submitted in Section 4 will not be considered]</w:t>
      </w:r>
    </w:p>
    <w:p>
      <w:pPr>
        <w:pStyle w:val="40"/>
        <w:ind w:firstLine="180" w:firstLineChars="90"/>
        <w:rPr>
          <w:rFonts w:ascii="Calibri" w:hAnsi="Calibri" w:eastAsia="宋体" w:cs="Calibri"/>
          <w:color w:val="E7E6E6"/>
          <w:lang w:eastAsia="zh-CN"/>
        </w:rPr>
      </w:pPr>
    </w:p>
    <w:p>
      <w:pPr>
        <w:pStyle w:val="40"/>
        <w:ind w:firstLine="181" w:firstLineChars="90"/>
        <w:rPr>
          <w:rFonts w:ascii="Calibri" w:hAnsi="Calibri" w:eastAsia="宋体" w:cs="Calibri"/>
          <w:b/>
          <w:color w:val="E7E6E6"/>
          <w:lang w:eastAsia="zh-CN"/>
        </w:rPr>
      </w:pPr>
      <w:r>
        <w:rPr>
          <w:rFonts w:ascii="Calibri" w:hAnsi="Calibri" w:eastAsia="宋体" w:cs="Calibri"/>
          <w:b/>
          <w:color w:val="E7E6E6"/>
          <w:lang w:eastAsia="zh-CN"/>
        </w:rPr>
        <w:t>General comments</w:t>
      </w:r>
    </w:p>
    <w:p>
      <w:pPr>
        <w:pStyle w:val="40"/>
        <w:ind w:firstLine="180" w:firstLineChars="90"/>
        <w:rPr>
          <w:rFonts w:ascii="Calibri" w:hAnsi="Calibri" w:eastAsia="宋体" w:cs="Calibri"/>
          <w:color w:val="E7E6E6"/>
          <w:lang w:eastAsia="zh-CN"/>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ＭＳ 明朝" w:cs="Calibri"/>
                <w:color w:val="E7E6E6"/>
              </w:rPr>
            </w:pPr>
            <w:r>
              <w:rPr>
                <w:rFonts w:ascii="Calibri" w:hAnsi="Calibri" w:eastAsia="ＭＳ 明朝"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ＭＳ 明朝" w:cs="Calibri"/>
                <w:color w:val="E7E6E6"/>
              </w:rPr>
            </w:pPr>
            <w:r>
              <w:rPr>
                <w:rFonts w:ascii="Calibri" w:hAnsi="Calibri" w:eastAsia="ＭＳ 明朝"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color w:val="E7E6E6"/>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color w:val="E7E6E6"/>
              </w:rPr>
            </w:pPr>
          </w:p>
        </w:tc>
      </w:tr>
    </w:tbl>
    <w:p>
      <w:pPr>
        <w:pStyle w:val="40"/>
        <w:ind w:firstLine="180" w:firstLineChars="90"/>
        <w:rPr>
          <w:rFonts w:ascii="Calibri" w:hAnsi="Calibri" w:eastAsia="宋体" w:cs="Calibri"/>
          <w:color w:val="E7E6E6"/>
          <w:lang w:eastAsia="zh-CN"/>
        </w:rPr>
      </w:pPr>
    </w:p>
    <w:p>
      <w:pPr>
        <w:pStyle w:val="2"/>
        <w:numPr>
          <w:ilvl w:val="1"/>
          <w:numId w:val="8"/>
        </w:numPr>
        <w:jc w:val="both"/>
        <w:rPr>
          <w:color w:val="E7E6E6"/>
        </w:rPr>
      </w:pPr>
      <w:r>
        <w:rPr>
          <w:color w:val="E7E6E6"/>
        </w:rPr>
        <w:t xml:space="preserve">Issue 1: FG </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p>
      <w:pPr>
        <w:pStyle w:val="2"/>
        <w:numPr>
          <w:ilvl w:val="0"/>
          <w:numId w:val="8"/>
        </w:numPr>
        <w:spacing w:line="259" w:lineRule="auto"/>
        <w:jc w:val="both"/>
        <w:rPr>
          <w:color w:val="E7E6E6"/>
        </w:rPr>
      </w:pPr>
      <w:r>
        <w:rPr>
          <w:color w:val="E7E6E6"/>
        </w:rPr>
        <w:t>Summary of Final Proposals for Agreements</w:t>
      </w:r>
    </w:p>
    <w:p>
      <w:pPr>
        <w:pStyle w:val="40"/>
        <w:ind w:firstLine="180" w:firstLineChars="90"/>
        <w:rPr>
          <w:rFonts w:ascii="Calibri" w:hAnsi="Calibri" w:eastAsia="宋体" w:cs="Calibri"/>
          <w:color w:val="E7E6E6"/>
          <w:lang w:eastAsia="zh-CN"/>
        </w:rPr>
      </w:pPr>
      <w:r>
        <w:rPr>
          <w:rFonts w:ascii="Calibri" w:hAnsi="Calibri" w:eastAsia="宋体" w:cs="Calibri"/>
          <w:color w:val="E7E6E6"/>
          <w:lang w:eastAsia="zh-CN"/>
        </w:rPr>
        <w:t>This Section summarizes the final proposals for agreement in RAN1 #108-e by email. There are no tables for comments.</w:t>
      </w:r>
    </w:p>
    <w:p>
      <w:pPr>
        <w:pStyle w:val="40"/>
        <w:ind w:firstLine="180" w:firstLineChars="90"/>
        <w:rPr>
          <w:rFonts w:ascii="Calibri" w:hAnsi="Calibri" w:eastAsia="宋体" w:cs="Calibri"/>
          <w:color w:val="E7E6E6"/>
          <w:lang w:eastAsia="zh-CN"/>
        </w:rPr>
      </w:pPr>
    </w:p>
    <w:p>
      <w:pPr>
        <w:pStyle w:val="40"/>
        <w:ind w:firstLine="325" w:firstLineChars="90"/>
        <w:rPr>
          <w:rFonts w:ascii="Calibri" w:hAnsi="Calibri" w:eastAsia="宋体" w:cs="Calibri"/>
          <w:b/>
          <w:i/>
          <w:color w:val="E7E6E6"/>
          <w:sz w:val="36"/>
          <w:lang w:eastAsia="zh-CN"/>
        </w:rPr>
      </w:pPr>
      <w:r>
        <w:rPr>
          <w:rFonts w:ascii="Calibri" w:hAnsi="Calibri" w:eastAsia="宋体" w:cs="Calibri"/>
          <w:b/>
          <w:i/>
          <w:color w:val="E7E6E6"/>
          <w:sz w:val="36"/>
          <w:lang w:eastAsia="zh-CN"/>
        </w:rPr>
        <w:t>[All comments must be directly made on the RAN1 email reflector]</w:t>
      </w:r>
    </w:p>
    <w:p>
      <w:pPr>
        <w:pStyle w:val="40"/>
        <w:ind w:firstLine="180" w:firstLineChars="90"/>
        <w:rPr>
          <w:rFonts w:ascii="Calibri" w:hAnsi="Calibri" w:eastAsia="宋体" w:cs="Calibri"/>
          <w:color w:val="E7E6E6"/>
          <w:lang w:eastAsia="zh-CN"/>
        </w:rPr>
      </w:pPr>
    </w:p>
    <w:p>
      <w:pPr>
        <w:pStyle w:val="40"/>
        <w:ind w:firstLine="180" w:firstLineChars="90"/>
        <w:rPr>
          <w:rFonts w:ascii="Calibri" w:hAnsi="Calibri" w:eastAsia="宋体" w:cs="Calibri"/>
          <w:color w:val="E7E6E6"/>
          <w:lang w:eastAsia="zh-CN"/>
        </w:rPr>
      </w:pPr>
      <w:r>
        <w:rPr>
          <w:rFonts w:ascii="Calibri" w:hAnsi="Calibri" w:eastAsia="宋体" w:cs="Calibri"/>
          <w:color w:val="E7E6E6"/>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highlight w:val="yellow"/>
        </w:rPr>
        <w:t>Possible Agreement:</w:t>
      </w:r>
      <w:r>
        <w:rPr>
          <w:rFonts w:ascii="Calibri" w:hAnsi="Calibri" w:cs="Arial"/>
          <w:b/>
          <w:color w:val="E7E6E6"/>
        </w:rPr>
        <w:t xml:space="preserve">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p>
      <w:pPr>
        <w:pStyle w:val="2"/>
        <w:numPr>
          <w:ilvl w:val="0"/>
          <w:numId w:val="8"/>
        </w:numPr>
        <w:jc w:val="both"/>
        <w:rPr>
          <w:color w:val="E7E6E6"/>
        </w:rPr>
      </w:pPr>
      <w:r>
        <w:rPr>
          <w:color w:val="E7E6E6"/>
        </w:rPr>
        <w:t>Conclusion</w:t>
      </w:r>
    </w:p>
    <w:p>
      <w:pPr>
        <w:pStyle w:val="40"/>
        <w:ind w:firstLine="180" w:firstLineChars="90"/>
        <w:rPr>
          <w:rFonts w:ascii="Calibri" w:hAnsi="Calibri" w:cs="Calibri"/>
          <w:color w:val="E7E6E6"/>
        </w:rPr>
      </w:pPr>
      <w:r>
        <w:rPr>
          <w:rFonts w:ascii="Calibri" w:hAnsi="Calibri" w:cs="Calibri"/>
          <w:color w:val="E7E6E6"/>
        </w:rPr>
        <w:t>After further discussion on the RAN1 email reflector the following was agreed as part of this email discussion:</w:t>
      </w:r>
    </w:p>
    <w:p>
      <w:pPr>
        <w:pStyle w:val="40"/>
        <w:ind w:firstLine="180" w:firstLineChars="90"/>
        <w:rPr>
          <w:rFonts w:ascii="Calibri" w:hAnsi="Calibri" w:cs="Calibri"/>
          <w:color w:val="000000"/>
        </w:rPr>
      </w:pPr>
    </w:p>
    <w:p>
      <w:pPr>
        <w:pStyle w:val="2"/>
        <w:numPr>
          <w:ilvl w:val="0"/>
          <w:numId w:val="8"/>
        </w:numPr>
        <w:jc w:val="both"/>
        <w:rPr>
          <w:color w:val="000000"/>
        </w:rPr>
      </w:pPr>
      <w:r>
        <w:rPr>
          <w:color w:val="000000"/>
        </w:rPr>
        <w:t>References</w:t>
      </w:r>
    </w:p>
    <w:p>
      <w:pPr>
        <w:pStyle w:val="68"/>
        <w:numPr>
          <w:ilvl w:val="0"/>
          <w:numId w:val="11"/>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R1-2200780, Updated RAN1 UE features list for Rel-17 NR after RAN1 #107bis-e, Moderators (AT&amp;T, NTT DOCOMO, INC.)</w:t>
      </w:r>
    </w:p>
    <w:p>
      <w:pPr>
        <w:pStyle w:val="68"/>
        <w:numPr>
          <w:ilvl w:val="0"/>
          <w:numId w:val="11"/>
        </w:numPr>
        <w:spacing w:line="288" w:lineRule="auto"/>
        <w:ind w:firstLineChars="0"/>
        <w:rPr>
          <w:rFonts w:ascii="Calibri" w:hAnsi="Calibri" w:cs="Times New Roman"/>
          <w:color w:val="000000"/>
          <w:lang w:eastAsia="ko-KR"/>
        </w:rPr>
      </w:pPr>
      <w:bookmarkStart w:id="3" w:name="_Ref95832671"/>
      <w:r>
        <w:rPr>
          <w:rFonts w:ascii="Calibri" w:hAnsi="Calibri" w:cs="Times New Roman"/>
          <w:color w:val="000000"/>
          <w:lang w:eastAsia="ko-KR"/>
        </w:rPr>
        <w:t>R1-2202226, UE features for DL 1024-QAM, Ericsson</w:t>
      </w:r>
      <w:bookmarkEnd w:id="3"/>
    </w:p>
    <w:p>
      <w:pPr>
        <w:pStyle w:val="47"/>
        <w:jc w:val="left"/>
        <w:rPr>
          <w:rFonts w:ascii="Calibri" w:hAnsi="Calibri"/>
          <w:color w:val="000000"/>
          <w:lang w:eastAsia="ko-KR"/>
        </w:rPr>
      </w:pPr>
    </w:p>
    <w:sectPr>
      <w:pgSz w:w="23803" w:h="16834" w:orient="landscape"/>
      <w:pgMar w:top="1080" w:right="850" w:bottom="1080" w:left="56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ＭＳ 明朝">
    <w:altName w:val="Yu Gothic UI"/>
    <w:panose1 w:val="02020609040205080304"/>
    <w:charset w:val="80"/>
    <w:family w:val="roma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0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游明朝">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779C8"/>
    <w:multiLevelType w:val="multilevel"/>
    <w:tmpl w:val="194779C8"/>
    <w:lvl w:ilvl="0" w:tentative="0">
      <w:start w:val="1"/>
      <w:numFmt w:val="decimal"/>
      <w:pStyle w:val="85"/>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DDF0E1C"/>
    <w:multiLevelType w:val="multilevel"/>
    <w:tmpl w:val="2DDF0E1C"/>
    <w:lvl w:ilvl="0" w:tentative="0">
      <w:start w:val="1"/>
      <w:numFmt w:val="bullet"/>
      <w:pStyle w:val="7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E291D71"/>
    <w:multiLevelType w:val="multilevel"/>
    <w:tmpl w:val="2E291D71"/>
    <w:lvl w:ilvl="0" w:tentative="0">
      <w:start w:val="1"/>
      <w:numFmt w:val="decimal"/>
      <w:pStyle w:val="95"/>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3">
    <w:nsid w:val="3AA46647"/>
    <w:multiLevelType w:val="multilevel"/>
    <w:tmpl w:val="3AA46647"/>
    <w:lvl w:ilvl="0" w:tentative="0">
      <w:start w:val="1"/>
      <w:numFmt w:val="decimal"/>
      <w:pStyle w:val="87"/>
      <w:lvlText w:val="Proposal %1"/>
      <w:lvlJc w:val="left"/>
      <w:pPr>
        <w:tabs>
          <w:tab w:val="left" w:pos="256"/>
        </w:tabs>
        <w:ind w:left="256" w:hanging="1304"/>
      </w:pPr>
      <w:rPr>
        <w:rFonts w:hint="default"/>
      </w:rPr>
    </w:lvl>
    <w:lvl w:ilvl="1" w:tentative="0">
      <w:start w:val="1"/>
      <w:numFmt w:val="lowerLetter"/>
      <w:lvlText w:val="%2."/>
      <w:lvlJc w:val="left"/>
      <w:pPr>
        <w:tabs>
          <w:tab w:val="left" w:pos="392"/>
        </w:tabs>
        <w:ind w:left="392" w:hanging="360"/>
      </w:pPr>
    </w:lvl>
    <w:lvl w:ilvl="2" w:tentative="0">
      <w:start w:val="1"/>
      <w:numFmt w:val="lowerRoman"/>
      <w:lvlText w:val="%3."/>
      <w:lvlJc w:val="right"/>
      <w:pPr>
        <w:tabs>
          <w:tab w:val="left" w:pos="1112"/>
        </w:tabs>
        <w:ind w:left="1112" w:hanging="180"/>
      </w:pPr>
    </w:lvl>
    <w:lvl w:ilvl="3" w:tentative="0">
      <w:start w:val="1"/>
      <w:numFmt w:val="decimal"/>
      <w:lvlText w:val="%4."/>
      <w:lvlJc w:val="left"/>
      <w:pPr>
        <w:tabs>
          <w:tab w:val="left" w:pos="1832"/>
        </w:tabs>
        <w:ind w:left="1832" w:hanging="360"/>
      </w:pPr>
    </w:lvl>
    <w:lvl w:ilvl="4" w:tentative="0">
      <w:start w:val="1"/>
      <w:numFmt w:val="lowerLetter"/>
      <w:lvlText w:val="%5."/>
      <w:lvlJc w:val="left"/>
      <w:pPr>
        <w:tabs>
          <w:tab w:val="left" w:pos="2552"/>
        </w:tabs>
        <w:ind w:left="2552" w:hanging="360"/>
      </w:pPr>
    </w:lvl>
    <w:lvl w:ilvl="5" w:tentative="0">
      <w:start w:val="1"/>
      <w:numFmt w:val="lowerRoman"/>
      <w:lvlText w:val="%6."/>
      <w:lvlJc w:val="right"/>
      <w:pPr>
        <w:tabs>
          <w:tab w:val="left" w:pos="3272"/>
        </w:tabs>
        <w:ind w:left="3272" w:hanging="180"/>
      </w:pPr>
    </w:lvl>
    <w:lvl w:ilvl="6" w:tentative="0">
      <w:start w:val="1"/>
      <w:numFmt w:val="decimal"/>
      <w:lvlText w:val="%7."/>
      <w:lvlJc w:val="left"/>
      <w:pPr>
        <w:tabs>
          <w:tab w:val="left" w:pos="3992"/>
        </w:tabs>
        <w:ind w:left="3992" w:hanging="360"/>
      </w:pPr>
    </w:lvl>
    <w:lvl w:ilvl="7" w:tentative="0">
      <w:start w:val="1"/>
      <w:numFmt w:val="lowerLetter"/>
      <w:lvlText w:val="%8."/>
      <w:lvlJc w:val="left"/>
      <w:pPr>
        <w:tabs>
          <w:tab w:val="left" w:pos="4712"/>
        </w:tabs>
        <w:ind w:left="4712" w:hanging="360"/>
      </w:pPr>
    </w:lvl>
    <w:lvl w:ilvl="8" w:tentative="0">
      <w:start w:val="1"/>
      <w:numFmt w:val="lowerRoman"/>
      <w:lvlText w:val="%9."/>
      <w:lvlJc w:val="right"/>
      <w:pPr>
        <w:tabs>
          <w:tab w:val="left" w:pos="5432"/>
        </w:tabs>
        <w:ind w:left="5432" w:hanging="180"/>
      </w:pPr>
    </w:lvl>
  </w:abstractNum>
  <w:abstractNum w:abstractNumId="4">
    <w:nsid w:val="410F1BBE"/>
    <w:multiLevelType w:val="multilevel"/>
    <w:tmpl w:val="410F1BBE"/>
    <w:lvl w:ilvl="0" w:tentative="0">
      <w:start w:val="1"/>
      <w:numFmt w:val="decimal"/>
      <w:pStyle w:val="82"/>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17F6AFB"/>
    <w:multiLevelType w:val="multilevel"/>
    <w:tmpl w:val="417F6AFB"/>
    <w:lvl w:ilvl="0" w:tentative="0">
      <w:start w:val="1"/>
      <w:numFmt w:val="bullet"/>
      <w:pStyle w:val="8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8">
    <w:nsid w:val="7F617D9E"/>
    <w:multiLevelType w:val="multilevel"/>
    <w:tmpl w:val="7F617D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7"/>
  </w:num>
  <w:num w:numId="2">
    <w:abstractNumId w:val="1"/>
  </w:num>
  <w:num w:numId="3">
    <w:abstractNumId w:val="5"/>
  </w:num>
  <w:num w:numId="4">
    <w:abstractNumId w:val="4"/>
  </w:num>
  <w:num w:numId="5">
    <w:abstractNumId w:val="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20D0"/>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05F"/>
    <w:rsid w:val="00081DFA"/>
    <w:rsid w:val="0008246C"/>
    <w:rsid w:val="000829FB"/>
    <w:rsid w:val="00082FFC"/>
    <w:rsid w:val="00084082"/>
    <w:rsid w:val="00084721"/>
    <w:rsid w:val="00084E8F"/>
    <w:rsid w:val="000850A5"/>
    <w:rsid w:val="00085141"/>
    <w:rsid w:val="000852D4"/>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9E8"/>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09E3"/>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725"/>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5D5F"/>
    <w:rsid w:val="00BA677D"/>
    <w:rsid w:val="00BA7948"/>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99F"/>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111"/>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6E3A5F02"/>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120"/>
      <w:jc w:val="both"/>
    </w:pPr>
    <w:rPr>
      <w:rFonts w:ascii="Arial" w:hAnsi="Arial" w:eastAsia="Times New Roman" w:cs="Times New Roman"/>
      <w:lang w:val="en-US" w:eastAsia="en-US" w:bidi="ar-SA"/>
    </w:rPr>
  </w:style>
  <w:style w:type="paragraph" w:styleId="2">
    <w:name w:val="heading 1"/>
    <w:basedOn w:val="1"/>
    <w:next w:val="1"/>
    <w:link w:val="38"/>
    <w:qFormat/>
    <w:uiPriority w:val="0"/>
    <w:pPr>
      <w:keepNext/>
      <w:numPr>
        <w:ilvl w:val="0"/>
        <w:numId w:val="1"/>
      </w:numPr>
      <w:pBdr>
        <w:bottom w:val="single" w:color="auto" w:sz="4" w:space="1"/>
      </w:pBdr>
      <w:spacing w:before="240" w:after="60"/>
      <w:jc w:val="left"/>
      <w:outlineLvl w:val="0"/>
    </w:pPr>
    <w:rPr>
      <w:b/>
      <w:sz w:val="32"/>
    </w:rPr>
  </w:style>
  <w:style w:type="paragraph" w:styleId="3">
    <w:name w:val="heading 2"/>
    <w:basedOn w:val="1"/>
    <w:next w:val="1"/>
    <w:link w:val="61"/>
    <w:qFormat/>
    <w:uiPriority w:val="0"/>
    <w:pPr>
      <w:keepNext/>
      <w:numPr>
        <w:ilvl w:val="1"/>
        <w:numId w:val="1"/>
      </w:numPr>
      <w:spacing w:after="60"/>
      <w:outlineLvl w:val="1"/>
    </w:pPr>
    <w:rPr>
      <w:b/>
      <w:i/>
      <w:sz w:val="28"/>
    </w:rPr>
  </w:style>
  <w:style w:type="paragraph" w:styleId="4">
    <w:name w:val="heading 3"/>
    <w:basedOn w:val="1"/>
    <w:next w:val="1"/>
    <w:link w:val="50"/>
    <w:qFormat/>
    <w:uiPriority w:val="0"/>
    <w:pPr>
      <w:keepNext/>
      <w:numPr>
        <w:ilvl w:val="2"/>
        <w:numId w:val="1"/>
      </w:numPr>
      <w:spacing w:before="120" w:after="60"/>
      <w:outlineLvl w:val="2"/>
    </w:pPr>
    <w:rPr>
      <w:b/>
      <w:sz w:val="24"/>
    </w:rPr>
  </w:style>
  <w:style w:type="paragraph" w:styleId="5">
    <w:name w:val="heading 4"/>
    <w:basedOn w:val="1"/>
    <w:next w:val="1"/>
    <w:link w:val="48"/>
    <w:qFormat/>
    <w:uiPriority w:val="0"/>
    <w:pPr>
      <w:keepNext/>
      <w:numPr>
        <w:ilvl w:val="3"/>
        <w:numId w:val="1"/>
      </w:numPr>
      <w:outlineLvl w:val="3"/>
    </w:pPr>
    <w:rPr>
      <w:b/>
      <w:sz w:val="24"/>
      <w:szCs w:val="24"/>
    </w:rPr>
  </w:style>
  <w:style w:type="paragraph" w:styleId="6">
    <w:name w:val="heading 5"/>
    <w:basedOn w:val="1"/>
    <w:next w:val="1"/>
    <w:link w:val="62"/>
    <w:qFormat/>
    <w:uiPriority w:val="0"/>
    <w:pPr>
      <w:numPr>
        <w:ilvl w:val="4"/>
        <w:numId w:val="1"/>
      </w:numPr>
      <w:spacing w:before="240" w:after="60"/>
      <w:outlineLvl w:val="4"/>
    </w:pPr>
  </w:style>
  <w:style w:type="paragraph" w:styleId="7">
    <w:name w:val="heading 6"/>
    <w:basedOn w:val="1"/>
    <w:next w:val="1"/>
    <w:link w:val="58"/>
    <w:qFormat/>
    <w:uiPriority w:val="0"/>
    <w:pPr>
      <w:numPr>
        <w:ilvl w:val="5"/>
        <w:numId w:val="1"/>
      </w:numPr>
      <w:spacing w:before="240" w:after="60"/>
      <w:outlineLvl w:val="5"/>
    </w:pPr>
    <w:rPr>
      <w:i/>
    </w:rPr>
  </w:style>
  <w:style w:type="paragraph" w:styleId="8">
    <w:name w:val="heading 7"/>
    <w:basedOn w:val="1"/>
    <w:next w:val="1"/>
    <w:link w:val="53"/>
    <w:qFormat/>
    <w:uiPriority w:val="0"/>
    <w:pPr>
      <w:numPr>
        <w:ilvl w:val="6"/>
        <w:numId w:val="1"/>
      </w:numPr>
      <w:spacing w:before="240" w:after="60"/>
      <w:outlineLvl w:val="6"/>
    </w:pPr>
  </w:style>
  <w:style w:type="paragraph" w:styleId="9">
    <w:name w:val="heading 8"/>
    <w:basedOn w:val="1"/>
    <w:next w:val="1"/>
    <w:link w:val="49"/>
    <w:qFormat/>
    <w:uiPriority w:val="0"/>
    <w:pPr>
      <w:numPr>
        <w:ilvl w:val="7"/>
        <w:numId w:val="1"/>
      </w:numPr>
      <w:spacing w:before="240" w:after="60"/>
      <w:outlineLvl w:val="7"/>
    </w:pPr>
    <w:rPr>
      <w:i/>
    </w:rPr>
  </w:style>
  <w:style w:type="paragraph" w:styleId="10">
    <w:name w:val="heading 9"/>
    <w:basedOn w:val="1"/>
    <w:next w:val="1"/>
    <w:link w:val="35"/>
    <w:qFormat/>
    <w:uiPriority w:val="0"/>
    <w:pPr>
      <w:numPr>
        <w:ilvl w:val="8"/>
        <w:numId w:val="1"/>
      </w:numPr>
      <w:spacing w:before="240" w:after="60"/>
      <w:outlineLvl w:val="8"/>
    </w:pPr>
    <w:rPr>
      <w:b/>
      <w:i/>
      <w:sz w:val="18"/>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ind w:left="1080" w:hanging="360"/>
      <w:contextualSpacing/>
    </w:pPr>
  </w:style>
  <w:style w:type="paragraph" w:styleId="12">
    <w:name w:val="caption"/>
    <w:basedOn w:val="1"/>
    <w:next w:val="1"/>
    <w:link w:val="76"/>
    <w:qFormat/>
    <w:uiPriority w:val="0"/>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13">
    <w:name w:val="annotation text"/>
    <w:basedOn w:val="1"/>
    <w:link w:val="65"/>
    <w:unhideWhenUsed/>
    <w:qFormat/>
    <w:uiPriority w:val="99"/>
  </w:style>
  <w:style w:type="paragraph" w:styleId="14">
    <w:name w:val="Body Text"/>
    <w:basedOn w:val="1"/>
    <w:link w:val="69"/>
    <w:qFormat/>
    <w:uiPriority w:val="0"/>
    <w:pPr>
      <w:tabs>
        <w:tab w:val="left" w:pos="1440"/>
      </w:tabs>
      <w:spacing w:before="0"/>
      <w:ind w:left="1440" w:hanging="1440"/>
    </w:pPr>
    <w:rPr>
      <w:rFonts w:ascii="Times" w:hAnsi="Times" w:eastAsia="Batang"/>
      <w:szCs w:val="24"/>
      <w:lang w:val="en-GB"/>
    </w:rPr>
  </w:style>
  <w:style w:type="paragraph" w:styleId="15">
    <w:name w:val="List 2"/>
    <w:basedOn w:val="1"/>
    <w:unhideWhenUsed/>
    <w:qFormat/>
    <w:uiPriority w:val="99"/>
    <w:pPr>
      <w:ind w:left="720" w:hanging="360"/>
      <w:contextualSpacing/>
    </w:pPr>
  </w:style>
  <w:style w:type="paragraph" w:styleId="16">
    <w:name w:val="toc 5"/>
    <w:basedOn w:val="1"/>
    <w:next w:val="1"/>
    <w:unhideWhenUsed/>
    <w:qFormat/>
    <w:uiPriority w:val="39"/>
    <w:pPr>
      <w:ind w:left="800"/>
    </w:pPr>
  </w:style>
  <w:style w:type="paragraph" w:styleId="17">
    <w:name w:val="Plain Text"/>
    <w:basedOn w:val="1"/>
    <w:link w:val="52"/>
    <w:unhideWhenUsed/>
    <w:qFormat/>
    <w:uiPriority w:val="99"/>
    <w:pPr>
      <w:widowControl w:val="0"/>
      <w:wordWrap w:val="0"/>
      <w:autoSpaceDE w:val="0"/>
      <w:autoSpaceDN w:val="0"/>
      <w:spacing w:before="0" w:after="0"/>
      <w:jc w:val="left"/>
    </w:pPr>
    <w:rPr>
      <w:rFonts w:ascii="Courier New" w:hAnsi="Courier New" w:eastAsia="Gulim" w:cs="Courier New"/>
      <w:kern w:val="2"/>
      <w:lang w:eastAsia="ko-KR"/>
    </w:rPr>
  </w:style>
  <w:style w:type="paragraph" w:styleId="18">
    <w:name w:val="Balloon Text"/>
    <w:basedOn w:val="1"/>
    <w:link w:val="51"/>
    <w:unhideWhenUsed/>
    <w:qFormat/>
    <w:uiPriority w:val="99"/>
    <w:pPr>
      <w:spacing w:before="0" w:after="0"/>
    </w:pPr>
    <w:rPr>
      <w:rFonts w:ascii="Segoe UI" w:hAnsi="Segoe UI" w:cs="Segoe UI"/>
      <w:sz w:val="18"/>
      <w:szCs w:val="18"/>
    </w:rPr>
  </w:style>
  <w:style w:type="paragraph" w:styleId="19">
    <w:name w:val="footer"/>
    <w:basedOn w:val="1"/>
    <w:link w:val="45"/>
    <w:unhideWhenUsed/>
    <w:qFormat/>
    <w:uiPriority w:val="99"/>
    <w:pPr>
      <w:tabs>
        <w:tab w:val="center" w:pos="4680"/>
        <w:tab w:val="right" w:pos="9360"/>
      </w:tabs>
      <w:spacing w:before="0" w:after="0"/>
    </w:pPr>
  </w:style>
  <w:style w:type="paragraph" w:styleId="20">
    <w:name w:val="header"/>
    <w:basedOn w:val="1"/>
    <w:link w:val="63"/>
    <w:unhideWhenUsed/>
    <w:qFormat/>
    <w:uiPriority w:val="99"/>
    <w:pPr>
      <w:tabs>
        <w:tab w:val="center" w:pos="4680"/>
        <w:tab w:val="right" w:pos="9360"/>
      </w:tabs>
      <w:spacing w:before="0" w:after="0"/>
    </w:pPr>
  </w:style>
  <w:style w:type="paragraph" w:styleId="21">
    <w:name w:val="toc 1"/>
    <w:basedOn w:val="1"/>
    <w:next w:val="1"/>
    <w:unhideWhenUsed/>
    <w:qFormat/>
    <w:uiPriority w:val="99"/>
    <w:pPr>
      <w:tabs>
        <w:tab w:val="decimal" w:pos="0"/>
        <w:tab w:val="right" w:pos="9660"/>
      </w:tabs>
      <w:spacing w:before="0" w:beforeLines="50" w:after="0" w:afterLines="50"/>
      <w:ind w:right="420" w:rightChars="200"/>
      <w:jc w:val="left"/>
    </w:pPr>
    <w:rPr>
      <w:rFonts w:ascii="Times New Roman" w:hAnsi="Times New Roman" w:eastAsia="宋体"/>
      <w:b/>
      <w:bCs/>
      <w:i/>
      <w:iCs/>
      <w:kern w:val="2"/>
      <w:lang w:eastAsia="zh-CN"/>
    </w:rPr>
  </w:style>
  <w:style w:type="paragraph" w:styleId="22">
    <w:name w:val="List"/>
    <w:basedOn w:val="1"/>
    <w:unhideWhenUsed/>
    <w:qFormat/>
    <w:uiPriority w:val="99"/>
    <w:pPr>
      <w:ind w:left="360" w:hanging="360"/>
      <w:contextualSpacing/>
    </w:pPr>
  </w:style>
  <w:style w:type="paragraph" w:styleId="23">
    <w:name w:val="footnote text"/>
    <w:basedOn w:val="1"/>
    <w:link w:val="34"/>
    <w:qFormat/>
    <w:uiPriority w:val="0"/>
    <w:rPr>
      <w:sz w:val="18"/>
    </w:rPr>
  </w:style>
  <w:style w:type="paragraph" w:styleId="24">
    <w:name w:val="Normal (Web)"/>
    <w:basedOn w:val="1"/>
    <w:unhideWhenUsed/>
    <w:qFormat/>
    <w:uiPriority w:val="99"/>
    <w:pPr>
      <w:spacing w:before="100" w:beforeAutospacing="1" w:after="100" w:afterAutospacing="1"/>
      <w:jc w:val="left"/>
    </w:pPr>
    <w:rPr>
      <w:rFonts w:ascii="Times New Roman" w:hAnsi="Times New Roman"/>
      <w:sz w:val="24"/>
      <w:szCs w:val="24"/>
    </w:rPr>
  </w:style>
  <w:style w:type="paragraph" w:styleId="25">
    <w:name w:val="annotation subject"/>
    <w:basedOn w:val="13"/>
    <w:next w:val="13"/>
    <w:link w:val="37"/>
    <w:unhideWhenUsed/>
    <w:qFormat/>
    <w:uiPriority w:val="99"/>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Emphasis"/>
    <w:qFormat/>
    <w:uiPriority w:val="20"/>
    <w:rPr>
      <w:i/>
      <w:iCs/>
    </w:rPr>
  </w:style>
  <w:style w:type="character" w:styleId="31">
    <w:name w:val="Hyperlink"/>
    <w:qFormat/>
    <w:uiPriority w:val="99"/>
    <w:rPr>
      <w:color w:val="0000FF"/>
      <w:u w:val="single"/>
    </w:rPr>
  </w:style>
  <w:style w:type="character" w:styleId="32">
    <w:name w:val="annotation reference"/>
    <w:unhideWhenUsed/>
    <w:uiPriority w:val="99"/>
    <w:rPr>
      <w:sz w:val="16"/>
      <w:szCs w:val="16"/>
    </w:rPr>
  </w:style>
  <w:style w:type="character" w:styleId="33">
    <w:name w:val="footnote reference"/>
    <w:qFormat/>
    <w:uiPriority w:val="0"/>
    <w:rPr>
      <w:vertAlign w:val="superscript"/>
    </w:rPr>
  </w:style>
  <w:style w:type="character" w:customStyle="1" w:styleId="34">
    <w:name w:val="脚注文字列 (文字)"/>
    <w:link w:val="23"/>
    <w:uiPriority w:val="0"/>
    <w:rPr>
      <w:rFonts w:ascii="Arial" w:hAnsi="Arial" w:eastAsia="Times New Roman" w:cs="Times New Roman"/>
      <w:sz w:val="18"/>
      <w:szCs w:val="20"/>
    </w:rPr>
  </w:style>
  <w:style w:type="character" w:customStyle="1" w:styleId="35">
    <w:name w:val="見出し 9 (文字)"/>
    <w:link w:val="10"/>
    <w:qFormat/>
    <w:uiPriority w:val="0"/>
    <w:rPr>
      <w:rFonts w:ascii="Arial" w:hAnsi="Arial" w:eastAsia="Times New Roman"/>
      <w:b/>
      <w:i/>
      <w:sz w:val="18"/>
    </w:rPr>
  </w:style>
  <w:style w:type="character" w:customStyle="1" w:styleId="36">
    <w:name w:val="apple-converted-space"/>
    <w:qFormat/>
    <w:uiPriority w:val="0"/>
  </w:style>
  <w:style w:type="character" w:customStyle="1" w:styleId="37">
    <w:name w:val="コメント内容 (文字)"/>
    <w:link w:val="25"/>
    <w:semiHidden/>
    <w:qFormat/>
    <w:uiPriority w:val="99"/>
    <w:rPr>
      <w:rFonts w:ascii="Arial" w:hAnsi="Arial" w:eastAsia="Times New Roman" w:cs="Times New Roman"/>
      <w:b/>
      <w:bCs/>
      <w:sz w:val="20"/>
      <w:szCs w:val="20"/>
    </w:rPr>
  </w:style>
  <w:style w:type="character" w:customStyle="1" w:styleId="38">
    <w:name w:val="見出し 1 (文字)"/>
    <w:link w:val="2"/>
    <w:qFormat/>
    <w:uiPriority w:val="0"/>
    <w:rPr>
      <w:rFonts w:ascii="Arial" w:hAnsi="Arial" w:eastAsia="Times New Roman"/>
      <w:b/>
      <w:sz w:val="32"/>
    </w:rPr>
  </w:style>
  <w:style w:type="character" w:customStyle="1" w:styleId="39">
    <w:name w:val="main text Char"/>
    <w:link w:val="40"/>
    <w:qFormat/>
    <w:uiPriority w:val="0"/>
    <w:rPr>
      <w:rFonts w:ascii="Times New Roman" w:hAnsi="Times New Roman" w:eastAsia="Malgun Gothic" w:cs="Batang"/>
      <w:lang w:val="en-GB" w:eastAsia="ko-KR"/>
    </w:rPr>
  </w:style>
  <w:style w:type="paragraph" w:customStyle="1" w:styleId="40">
    <w:name w:val="main text"/>
    <w:basedOn w:val="1"/>
    <w:link w:val="39"/>
    <w:qFormat/>
    <w:uiPriority w:val="0"/>
    <w:pPr>
      <w:spacing w:after="60" w:line="288" w:lineRule="auto"/>
      <w:ind w:firstLine="200" w:firstLineChars="200"/>
    </w:pPr>
    <w:rPr>
      <w:rFonts w:ascii="Times New Roman" w:hAnsi="Times New Roman" w:eastAsia="Malgun Gothic" w:cs="Batang"/>
      <w:lang w:val="en-GB" w:eastAsia="ko-KR"/>
    </w:rPr>
  </w:style>
  <w:style w:type="character" w:customStyle="1" w:styleId="41">
    <w:name w:val="リスト段落 (文字)"/>
    <w:link w:val="42"/>
    <w:qFormat/>
    <w:locked/>
    <w:uiPriority w:val="34"/>
    <w:rPr>
      <w:rFonts w:ascii="Arial" w:hAnsi="Arial" w:eastAsia="Times New Roman"/>
    </w:rPr>
  </w:style>
  <w:style w:type="paragraph" w:styleId="42">
    <w:name w:val="List Paragraph"/>
    <w:basedOn w:val="1"/>
    <w:link w:val="41"/>
    <w:qFormat/>
    <w:uiPriority w:val="34"/>
    <w:pPr>
      <w:ind w:left="720"/>
      <w:contextualSpacing/>
    </w:pPr>
  </w:style>
  <w:style w:type="character" w:customStyle="1" w:styleId="43">
    <w:name w:val="B1 Char"/>
    <w:link w:val="44"/>
    <w:qFormat/>
    <w:uiPriority w:val="0"/>
    <w:rPr>
      <w:rFonts w:ascii="Times New Roman" w:hAnsi="Times New Roman" w:eastAsia="ＭＳ 明朝"/>
      <w:lang w:val="en-GB"/>
    </w:rPr>
  </w:style>
  <w:style w:type="paragraph" w:customStyle="1" w:styleId="44">
    <w:name w:val="B1"/>
    <w:basedOn w:val="22"/>
    <w:link w:val="43"/>
    <w:qFormat/>
    <w:uiPriority w:val="0"/>
    <w:pPr>
      <w:overflowPunct w:val="0"/>
      <w:autoSpaceDE w:val="0"/>
      <w:autoSpaceDN w:val="0"/>
      <w:adjustRightInd w:val="0"/>
      <w:spacing w:before="0" w:after="180"/>
      <w:ind w:left="568" w:hanging="284"/>
      <w:jc w:val="left"/>
      <w:textAlignment w:val="baseline"/>
    </w:pPr>
    <w:rPr>
      <w:rFonts w:ascii="Times New Roman" w:hAnsi="Times New Roman" w:eastAsia="ＭＳ 明朝"/>
      <w:lang w:val="en-GB"/>
    </w:rPr>
  </w:style>
  <w:style w:type="character" w:customStyle="1" w:styleId="45">
    <w:name w:val="フッター (文字)"/>
    <w:link w:val="19"/>
    <w:qFormat/>
    <w:uiPriority w:val="99"/>
    <w:rPr>
      <w:rFonts w:ascii="Arial" w:hAnsi="Arial" w:eastAsia="Times New Roman" w:cs="Times New Roman"/>
      <w:sz w:val="20"/>
      <w:szCs w:val="20"/>
    </w:rPr>
  </w:style>
  <w:style w:type="character" w:customStyle="1" w:styleId="46">
    <w:name w:val="行間詰め (文字)"/>
    <w:link w:val="47"/>
    <w:qFormat/>
    <w:uiPriority w:val="1"/>
    <w:rPr>
      <w:rFonts w:ascii="Arial" w:hAnsi="Arial" w:eastAsia="Times New Roman" w:cs="Times New Roman"/>
      <w:sz w:val="20"/>
      <w:szCs w:val="20"/>
    </w:rPr>
  </w:style>
  <w:style w:type="paragraph" w:styleId="47">
    <w:name w:val="No Spacing"/>
    <w:basedOn w:val="1"/>
    <w:link w:val="46"/>
    <w:qFormat/>
    <w:uiPriority w:val="1"/>
    <w:pPr>
      <w:spacing w:before="0" w:after="0"/>
    </w:pPr>
  </w:style>
  <w:style w:type="character" w:customStyle="1" w:styleId="48">
    <w:name w:val="見出し 4 (文字)"/>
    <w:link w:val="5"/>
    <w:qFormat/>
    <w:uiPriority w:val="0"/>
    <w:rPr>
      <w:rFonts w:ascii="Arial" w:hAnsi="Arial" w:eastAsia="Times New Roman"/>
      <w:b/>
      <w:sz w:val="24"/>
      <w:szCs w:val="24"/>
    </w:rPr>
  </w:style>
  <w:style w:type="character" w:customStyle="1" w:styleId="49">
    <w:name w:val="見出し 8 (文字)"/>
    <w:link w:val="9"/>
    <w:qFormat/>
    <w:uiPriority w:val="0"/>
    <w:rPr>
      <w:rFonts w:ascii="Arial" w:hAnsi="Arial" w:eastAsia="Times New Roman"/>
      <w:i/>
    </w:rPr>
  </w:style>
  <w:style w:type="character" w:customStyle="1" w:styleId="50">
    <w:name w:val="見出し 3 (文字)"/>
    <w:link w:val="4"/>
    <w:qFormat/>
    <w:uiPriority w:val="0"/>
    <w:rPr>
      <w:rFonts w:ascii="Arial" w:hAnsi="Arial" w:eastAsia="Times New Roman"/>
      <w:b/>
      <w:sz w:val="24"/>
    </w:rPr>
  </w:style>
  <w:style w:type="character" w:customStyle="1" w:styleId="51">
    <w:name w:val="吹き出し (文字)"/>
    <w:link w:val="18"/>
    <w:semiHidden/>
    <w:qFormat/>
    <w:uiPriority w:val="99"/>
    <w:rPr>
      <w:rFonts w:ascii="Segoe UI" w:hAnsi="Segoe UI" w:eastAsia="Times New Roman" w:cs="Segoe UI"/>
      <w:sz w:val="18"/>
      <w:szCs w:val="18"/>
    </w:rPr>
  </w:style>
  <w:style w:type="character" w:customStyle="1" w:styleId="52">
    <w:name w:val="書式なし (文字)"/>
    <w:link w:val="17"/>
    <w:semiHidden/>
    <w:qFormat/>
    <w:uiPriority w:val="99"/>
    <w:rPr>
      <w:rFonts w:ascii="Courier New" w:hAnsi="Courier New" w:eastAsia="Gulim" w:cs="Courier New"/>
      <w:kern w:val="2"/>
    </w:rPr>
  </w:style>
  <w:style w:type="character" w:customStyle="1" w:styleId="53">
    <w:name w:val="見出し 7 (文字)"/>
    <w:link w:val="8"/>
    <w:qFormat/>
    <w:uiPriority w:val="0"/>
    <w:rPr>
      <w:rFonts w:ascii="Arial" w:hAnsi="Arial" w:eastAsia="Times New Roman"/>
    </w:rPr>
  </w:style>
  <w:style w:type="character" w:customStyle="1" w:styleId="54">
    <w:name w:val="TAH Car"/>
    <w:link w:val="55"/>
    <w:qFormat/>
    <w:uiPriority w:val="0"/>
    <w:rPr>
      <w:rFonts w:ascii="Arial" w:hAnsi="Arial" w:eastAsia="Times New Roman"/>
      <w:b/>
      <w:sz w:val="18"/>
    </w:rPr>
  </w:style>
  <w:style w:type="paragraph" w:customStyle="1" w:styleId="55">
    <w:name w:val="TAH"/>
    <w:basedOn w:val="56"/>
    <w:link w:val="54"/>
    <w:qFormat/>
    <w:uiPriority w:val="0"/>
    <w:rPr>
      <w:b/>
    </w:rPr>
  </w:style>
  <w:style w:type="paragraph" w:customStyle="1" w:styleId="56">
    <w:name w:val="TAC"/>
    <w:basedOn w:val="57"/>
    <w:link w:val="74"/>
    <w:qFormat/>
    <w:uiPriority w:val="0"/>
    <w:pPr>
      <w:overflowPunct/>
      <w:autoSpaceDE/>
      <w:autoSpaceDN/>
      <w:adjustRightInd/>
      <w:jc w:val="center"/>
      <w:textAlignment w:val="auto"/>
    </w:pPr>
    <w:rPr>
      <w:lang w:eastAsia="en-US"/>
    </w:rPr>
  </w:style>
  <w:style w:type="paragraph" w:customStyle="1" w:styleId="57">
    <w:name w:val="TAL"/>
    <w:basedOn w:val="1"/>
    <w:link w:val="75"/>
    <w:qFormat/>
    <w:uiPriority w:val="0"/>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58">
    <w:name w:val="見出し 6 (文字)"/>
    <w:link w:val="7"/>
    <w:qFormat/>
    <w:uiPriority w:val="0"/>
    <w:rPr>
      <w:rFonts w:ascii="Arial" w:hAnsi="Arial" w:eastAsia="Times New Roman"/>
      <w:i/>
    </w:rPr>
  </w:style>
  <w:style w:type="character" w:customStyle="1" w:styleId="59">
    <w:name w:val="Style1 Char"/>
    <w:link w:val="60"/>
    <w:qFormat/>
    <w:locked/>
    <w:uiPriority w:val="0"/>
    <w:rPr>
      <w:rFonts w:ascii="宋体" w:hAnsi="宋体" w:eastAsia="宋体"/>
      <w:lang w:val="en-US"/>
    </w:rPr>
  </w:style>
  <w:style w:type="paragraph" w:customStyle="1" w:styleId="60">
    <w:name w:val="Style1"/>
    <w:basedOn w:val="1"/>
    <w:link w:val="59"/>
    <w:qFormat/>
    <w:uiPriority w:val="0"/>
    <w:pPr>
      <w:spacing w:before="0" w:after="100" w:afterAutospacing="1" w:line="300" w:lineRule="auto"/>
      <w:ind w:firstLine="360"/>
      <w:contextualSpacing/>
    </w:pPr>
    <w:rPr>
      <w:rFonts w:ascii="宋体" w:hAnsi="宋体" w:eastAsia="宋体"/>
      <w:lang w:eastAsia="zh-CN"/>
    </w:rPr>
  </w:style>
  <w:style w:type="character" w:customStyle="1" w:styleId="61">
    <w:name w:val="見出し 2 (文字)"/>
    <w:link w:val="3"/>
    <w:qFormat/>
    <w:uiPriority w:val="0"/>
    <w:rPr>
      <w:rFonts w:ascii="Arial" w:hAnsi="Arial" w:eastAsia="Times New Roman"/>
      <w:b/>
      <w:i/>
      <w:sz w:val="28"/>
    </w:rPr>
  </w:style>
  <w:style w:type="character" w:customStyle="1" w:styleId="62">
    <w:name w:val="見出し 5 (文字)"/>
    <w:link w:val="6"/>
    <w:qFormat/>
    <w:uiPriority w:val="0"/>
    <w:rPr>
      <w:rFonts w:ascii="Arial" w:hAnsi="Arial" w:eastAsia="Times New Roman"/>
    </w:rPr>
  </w:style>
  <w:style w:type="character" w:customStyle="1" w:styleId="63">
    <w:name w:val="ヘッダー (文字)"/>
    <w:link w:val="20"/>
    <w:qFormat/>
    <w:uiPriority w:val="99"/>
    <w:rPr>
      <w:rFonts w:ascii="Arial" w:hAnsi="Arial" w:eastAsia="Times New Roman" w:cs="Times New Roman"/>
      <w:sz w:val="20"/>
      <w:szCs w:val="20"/>
    </w:rPr>
  </w:style>
  <w:style w:type="character" w:customStyle="1" w:styleId="64">
    <w:name w:val="apple-style-span"/>
    <w:basedOn w:val="28"/>
    <w:qFormat/>
    <w:uiPriority w:val="0"/>
  </w:style>
  <w:style w:type="character" w:customStyle="1" w:styleId="65">
    <w:name w:val="コメント文字列 (文字)"/>
    <w:link w:val="13"/>
    <w:semiHidden/>
    <w:qFormat/>
    <w:uiPriority w:val="99"/>
    <w:rPr>
      <w:rFonts w:ascii="Arial" w:hAnsi="Arial" w:eastAsia="Times New Roman" w:cs="Times New Roman"/>
      <w:sz w:val="20"/>
      <w:szCs w:val="20"/>
    </w:rPr>
  </w:style>
  <w:style w:type="character" w:customStyle="1" w:styleId="66">
    <w:name w:val="TAL Char"/>
    <w:qFormat/>
    <w:uiPriority w:val="0"/>
    <w:rPr>
      <w:rFonts w:ascii="Arial" w:hAnsi="Arial"/>
      <w:sz w:val="18"/>
      <w:lang w:val="en-GB" w:eastAsia="en-US"/>
    </w:rPr>
  </w:style>
  <w:style w:type="character" w:customStyle="1" w:styleId="67">
    <w:name w:val="스타일 스타일 스타일 스타일 양쪽 첫 줄:  2 글자 + 첫 줄:  2 글자 + 첫 줄:  2 글자 + 첫 줄:  2... Char"/>
    <w:link w:val="68"/>
    <w:qFormat/>
    <w:uiPriority w:val="0"/>
    <w:rPr>
      <w:rFonts w:ascii="Times New Roman" w:hAnsi="Times New Roman" w:eastAsia="Malgun Gothic" w:cs="Batang"/>
      <w:lang w:val="en-GB"/>
    </w:rPr>
  </w:style>
  <w:style w:type="paragraph" w:customStyle="1" w:styleId="68">
    <w:name w:val="스타일 스타일 스타일 스타일 양쪽 첫 줄:  2 글자 + 첫 줄:  2 글자 + 첫 줄:  2 글자 + 첫 줄:  2..."/>
    <w:basedOn w:val="1"/>
    <w:link w:val="67"/>
    <w:qFormat/>
    <w:uiPriority w:val="0"/>
    <w:pPr>
      <w:spacing w:before="0" w:after="180" w:line="336" w:lineRule="auto"/>
      <w:ind w:firstLine="200" w:firstLineChars="200"/>
    </w:pPr>
    <w:rPr>
      <w:rFonts w:ascii="Times New Roman" w:hAnsi="Times New Roman" w:eastAsia="Malgun Gothic" w:cs="Batang"/>
      <w:lang w:val="en-GB"/>
    </w:rPr>
  </w:style>
  <w:style w:type="character" w:customStyle="1" w:styleId="69">
    <w:name w:val="本文 (文字)"/>
    <w:link w:val="14"/>
    <w:qFormat/>
    <w:uiPriority w:val="0"/>
    <w:rPr>
      <w:rFonts w:ascii="Times" w:hAnsi="Times" w:eastAsia="Batang"/>
      <w:szCs w:val="24"/>
      <w:lang w:val="en-GB"/>
    </w:rPr>
  </w:style>
  <w:style w:type="character" w:customStyle="1" w:styleId="70">
    <w:name w:val="bullet Char"/>
    <w:link w:val="71"/>
    <w:qFormat/>
    <w:locked/>
    <w:uiPriority w:val="0"/>
    <w:rPr>
      <w:rFonts w:eastAsia="Times New Roman"/>
      <w:kern w:val="2"/>
      <w:szCs w:val="24"/>
      <w:lang w:val="en-GB"/>
    </w:rPr>
  </w:style>
  <w:style w:type="paragraph" w:customStyle="1" w:styleId="71">
    <w:name w:val="bullet"/>
    <w:basedOn w:val="42"/>
    <w:link w:val="70"/>
    <w:qFormat/>
    <w:uiPriority w:val="0"/>
    <w:pPr>
      <w:widowControl w:val="0"/>
      <w:numPr>
        <w:ilvl w:val="0"/>
        <w:numId w:val="2"/>
      </w:numPr>
      <w:spacing w:before="0" w:after="60"/>
      <w:ind w:left="720"/>
    </w:pPr>
    <w:rPr>
      <w:rFonts w:ascii="Times New Roman" w:hAnsi="Times New Roman"/>
      <w:kern w:val="2"/>
      <w:szCs w:val="24"/>
      <w:lang w:val="en-GB"/>
    </w:rPr>
  </w:style>
  <w:style w:type="character" w:customStyle="1" w:styleId="72">
    <w:name w:val="TH Char"/>
    <w:link w:val="73"/>
    <w:qFormat/>
    <w:uiPriority w:val="0"/>
    <w:rPr>
      <w:rFonts w:ascii="Arial" w:hAnsi="Arial" w:eastAsia="Times New Roman"/>
      <w:b/>
    </w:rPr>
  </w:style>
  <w:style w:type="paragraph" w:customStyle="1" w:styleId="73">
    <w:name w:val="TH"/>
    <w:basedOn w:val="1"/>
    <w:link w:val="72"/>
    <w:qFormat/>
    <w:uiPriority w:val="0"/>
    <w:pPr>
      <w:keepNext/>
      <w:keepLines/>
      <w:spacing w:after="180"/>
      <w:jc w:val="center"/>
    </w:pPr>
    <w:rPr>
      <w:b/>
    </w:rPr>
  </w:style>
  <w:style w:type="character" w:customStyle="1" w:styleId="74">
    <w:name w:val="TAC Char"/>
    <w:link w:val="56"/>
    <w:qFormat/>
    <w:locked/>
    <w:uiPriority w:val="0"/>
    <w:rPr>
      <w:rFonts w:ascii="Arial" w:hAnsi="Arial" w:eastAsia="Times New Roman"/>
      <w:sz w:val="18"/>
    </w:rPr>
  </w:style>
  <w:style w:type="character" w:customStyle="1" w:styleId="75">
    <w:name w:val="TAL Car"/>
    <w:link w:val="57"/>
    <w:qFormat/>
    <w:locked/>
    <w:uiPriority w:val="0"/>
    <w:rPr>
      <w:rFonts w:ascii="Arial" w:hAnsi="Arial" w:eastAsia="Times New Roman"/>
      <w:sz w:val="18"/>
      <w:lang w:val="en-GB" w:eastAsia="ja-JP"/>
    </w:rPr>
  </w:style>
  <w:style w:type="character" w:customStyle="1" w:styleId="76">
    <w:name w:val="図表番号 (文字)"/>
    <w:link w:val="12"/>
    <w:qFormat/>
    <w:uiPriority w:val="0"/>
    <w:rPr>
      <w:rFonts w:ascii="Times New Roman" w:hAnsi="Times New Roman" w:eastAsia="Times New Roman"/>
      <w:b/>
      <w:bCs/>
      <w:sz w:val="22"/>
      <w:lang w:val="en-GB" w:eastAsia="zh-CN"/>
    </w:rPr>
  </w:style>
  <w:style w:type="character" w:customStyle="1" w:styleId="77">
    <w:name w:val="3GPP Text Char"/>
    <w:link w:val="78"/>
    <w:qFormat/>
    <w:uiPriority w:val="0"/>
    <w:rPr>
      <w:rFonts w:ascii="Times New Roman" w:hAnsi="Times New Roman" w:eastAsia="宋体"/>
      <w:sz w:val="22"/>
    </w:rPr>
  </w:style>
  <w:style w:type="paragraph" w:customStyle="1" w:styleId="78">
    <w:name w:val="3GPP Text"/>
    <w:basedOn w:val="1"/>
    <w:link w:val="77"/>
    <w:qFormat/>
    <w:uiPriority w:val="0"/>
    <w:pPr>
      <w:overflowPunct w:val="0"/>
      <w:autoSpaceDE w:val="0"/>
      <w:autoSpaceDN w:val="0"/>
      <w:adjustRightInd w:val="0"/>
      <w:spacing w:before="120"/>
      <w:textAlignment w:val="baseline"/>
    </w:pPr>
    <w:rPr>
      <w:rFonts w:ascii="Times New Roman" w:hAnsi="Times New Roman" w:eastAsia="宋体"/>
      <w:sz w:val="22"/>
    </w:rPr>
  </w:style>
  <w:style w:type="character" w:customStyle="1" w:styleId="79">
    <w:name w:val="3GPP Agreements Char"/>
    <w:link w:val="80"/>
    <w:qFormat/>
    <w:uiPriority w:val="0"/>
    <w:rPr>
      <w:sz w:val="22"/>
      <w:szCs w:val="22"/>
      <w:lang w:val="en-GB"/>
    </w:rPr>
  </w:style>
  <w:style w:type="paragraph" w:customStyle="1" w:styleId="80">
    <w:name w:val="3GPP Agreements"/>
    <w:basedOn w:val="1"/>
    <w:link w:val="79"/>
    <w:qFormat/>
    <w:uiPriority w:val="0"/>
    <w:pPr>
      <w:numPr>
        <w:ilvl w:val="0"/>
        <w:numId w:val="3"/>
      </w:numPr>
      <w:overflowPunct w:val="0"/>
      <w:autoSpaceDE w:val="0"/>
      <w:autoSpaceDN w:val="0"/>
      <w:adjustRightInd w:val="0"/>
      <w:spacing w:after="60"/>
      <w:textAlignment w:val="baseline"/>
    </w:pPr>
    <w:rPr>
      <w:rFonts w:ascii="Times New Roman" w:hAnsi="Times New Roman" w:eastAsia="宋体"/>
      <w:sz w:val="22"/>
      <w:szCs w:val="22"/>
      <w:lang w:val="en-GB"/>
    </w:rPr>
  </w:style>
  <w:style w:type="character" w:customStyle="1" w:styleId="81">
    <w:name w:val="列出段落 字符"/>
    <w:qFormat/>
    <w:locked/>
    <w:uiPriority w:val="34"/>
    <w:rPr>
      <w:rFonts w:ascii="Arial" w:hAnsi="Arial" w:eastAsia="Times New Roman"/>
    </w:rPr>
  </w:style>
  <w:style w:type="paragraph" w:customStyle="1" w:styleId="82">
    <w:name w:val="Steps-8th set"/>
    <w:basedOn w:val="15"/>
    <w:qFormat/>
    <w:uiPriority w:val="0"/>
    <w:pPr>
      <w:widowControl w:val="0"/>
      <w:numPr>
        <w:ilvl w:val="0"/>
        <w:numId w:val="4"/>
      </w:numPr>
      <w:tabs>
        <w:tab w:val="left" w:pos="360"/>
        <w:tab w:val="clear" w:pos="936"/>
      </w:tabs>
      <w:spacing w:before="120"/>
      <w:ind w:left="720" w:hanging="360"/>
      <w:jc w:val="left"/>
    </w:pPr>
    <w:rPr>
      <w:sz w:val="24"/>
      <w:szCs w:val="24"/>
    </w:rPr>
  </w:style>
  <w:style w:type="paragraph" w:customStyle="1" w:styleId="83">
    <w:name w:val="B3"/>
    <w:basedOn w:val="11"/>
    <w:qFormat/>
    <w:uiPriority w:val="0"/>
    <w:pPr>
      <w:overflowPunct w:val="0"/>
      <w:autoSpaceDE w:val="0"/>
      <w:autoSpaceDN w:val="0"/>
      <w:adjustRightInd w:val="0"/>
      <w:spacing w:before="0" w:after="180"/>
      <w:ind w:left="1135" w:hanging="284"/>
      <w:jc w:val="left"/>
      <w:textAlignment w:val="baseline"/>
    </w:pPr>
    <w:rPr>
      <w:rFonts w:ascii="Times New Roman" w:hAnsi="Times New Roman" w:eastAsia="ＭＳ 明朝"/>
      <w:lang w:val="en-GB"/>
    </w:rPr>
  </w:style>
  <w:style w:type="paragraph" w:customStyle="1" w:styleId="84">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paragraph" w:customStyle="1" w:styleId="85">
    <w:name w:val="Steps-9th set"/>
    <w:basedOn w:val="1"/>
    <w:qFormat/>
    <w:uiPriority w:val="0"/>
    <w:pPr>
      <w:widowControl w:val="0"/>
      <w:numPr>
        <w:ilvl w:val="0"/>
        <w:numId w:val="5"/>
      </w:numPr>
      <w:spacing w:before="120"/>
      <w:jc w:val="left"/>
    </w:pPr>
    <w:rPr>
      <w:sz w:val="24"/>
      <w:szCs w:val="24"/>
    </w:rPr>
  </w:style>
  <w:style w:type="paragraph" w:customStyle="1" w:styleId="86">
    <w:name w:val="Revision"/>
    <w:semiHidden/>
    <w:qFormat/>
    <w:uiPriority w:val="99"/>
    <w:rPr>
      <w:rFonts w:ascii="Arial" w:hAnsi="Arial" w:eastAsia="Times New Roman" w:cs="Times New Roman"/>
      <w:lang w:val="en-US" w:eastAsia="en-US" w:bidi="ar-SA"/>
    </w:rPr>
  </w:style>
  <w:style w:type="paragraph" w:customStyle="1" w:styleId="87">
    <w:name w:val="Proposal"/>
    <w:basedOn w:val="14"/>
    <w:link w:val="99"/>
    <w:qFormat/>
    <w:uiPriority w:val="99"/>
    <w:pPr>
      <w:numPr>
        <w:ilvl w:val="0"/>
        <w:numId w:val="6"/>
      </w:numPr>
      <w:tabs>
        <w:tab w:val="left" w:pos="936"/>
        <w:tab w:val="left" w:pos="1701"/>
        <w:tab w:val="clear" w:pos="1440"/>
      </w:tabs>
      <w:spacing w:line="259" w:lineRule="auto"/>
      <w:ind w:left="936" w:hanging="936"/>
    </w:pPr>
    <w:rPr>
      <w:rFonts w:ascii="Arial" w:hAnsi="Arial" w:eastAsia="Calibri" w:cs="Arial"/>
      <w:b/>
      <w:bCs/>
      <w:sz w:val="22"/>
      <w:szCs w:val="22"/>
      <w:lang w:eastAsia="zh-CN"/>
    </w:rPr>
  </w:style>
  <w:style w:type="paragraph" w:customStyle="1" w:styleId="88">
    <w:name w:val="B2"/>
    <w:basedOn w:val="15"/>
    <w:qFormat/>
    <w:uiPriority w:val="99"/>
    <w:pPr>
      <w:overflowPunct w:val="0"/>
      <w:autoSpaceDE w:val="0"/>
      <w:autoSpaceDN w:val="0"/>
      <w:adjustRightInd w:val="0"/>
      <w:spacing w:before="0" w:after="180"/>
      <w:ind w:left="851" w:hanging="284"/>
      <w:jc w:val="left"/>
      <w:textAlignment w:val="baseline"/>
    </w:pPr>
    <w:rPr>
      <w:rFonts w:ascii="Times New Roman" w:hAnsi="Times New Roman" w:eastAsia="ＭＳ 明朝"/>
      <w:lang w:val="en-GB"/>
    </w:rPr>
  </w:style>
  <w:style w:type="paragraph" w:customStyle="1" w:styleId="89">
    <w:name w:val="tal"/>
    <w:basedOn w:val="1"/>
    <w:qFormat/>
    <w:uiPriority w:val="0"/>
    <w:pPr>
      <w:spacing w:before="100" w:beforeAutospacing="1" w:after="100" w:afterAutospacing="1"/>
      <w:jc w:val="left"/>
    </w:pPr>
    <w:rPr>
      <w:rFonts w:ascii="Calibri" w:hAnsi="Calibri" w:eastAsia="Century" w:cs="Calibri"/>
      <w:sz w:val="22"/>
      <w:szCs w:val="22"/>
    </w:rPr>
  </w:style>
  <w:style w:type="paragraph" w:customStyle="1" w:styleId="90">
    <w:name w:val="TAN"/>
    <w:basedOn w:val="57"/>
    <w:qFormat/>
    <w:uiPriority w:val="0"/>
    <w:pPr>
      <w:overflowPunct/>
      <w:autoSpaceDE/>
      <w:autoSpaceDN/>
      <w:adjustRightInd/>
      <w:ind w:left="851" w:hanging="851"/>
      <w:textAlignment w:val="auto"/>
    </w:pPr>
    <w:rPr>
      <w:rFonts w:eastAsia="宋体"/>
      <w:lang w:eastAsia="en-US"/>
    </w:rPr>
  </w:style>
  <w:style w:type="character" w:customStyle="1" w:styleId="91">
    <w:name w:val="Unresolved Mention"/>
    <w:semiHidden/>
    <w:unhideWhenUsed/>
    <w:qFormat/>
    <w:uiPriority w:val="99"/>
    <w:rPr>
      <w:color w:val="605E5C"/>
      <w:shd w:val="clear" w:color="auto" w:fill="E1DFDD"/>
    </w:rPr>
  </w:style>
  <w:style w:type="paragraph" w:customStyle="1" w:styleId="92">
    <w:name w:val="paragraph"/>
    <w:basedOn w:val="1"/>
    <w:qFormat/>
    <w:uiPriority w:val="0"/>
    <w:pPr>
      <w:spacing w:before="100" w:beforeAutospacing="1" w:after="100" w:afterAutospacing="1"/>
      <w:jc w:val="left"/>
    </w:pPr>
    <w:rPr>
      <w:rFonts w:ascii="Times New Roman" w:hAnsi="Times New Roman"/>
      <w:sz w:val="24"/>
      <w:szCs w:val="24"/>
    </w:rPr>
  </w:style>
  <w:style w:type="character" w:customStyle="1" w:styleId="93">
    <w:name w:val="normaltextrun"/>
    <w:qFormat/>
    <w:uiPriority w:val="0"/>
  </w:style>
  <w:style w:type="character" w:customStyle="1" w:styleId="94">
    <w:name w:val="eop"/>
    <w:qFormat/>
    <w:uiPriority w:val="0"/>
  </w:style>
  <w:style w:type="paragraph" w:customStyle="1" w:styleId="95">
    <w:name w:val="01 Section1"/>
    <w:basedOn w:val="2"/>
    <w:qFormat/>
    <w:uiPriority w:val="0"/>
    <w:pPr>
      <w:keepLines/>
      <w:numPr>
        <w:ilvl w:val="0"/>
        <w:numId w:val="7"/>
      </w:numPr>
      <w:pBdr>
        <w:bottom w:val="none" w:color="auto" w:sz="0" w:space="0"/>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96">
    <w:name w:val="0 Main text"/>
    <w:basedOn w:val="40"/>
    <w:link w:val="97"/>
    <w:qFormat/>
    <w:uiPriority w:val="0"/>
    <w:pPr>
      <w:spacing w:before="0" w:after="100" w:afterAutospacing="1"/>
      <w:ind w:firstLine="360" w:firstLineChars="0"/>
    </w:pPr>
    <w:rPr>
      <w:lang w:eastAsia="en-US"/>
    </w:rPr>
  </w:style>
  <w:style w:type="character" w:customStyle="1" w:styleId="97">
    <w:name w:val="0 Main text Char"/>
    <w:link w:val="96"/>
    <w:qFormat/>
    <w:uiPriority w:val="0"/>
    <w:rPr>
      <w:rFonts w:eastAsia="Malgun Gothic" w:cs="Batang"/>
      <w:lang w:val="en-GB"/>
    </w:rPr>
  </w:style>
  <w:style w:type="character" w:customStyle="1" w:styleId="98">
    <w:name w:val="apple-tab-span"/>
    <w:qFormat/>
    <w:uiPriority w:val="0"/>
  </w:style>
  <w:style w:type="character" w:customStyle="1" w:styleId="99">
    <w:name w:val="Proposal Char"/>
    <w:link w:val="87"/>
    <w:uiPriority w:val="99"/>
    <w:rPr>
      <w:rFonts w:ascii="Arial" w:hAnsi="Arial" w:eastAsia="Calibri" w:cs="Arial"/>
      <w:b/>
      <w:bCs/>
      <w:sz w:val="22"/>
      <w:szCs w:val="22"/>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C76D3-E236-4CF4-B6B9-BC058A395181}">
  <ds:schemaRefs/>
</ds:datastoreItem>
</file>

<file path=customXml/itemProps3.xml><?xml version="1.0" encoding="utf-8"?>
<ds:datastoreItem xmlns:ds="http://schemas.openxmlformats.org/officeDocument/2006/customXml" ds:itemID="{9D538751-56FF-43D2-B6DD-59A83F46987A}">
  <ds:schemaRefs/>
</ds:datastoreItem>
</file>

<file path=customXml/itemProps4.xml><?xml version="1.0" encoding="utf-8"?>
<ds:datastoreItem xmlns:ds="http://schemas.openxmlformats.org/officeDocument/2006/customXml" ds:itemID="{55FDEAD2-B913-4CEA-B9F1-278997E1451B}">
  <ds:schemaRefs/>
</ds:datastoreItem>
</file>

<file path=customXml/itemProps5.xml><?xml version="1.0" encoding="utf-8"?>
<ds:datastoreItem xmlns:ds="http://schemas.openxmlformats.org/officeDocument/2006/customXml" ds:itemID="{02721D8A-7DDE-43DE-BF42-22A62DD25930}">
  <ds:schemaRefs/>
</ds:datastoreItem>
</file>

<file path=docProps/app.xml><?xml version="1.0" encoding="utf-8"?>
<Properties xmlns="http://schemas.openxmlformats.org/officeDocument/2006/extended-properties" xmlns:vt="http://schemas.openxmlformats.org/officeDocument/2006/docPropsVTypes">
  <Template>Normal</Template>
  <Pages>4</Pages>
  <Words>1384</Words>
  <Characters>7889</Characters>
  <Lines>65</Lines>
  <Paragraphs>18</Paragraphs>
  <TotalTime>13</TotalTime>
  <ScaleCrop>false</ScaleCrop>
  <LinksUpToDate>false</LinksUpToDate>
  <CharactersWithSpaces>9255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2022-02-21T22:16:00Z</dcterms:created>
  <dc:creator>Ralf Bendlin (AT&amp;T)</dc:creator>
  <cp:keywords>CTPClassification=CTP_NT</cp:keywords>
  <cp:lastModifiedBy>ZTE-Mengzhu</cp:lastModifiedBy>
  <cp:lastPrinted>2020-07-20T16:11:00Z</cp:lastPrinted>
  <dcterms:modified xsi:type="dcterms:W3CDTF">2022-02-22T12:05:55Z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2052-11.8.2.10393</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