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lastRenderedPageBreak/>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w:t>
      </w:r>
      <w:proofErr w:type="gramStart"/>
      <w:r>
        <w:rPr>
          <w:lang w:val="en-GB" w:eastAsia="zh-CN"/>
        </w:rPr>
        <w:t>view ,</w:t>
      </w:r>
      <w:proofErr w:type="gramEnd"/>
      <w:r>
        <w:rPr>
          <w:lang w:val="en-GB" w:eastAsia="zh-CN"/>
        </w:rPr>
        <w:t xml:space="preserve"> moderator suggests a TP is needed to resolve the issues. </w:t>
      </w:r>
    </w:p>
    <w:p w14:paraId="1899F3FC" w14:textId="77777777" w:rsidR="009A18DD" w:rsidRDefault="009A18DD" w:rsidP="00D02AF8">
      <w:pPr>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DengXian" w:hAnsi="Times New Roman" w:cs="Times New Roman"/>
          <w:lang w:val="nb-NO"/>
        </w:rPr>
        <w:t>SCell group</w:t>
      </w:r>
      <w:r w:rsidR="003167C4" w:rsidRPr="003167C4">
        <w:rPr>
          <w:rFonts w:ascii="Times New Roman" w:eastAsia="DengXian" w:hAnsi="Times New Roman" w:cs="Times New Roman"/>
          <w:color w:val="FF0000"/>
          <w:lang w:val="nb-NO"/>
        </w:rPr>
        <w:t xml:space="preserve"> with lowest to highest </w:t>
      </w:r>
      <w:r w:rsidR="003167C4" w:rsidRPr="003167C4">
        <w:rPr>
          <w:rFonts w:ascii="Times New Roman" w:eastAsia="DengXian"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57F1D4E2" w:rsidR="00CF6623" w:rsidRDefault="00875FB7" w:rsidP="00CF6623">
            <w:pPr>
              <w:rPr>
                <w:lang w:val="en-GB" w:eastAsia="zh-CN"/>
              </w:rPr>
            </w:pPr>
            <w:r>
              <w:rPr>
                <w:lang w:val="en-GB" w:eastAsia="zh-CN"/>
              </w:rPr>
              <w:t>Qualcomm</w:t>
            </w:r>
          </w:p>
        </w:tc>
        <w:tc>
          <w:tcPr>
            <w:tcW w:w="1559" w:type="dxa"/>
          </w:tcPr>
          <w:p w14:paraId="6B11A7BC" w14:textId="77777777" w:rsidR="00CF6623" w:rsidRDefault="00CF6623" w:rsidP="00CF6623">
            <w:pPr>
              <w:rPr>
                <w:iCs/>
                <w:lang w:val="en-GB" w:eastAsia="zh-CN"/>
              </w:rPr>
            </w:pPr>
          </w:p>
        </w:tc>
        <w:tc>
          <w:tcPr>
            <w:tcW w:w="6477" w:type="dxa"/>
          </w:tcPr>
          <w:p w14:paraId="1F5CB629" w14:textId="08F1981D" w:rsidR="00CF6623" w:rsidRDefault="00875FB7" w:rsidP="00CF6623">
            <w:pPr>
              <w:rPr>
                <w:lang w:val="en-GB" w:eastAsia="zh-CN"/>
              </w:rPr>
            </w:pPr>
            <w:r>
              <w:rPr>
                <w:lang w:val="en-GB" w:eastAsia="zh-CN"/>
              </w:rPr>
              <w:t>We support the TP to make the spec clear</w:t>
            </w:r>
            <w:r w:rsidR="00943EA8">
              <w:rPr>
                <w:lang w:val="en-GB" w:eastAsia="zh-CN"/>
              </w:rPr>
              <w:t>.</w:t>
            </w:r>
            <w:r w:rsidR="001317C8">
              <w:rPr>
                <w:lang w:val="en-GB" w:eastAsia="zh-CN"/>
              </w:rPr>
              <w:t xml:space="preserve"> The current spec indeed is </w:t>
            </w:r>
            <w:r w:rsidR="00A329D3">
              <w:rPr>
                <w:lang w:val="en-GB" w:eastAsia="zh-CN"/>
              </w:rPr>
              <w:t>ambiguous</w:t>
            </w:r>
            <w:r w:rsidR="001317C8">
              <w:rPr>
                <w:lang w:val="en-GB" w:eastAsia="zh-CN"/>
              </w:rPr>
              <w:t>.</w:t>
            </w:r>
          </w:p>
        </w:tc>
      </w:tr>
      <w:tr w:rsidR="00CF6623" w:rsidRPr="00AD205B" w14:paraId="3E3694D3" w14:textId="77777777" w:rsidTr="00035810">
        <w:tc>
          <w:tcPr>
            <w:tcW w:w="1271" w:type="dxa"/>
          </w:tcPr>
          <w:p w14:paraId="18F2EEC6" w14:textId="5236383F" w:rsidR="00CF6623" w:rsidRDefault="002E7275" w:rsidP="00CF6623">
            <w:pPr>
              <w:rPr>
                <w:lang w:val="en-GB" w:eastAsia="zh-CN"/>
              </w:rPr>
            </w:pPr>
            <w:r>
              <w:rPr>
                <w:rFonts w:hint="eastAsia"/>
                <w:lang w:val="en-GB" w:eastAsia="zh-CN"/>
              </w:rPr>
              <w:t>H</w:t>
            </w:r>
            <w:r>
              <w:rPr>
                <w:lang w:val="en-GB" w:eastAsia="zh-CN"/>
              </w:rPr>
              <w:t>uawei, HiSilicon</w:t>
            </w:r>
          </w:p>
        </w:tc>
        <w:tc>
          <w:tcPr>
            <w:tcW w:w="1559" w:type="dxa"/>
          </w:tcPr>
          <w:p w14:paraId="3ABEDAA7" w14:textId="77777777" w:rsidR="00CF6623" w:rsidRDefault="00CF6623" w:rsidP="00CF6623">
            <w:pPr>
              <w:rPr>
                <w:iCs/>
                <w:lang w:val="en-GB" w:eastAsia="zh-CN"/>
              </w:rPr>
            </w:pPr>
          </w:p>
        </w:tc>
        <w:tc>
          <w:tcPr>
            <w:tcW w:w="6477" w:type="dxa"/>
          </w:tcPr>
          <w:p w14:paraId="4110D7E0" w14:textId="2F4E4D26" w:rsidR="00CF6623" w:rsidRPr="00E36941" w:rsidRDefault="002E7275" w:rsidP="00CF6623">
            <w:pPr>
              <w:rPr>
                <w:lang w:val="en-GB" w:eastAsia="zh-CN"/>
              </w:rPr>
            </w:pPr>
            <w:r>
              <w:rPr>
                <w:rFonts w:hint="eastAsia"/>
                <w:lang w:val="en-GB" w:eastAsia="zh-CN"/>
              </w:rPr>
              <w:t>W</w:t>
            </w:r>
            <w:r>
              <w:rPr>
                <w:lang w:val="en-GB" w:eastAsia="zh-CN"/>
              </w:rPr>
              <w:t>e support the TP and we agree with Qualcomm that current specification is ambiguous.</w:t>
            </w:r>
          </w:p>
        </w:tc>
      </w:tr>
      <w:tr w:rsidR="00CF6623" w14:paraId="71BC0F8D" w14:textId="77777777" w:rsidTr="00035810">
        <w:tc>
          <w:tcPr>
            <w:tcW w:w="1271" w:type="dxa"/>
          </w:tcPr>
          <w:p w14:paraId="4EF8446F" w14:textId="5F1F4DEA" w:rsidR="00CF6623" w:rsidRDefault="0079303E" w:rsidP="00CF6623">
            <w:pPr>
              <w:rPr>
                <w:lang w:val="en-GB" w:eastAsia="zh-CN"/>
              </w:rPr>
            </w:pPr>
            <w:r>
              <w:rPr>
                <w:rFonts w:hint="eastAsia"/>
                <w:lang w:val="en-GB" w:eastAsia="zh-CN"/>
              </w:rPr>
              <w:t>Z</w:t>
            </w:r>
            <w:r>
              <w:rPr>
                <w:lang w:val="en-GB" w:eastAsia="zh-CN"/>
              </w:rPr>
              <w:t>TE</w:t>
            </w:r>
          </w:p>
        </w:tc>
        <w:tc>
          <w:tcPr>
            <w:tcW w:w="1559" w:type="dxa"/>
          </w:tcPr>
          <w:p w14:paraId="256631BD" w14:textId="77777777" w:rsidR="00CF6623" w:rsidRDefault="00CF6623" w:rsidP="00CF6623">
            <w:pPr>
              <w:rPr>
                <w:iCs/>
                <w:lang w:val="en-GB" w:eastAsia="zh-CN"/>
              </w:rPr>
            </w:pPr>
          </w:p>
        </w:tc>
        <w:tc>
          <w:tcPr>
            <w:tcW w:w="6477" w:type="dxa"/>
          </w:tcPr>
          <w:p w14:paraId="5C8EEA36" w14:textId="68AEE770" w:rsidR="00CF6623" w:rsidRDefault="0079303E" w:rsidP="0079303E">
            <w:pPr>
              <w:rPr>
                <w:lang w:val="en-GB" w:eastAsia="zh-CN"/>
              </w:rPr>
            </w:pPr>
            <w:r>
              <w:rPr>
                <w:rFonts w:hint="eastAsia"/>
                <w:lang w:val="en-GB" w:eastAsia="zh-CN"/>
              </w:rPr>
              <w:t>W</w:t>
            </w:r>
            <w:r>
              <w:rPr>
                <w:lang w:val="en-GB" w:eastAsia="zh-CN"/>
              </w:rPr>
              <w:t>e can live with the TP above. We suggest to add the previous conclusion in the CR cover page to provide some background information. Thanks.</w:t>
            </w:r>
          </w:p>
        </w:tc>
      </w:tr>
      <w:tr w:rsidR="00CF6623" w14:paraId="5EBC097B" w14:textId="77777777" w:rsidTr="00035810">
        <w:tc>
          <w:tcPr>
            <w:tcW w:w="1271" w:type="dxa"/>
          </w:tcPr>
          <w:p w14:paraId="56AD90AD" w14:textId="5BD4A962" w:rsidR="00CF6623" w:rsidRDefault="00F53DBE" w:rsidP="00CF6623">
            <w:pPr>
              <w:rPr>
                <w:lang w:val="en-GB" w:eastAsia="zh-CN"/>
              </w:rPr>
            </w:pPr>
            <w:r>
              <w:rPr>
                <w:lang w:val="en-GB" w:eastAsia="zh-CN"/>
              </w:rPr>
              <w:t>vivo</w:t>
            </w:r>
          </w:p>
        </w:tc>
        <w:tc>
          <w:tcPr>
            <w:tcW w:w="1559" w:type="dxa"/>
          </w:tcPr>
          <w:p w14:paraId="5B9431CF" w14:textId="77777777" w:rsidR="00CF6623" w:rsidRDefault="00CF6623" w:rsidP="00CF6623">
            <w:pPr>
              <w:rPr>
                <w:iCs/>
                <w:lang w:val="en-GB" w:eastAsia="zh-CN"/>
              </w:rPr>
            </w:pPr>
          </w:p>
        </w:tc>
        <w:tc>
          <w:tcPr>
            <w:tcW w:w="6477" w:type="dxa"/>
          </w:tcPr>
          <w:p w14:paraId="7A41F0A0" w14:textId="78D8BE98" w:rsidR="000644A3" w:rsidRDefault="00F53DBE" w:rsidP="00CF6623">
            <w:r>
              <w:rPr>
                <w:lang w:val="en-GB" w:eastAsia="zh-CN"/>
              </w:rPr>
              <w:t>Although we don’t think the TP is needed, we can accept the TP if majority support this. Just a minor suggestion</w:t>
            </w:r>
            <w:r w:rsidR="000644A3">
              <w:rPr>
                <w:lang w:val="en-GB" w:eastAsia="zh-CN"/>
              </w:rPr>
              <w:t xml:space="preserve"> - note</w:t>
            </w:r>
            <w:r>
              <w:rPr>
                <w:lang w:val="en-GB" w:eastAsia="zh-CN"/>
              </w:rPr>
              <w:t xml:space="preserve"> that </w:t>
            </w:r>
            <w:r w:rsidR="000644A3">
              <w:rPr>
                <w:lang w:val="en-GB" w:eastAsia="zh-CN"/>
              </w:rPr>
              <w:t xml:space="preserve">possibly only one </w:t>
            </w:r>
            <w:proofErr w:type="spellStart"/>
            <w:r w:rsidRPr="00F53DBE">
              <w:t>DormancyGroupID</w:t>
            </w:r>
            <w:proofErr w:type="spellEnd"/>
            <w:r w:rsidR="000644A3">
              <w:t xml:space="preserve"> is configured, and anyway it</w:t>
            </w:r>
            <w:r w:rsidRPr="00F53DBE">
              <w:t xml:space="preserve"> </w:t>
            </w:r>
            <w:r>
              <w:t>can only be configured to SCell according to the RRC spec</w:t>
            </w:r>
            <w:r w:rsidR="000644A3">
              <w:t xml:space="preserve"> (thus </w:t>
            </w:r>
            <w:r>
              <w:t xml:space="preserve">the “for </w:t>
            </w:r>
            <w:proofErr w:type="spellStart"/>
            <w:r>
              <w:t>Scell</w:t>
            </w:r>
            <w:proofErr w:type="spellEnd"/>
            <w:r>
              <w:t>” text can be omitted for simplicity</w:t>
            </w:r>
            <w:r w:rsidR="000644A3">
              <w:t>)</w:t>
            </w:r>
            <w:r>
              <w:t xml:space="preserve">. </w:t>
            </w:r>
            <w:r w:rsidR="000644A3">
              <w:t>Here is the suggestion for the TP:</w:t>
            </w:r>
          </w:p>
          <w:p w14:paraId="4DB96923" w14:textId="457D4937" w:rsidR="00CF6623" w:rsidRDefault="000644A3" w:rsidP="00CF6623">
            <w:r>
              <w:t xml:space="preserve"> </w:t>
            </w:r>
            <w:r w:rsidR="00F53DBE">
              <w:t xml:space="preserve"> </w:t>
            </w:r>
          </w:p>
          <w:p w14:paraId="726E9E9D" w14:textId="14190946" w:rsidR="000644A3" w:rsidRDefault="000644A3" w:rsidP="00CF6623">
            <w:pPr>
              <w:rPr>
                <w:lang w:val="en-GB" w:eastAsia="zh-CN"/>
              </w:rPr>
            </w:pPr>
            <w:r>
              <w:rPr>
                <w:rFonts w:eastAsia="DengXian"/>
                <w:lang w:val="nb-NO" w:eastAsia="zh-CN"/>
              </w:rPr>
              <w:t xml:space="preserve">... </w:t>
            </w:r>
            <w:r>
              <w:rPr>
                <w:rFonts w:eastAsia="DengXian" w:hint="eastAsia"/>
                <w:lang w:val="nb-NO" w:eastAsia="zh-CN"/>
              </w:rPr>
              <w:t xml:space="preserve">according to </w:t>
            </w:r>
            <w:r w:rsidRPr="009A18DD">
              <w:rPr>
                <w:rFonts w:eastAsia="DengXian"/>
                <w:color w:val="FF0000"/>
                <w:u w:val="single"/>
                <w:lang w:val="nb-NO" w:eastAsia="zh-CN"/>
              </w:rPr>
              <w:t xml:space="preserve">the </w:t>
            </w:r>
            <w:r>
              <w:rPr>
                <w:rFonts w:eastAsia="DengXian"/>
                <w:color w:val="FF0000"/>
                <w:u w:val="single"/>
                <w:lang w:val="nb-NO" w:eastAsia="zh-CN"/>
              </w:rPr>
              <w:t xml:space="preserve">number of different </w:t>
            </w:r>
            <w:proofErr w:type="spellStart"/>
            <w:r w:rsidRPr="003167C4">
              <w:rPr>
                <w:i/>
                <w:color w:val="FF0000"/>
                <w:u w:val="single"/>
                <w:lang w:eastAsia="ja-JP"/>
              </w:rPr>
              <w:t>DormancyGroupID</w:t>
            </w:r>
            <w:proofErr w:type="spellEnd"/>
            <w:r w:rsidRPr="000644A3">
              <w:rPr>
                <w:i/>
                <w:color w:val="5B9BD5" w:themeColor="accent1"/>
                <w:highlight w:val="yellow"/>
                <w:u w:val="single"/>
                <w:lang w:eastAsia="ja-JP"/>
              </w:rPr>
              <w:t>(s)</w:t>
            </w:r>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0644A3">
              <w:rPr>
                <w:strike/>
                <w:color w:val="5B9BD5" w:themeColor="accent1"/>
                <w:lang w:eastAsia="zh-CN"/>
              </w:rPr>
              <w:t xml:space="preserve">for </w:t>
            </w:r>
            <w:proofErr w:type="spellStart"/>
            <w:r w:rsidRPr="000644A3">
              <w:rPr>
                <w:strike/>
                <w:color w:val="5B9BD5" w:themeColor="accent1"/>
                <w:lang w:eastAsia="zh-CN"/>
              </w:rPr>
              <w:t>SCells</w:t>
            </w:r>
            <w:proofErr w:type="spellEnd"/>
          </w:p>
          <w:p w14:paraId="5F47C0CB" w14:textId="12407446" w:rsidR="00F53DBE" w:rsidRDefault="00F53DBE" w:rsidP="00CF6623">
            <w:pPr>
              <w:rPr>
                <w:lang w:val="en-GB" w:eastAsia="zh-CN"/>
              </w:rPr>
            </w:pPr>
          </w:p>
        </w:tc>
      </w:tr>
      <w:tr w:rsidR="00D86B24" w14:paraId="269BB715" w14:textId="77777777" w:rsidTr="00035810">
        <w:tc>
          <w:tcPr>
            <w:tcW w:w="1271" w:type="dxa"/>
          </w:tcPr>
          <w:p w14:paraId="3E96EF1A" w14:textId="2A056188" w:rsidR="00D86B24" w:rsidRPr="00D86B24" w:rsidRDefault="00D86B24" w:rsidP="00CF6623">
            <w:pPr>
              <w:rPr>
                <w:lang w:eastAsia="zh-CN"/>
              </w:rPr>
            </w:pPr>
            <w:r>
              <w:rPr>
                <w:lang w:eastAsia="zh-CN"/>
              </w:rPr>
              <w:t>CATT</w:t>
            </w:r>
          </w:p>
        </w:tc>
        <w:tc>
          <w:tcPr>
            <w:tcW w:w="1559" w:type="dxa"/>
          </w:tcPr>
          <w:p w14:paraId="3F5F925C" w14:textId="77777777" w:rsidR="00D86B24" w:rsidRDefault="00D86B24" w:rsidP="00CF6623">
            <w:pPr>
              <w:rPr>
                <w:iCs/>
                <w:lang w:val="en-GB" w:eastAsia="zh-CN"/>
              </w:rPr>
            </w:pPr>
          </w:p>
        </w:tc>
        <w:tc>
          <w:tcPr>
            <w:tcW w:w="6477" w:type="dxa"/>
          </w:tcPr>
          <w:p w14:paraId="5CEAFADA" w14:textId="77777777" w:rsidR="00D86B24" w:rsidRDefault="00D86B24" w:rsidP="00CF6623">
            <w:pPr>
              <w:rPr>
                <w:lang w:val="en-GB" w:eastAsia="zh-CN"/>
              </w:rPr>
            </w:pPr>
            <w:r>
              <w:rPr>
                <w:lang w:val="en-GB" w:eastAsia="zh-CN"/>
              </w:rPr>
              <w:t xml:space="preserve">We also don’t think the TP is essential.   We are OK if majority would like to have the clarification.   </w:t>
            </w:r>
          </w:p>
          <w:p w14:paraId="507EAC10" w14:textId="78EA293A" w:rsidR="00D86B24" w:rsidRDefault="00D86B24" w:rsidP="00CF6623">
            <w:pPr>
              <w:rPr>
                <w:lang w:val="en-GB" w:eastAsia="zh-CN"/>
              </w:rPr>
            </w:pPr>
            <w:r>
              <w:rPr>
                <w:lang w:val="en-GB" w:eastAsia="zh-CN"/>
              </w:rPr>
              <w:t>We have provided the comments in the draft CR in draft CR folder.</w:t>
            </w: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32CE4EA4" w:rsidR="00734B1F" w:rsidRDefault="00D02AF8" w:rsidP="001A14F7">
      <w:pPr>
        <w:rPr>
          <w:lang w:val="en-GB" w:eastAsia="zh-CN"/>
        </w:rPr>
      </w:pPr>
      <w:r>
        <w:rPr>
          <w:lang w:val="en-GB" w:eastAsia="zh-CN"/>
        </w:rPr>
        <w:t>I</w:t>
      </w:r>
      <w:r w:rsidRPr="00D02AF8">
        <w:rPr>
          <w:lang w:val="en-GB" w:eastAsia="zh-CN"/>
        </w:rPr>
        <w:t xml:space="preserve">n the second round discussion, </w:t>
      </w:r>
      <w:r>
        <w:rPr>
          <w:lang w:val="en-GB" w:eastAsia="zh-CN"/>
        </w:rPr>
        <w:t>eight companies provided inputs regarding the proposed TP from moderator. Seven companies support to endorse the TP, and among them, three companies strongly support the TP</w:t>
      </w:r>
      <w:r w:rsidRPr="00D02AF8">
        <w:rPr>
          <w:lang w:val="en-GB" w:eastAsia="zh-CN"/>
        </w:rPr>
        <w:t xml:space="preserve"> </w:t>
      </w:r>
      <w:r>
        <w:rPr>
          <w:lang w:val="en-GB" w:eastAsia="zh-CN"/>
        </w:rPr>
        <w:t>to avoid ambiguous of the existing specification. Only one company commented that the TP is not an essential correction, but didn’t provide any suggestion/comment regarding the detailed change in the TP.</w:t>
      </w:r>
    </w:p>
    <w:p w14:paraId="2080AF17" w14:textId="70EEE9DF" w:rsidR="00D02AF8" w:rsidRDefault="00D02AF8" w:rsidP="001A14F7">
      <w:pPr>
        <w:rPr>
          <w:lang w:val="en-GB" w:eastAsia="zh-CN"/>
        </w:rPr>
      </w:pPr>
      <w:r>
        <w:rPr>
          <w:lang w:val="en-GB" w:eastAsia="zh-CN"/>
        </w:rPr>
        <w:t>Considering the situation and the majority views, moderator suggest the Chairman to endorse the mirror CR based on the TP discussed in this email discussion, with the following minor updates:</w:t>
      </w:r>
    </w:p>
    <w:p w14:paraId="405E11B2" w14:textId="1DE6A3E7" w:rsidR="00D02AF8" w:rsidRPr="00D02AF8" w:rsidRDefault="00D02AF8" w:rsidP="00D02AF8">
      <w:pPr>
        <w:pStyle w:val="ListParagraph"/>
        <w:numPr>
          <w:ilvl w:val="0"/>
          <w:numId w:val="10"/>
        </w:numPr>
        <w:rPr>
          <w:rFonts w:ascii="Times New Roman" w:hAnsi="Times New Roman" w:cs="Times New Roman"/>
          <w:lang w:val="en-GB"/>
        </w:rPr>
      </w:pPr>
      <w:r w:rsidRPr="00D02AF8">
        <w:rPr>
          <w:rFonts w:ascii="Times New Roman" w:hAnsi="Times New Roman" w:cs="Times New Roman"/>
          <w:lang w:val="en-GB"/>
        </w:rPr>
        <w:t>add the previous conclusion in the CR cover page to provide some background information, as suggested by ZTE;</w:t>
      </w:r>
    </w:p>
    <w:p w14:paraId="342AA491" w14:textId="3DCCE031" w:rsidR="00D02AF8" w:rsidRDefault="00D02AF8" w:rsidP="00D02AF8">
      <w:pPr>
        <w:pStyle w:val="ListParagraph"/>
        <w:numPr>
          <w:ilvl w:val="0"/>
          <w:numId w:val="10"/>
        </w:numPr>
        <w:rPr>
          <w:rFonts w:ascii="Times New Roman" w:hAnsi="Times New Roman" w:cs="Times New Roman"/>
          <w:lang w:val="en-GB"/>
        </w:rPr>
      </w:pPr>
      <w:r w:rsidRPr="00D02AF8">
        <w:rPr>
          <w:rFonts w:ascii="Times New Roman" w:hAnsi="Times New Roman" w:cs="Times New Roman"/>
          <w:lang w:val="en-GB"/>
        </w:rPr>
        <w:t xml:space="preserve">adopt the </w:t>
      </w:r>
      <w:r>
        <w:rPr>
          <w:rFonts w:ascii="Times New Roman" w:hAnsi="Times New Roman" w:cs="Times New Roman"/>
          <w:lang w:val="en-GB"/>
        </w:rPr>
        <w:t>suggestion from vivo to have</w:t>
      </w:r>
      <w:r w:rsidRPr="00D02AF8">
        <w:rPr>
          <w:rFonts w:ascii="Times New Roman" w:hAnsi="Times New Roman" w:cs="Times New Roman"/>
          <w:lang w:val="en-GB"/>
        </w:rPr>
        <w:t xml:space="preserve"> the </w:t>
      </w:r>
      <w:r w:rsidRPr="00D02AF8">
        <w:rPr>
          <w:rFonts w:ascii="Times New Roman" w:hAnsi="Times New Roman" w:cs="Times New Roman"/>
          <w:color w:val="5B9BD5" w:themeColor="accent1"/>
          <w:highlight w:val="yellow"/>
          <w:u w:val="single"/>
          <w:lang w:eastAsia="ja-JP"/>
        </w:rPr>
        <w:t>change</w:t>
      </w:r>
      <w:r w:rsidRPr="00D02AF8">
        <w:rPr>
          <w:rFonts w:ascii="Times New Roman" w:hAnsi="Times New Roman" w:cs="Times New Roman"/>
          <w:lang w:val="en-GB"/>
        </w:rPr>
        <w:t xml:space="preserve"> of “</w:t>
      </w:r>
      <w:r w:rsidRPr="00D02AF8">
        <w:rPr>
          <w:rFonts w:ascii="Times New Roman" w:eastAsia="DengXian" w:hAnsi="Times New Roman" w:cs="Times New Roman"/>
          <w:color w:val="FF0000"/>
          <w:u w:val="single"/>
          <w:lang w:val="nb-NO"/>
        </w:rPr>
        <w:t xml:space="preserve">the number of different </w:t>
      </w:r>
      <w:proofErr w:type="spellStart"/>
      <w:r w:rsidRPr="00D02AF8">
        <w:rPr>
          <w:rFonts w:ascii="Times New Roman" w:hAnsi="Times New Roman" w:cs="Times New Roman"/>
          <w:i/>
          <w:color w:val="FF0000"/>
          <w:u w:val="single"/>
          <w:lang w:eastAsia="ja-JP"/>
        </w:rPr>
        <w:t>DormancyGroupID</w:t>
      </w:r>
      <w:proofErr w:type="spellEnd"/>
      <w:r w:rsidRPr="00D02AF8">
        <w:rPr>
          <w:rFonts w:ascii="Times New Roman" w:hAnsi="Times New Roman" w:cs="Times New Roman"/>
          <w:i/>
          <w:color w:val="5B9BD5" w:themeColor="accent1"/>
          <w:highlight w:val="yellow"/>
          <w:u w:val="single"/>
          <w:lang w:eastAsia="ja-JP"/>
        </w:rPr>
        <w:t>(s)</w:t>
      </w:r>
      <w:r w:rsidRPr="00D02AF8">
        <w:rPr>
          <w:rFonts w:ascii="Times New Roman" w:eastAsia="DengXian" w:hAnsi="Times New Roman" w:cs="Times New Roman"/>
          <w:color w:val="FF0000"/>
          <w:u w:val="single"/>
          <w:lang w:val="nb-NO"/>
        </w:rPr>
        <w:t xml:space="preserve"> provided by</w:t>
      </w:r>
      <w:r w:rsidRPr="00D02AF8">
        <w:rPr>
          <w:rFonts w:ascii="Times New Roman" w:hAnsi="Times New Roman" w:cs="Times New Roman" w:hint="eastAsia"/>
          <w:lang w:val="en-GB"/>
        </w:rPr>
        <w:t>”</w:t>
      </w:r>
      <w:r>
        <w:rPr>
          <w:rFonts w:ascii="Times New Roman" w:hAnsi="Times New Roman" w:cs="Times New Roman" w:hint="eastAsia"/>
          <w:lang w:val="en-GB"/>
        </w:rPr>
        <w:t>.</w:t>
      </w:r>
      <w:r>
        <w:rPr>
          <w:rFonts w:ascii="Times New Roman" w:hAnsi="Times New Roman" w:cs="Times New Roman"/>
          <w:lang w:val="en-GB"/>
        </w:rPr>
        <w:t xml:space="preserve"> Regarding another suggestion to remove “for </w:t>
      </w:r>
      <w:proofErr w:type="spellStart"/>
      <w:r>
        <w:rPr>
          <w:rFonts w:ascii="Times New Roman" w:hAnsi="Times New Roman" w:cs="Times New Roman"/>
          <w:lang w:val="en-GB"/>
        </w:rPr>
        <w:t>SCells</w:t>
      </w:r>
      <w:proofErr w:type="spellEnd"/>
      <w:r>
        <w:rPr>
          <w:rFonts w:ascii="Times New Roman" w:hAnsi="Times New Roman" w:cs="Times New Roman"/>
          <w:lang w:val="en-GB"/>
        </w:rPr>
        <w:t xml:space="preserve">”, moderator </w:t>
      </w:r>
      <w:r w:rsidR="004A59AC">
        <w:rPr>
          <w:rFonts w:ascii="Times New Roman" w:hAnsi="Times New Roman" w:cs="Times New Roman"/>
          <w:lang w:val="en-GB"/>
        </w:rPr>
        <w:t>suggests to keep it considering it can reflect that the parameter of “</w:t>
      </w:r>
      <w:proofErr w:type="spellStart"/>
      <w:r w:rsidR="004A59AC">
        <w:rPr>
          <w:i/>
        </w:rPr>
        <w:t>dormancyGroupWithinActiveTime</w:t>
      </w:r>
      <w:proofErr w:type="spellEnd"/>
      <w:r w:rsidR="004A59AC">
        <w:rPr>
          <w:i/>
        </w:rPr>
        <w:t>/</w:t>
      </w:r>
      <w:proofErr w:type="spellStart"/>
      <w:r w:rsidR="004A59AC" w:rsidRPr="004A59AC">
        <w:rPr>
          <w:i/>
        </w:rPr>
        <w:t>dormancyGroupOutsideActiveTime</w:t>
      </w:r>
      <w:proofErr w:type="spellEnd"/>
      <w:r w:rsidR="004A59AC">
        <w:rPr>
          <w:rFonts w:ascii="Times New Roman" w:hAnsi="Times New Roman" w:cs="Times New Roman"/>
          <w:lang w:val="en-GB"/>
        </w:rPr>
        <w:t>” is provided per SCell.</w:t>
      </w:r>
    </w:p>
    <w:p w14:paraId="68D34033" w14:textId="77777777" w:rsidR="004A59AC" w:rsidRDefault="004A59AC" w:rsidP="004A59AC">
      <w:pPr>
        <w:rPr>
          <w:lang w:val="en-GB"/>
        </w:rPr>
      </w:pPr>
    </w:p>
    <w:p w14:paraId="657CB303" w14:textId="674BB475" w:rsidR="004A59AC" w:rsidRDefault="004A59AC" w:rsidP="004A59AC">
      <w:pPr>
        <w:rPr>
          <w:lang w:val="en-GB"/>
        </w:rPr>
      </w:pPr>
      <w:r>
        <w:rPr>
          <w:lang w:val="en-GB"/>
        </w:rPr>
        <w:t>The draft mirror CR is uploaded in the draft folder for further check and for Chairman’s endorsement.</w:t>
      </w:r>
    </w:p>
    <w:p w14:paraId="0D70E8A7" w14:textId="77777777" w:rsidR="004A59AC" w:rsidRDefault="004A59AC" w:rsidP="004A59AC">
      <w:pPr>
        <w:rPr>
          <w:lang w:val="en-GB"/>
        </w:rPr>
      </w:pPr>
    </w:p>
    <w:p w14:paraId="541284C7" w14:textId="77777777" w:rsidR="004A59AC" w:rsidRPr="004A59AC" w:rsidRDefault="004A59AC" w:rsidP="004A59AC">
      <w:pPr>
        <w:rPr>
          <w:lang w:val="en-GB"/>
        </w:rPr>
      </w:pPr>
    </w:p>
    <w:p w14:paraId="763C4C5F" w14:textId="70EEE9DF"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0A6329"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4A96" w14:textId="77777777" w:rsidR="000A6329" w:rsidRDefault="000A6329">
      <w:pPr>
        <w:spacing w:after="0"/>
      </w:pPr>
      <w:r>
        <w:separator/>
      </w:r>
    </w:p>
  </w:endnote>
  <w:endnote w:type="continuationSeparator" w:id="0">
    <w:p w14:paraId="52F69028" w14:textId="77777777" w:rsidR="000A6329" w:rsidRDefault="000A6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Yu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Microsoft JhengHei"/>
    <w:panose1 w:val="02020500000000000000"/>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21F4" w14:textId="77777777" w:rsidR="000A6329" w:rsidRDefault="000A6329">
      <w:pPr>
        <w:spacing w:after="0"/>
      </w:pPr>
      <w:r>
        <w:separator/>
      </w:r>
    </w:p>
  </w:footnote>
  <w:footnote w:type="continuationSeparator" w:id="0">
    <w:p w14:paraId="7529375D" w14:textId="77777777" w:rsidR="000A6329" w:rsidRDefault="000A63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2BE5"/>
    <w:rsid w:val="00033F6E"/>
    <w:rsid w:val="00044FF1"/>
    <w:rsid w:val="00050B5E"/>
    <w:rsid w:val="000644A3"/>
    <w:rsid w:val="000700BB"/>
    <w:rsid w:val="0007093A"/>
    <w:rsid w:val="00082B43"/>
    <w:rsid w:val="00082C0E"/>
    <w:rsid w:val="00090626"/>
    <w:rsid w:val="000A21FE"/>
    <w:rsid w:val="000A3733"/>
    <w:rsid w:val="000A4F09"/>
    <w:rsid w:val="000A52EE"/>
    <w:rsid w:val="000A6329"/>
    <w:rsid w:val="000B29CE"/>
    <w:rsid w:val="000B444D"/>
    <w:rsid w:val="000B626C"/>
    <w:rsid w:val="000B7D26"/>
    <w:rsid w:val="000C2E3E"/>
    <w:rsid w:val="000D6599"/>
    <w:rsid w:val="00100E1A"/>
    <w:rsid w:val="00123C65"/>
    <w:rsid w:val="00126AA8"/>
    <w:rsid w:val="00131135"/>
    <w:rsid w:val="001311BE"/>
    <w:rsid w:val="001317C8"/>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069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E7275"/>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A59AC"/>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9303E"/>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5FB7"/>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43EA8"/>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29D3"/>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849C5"/>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2AF8"/>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86B24"/>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53DBE"/>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B4EA-03B7-407A-8674-8DAC22A4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3060</Words>
  <Characters>17448</Characters>
  <Application>Microsoft Office Word</Application>
  <DocSecurity>0</DocSecurity>
  <Lines>145</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Fang-Chen Cheng</cp:lastModifiedBy>
  <cp:revision>2</cp:revision>
  <dcterms:created xsi:type="dcterms:W3CDTF">2022-02-25T16:47:00Z</dcterms:created>
  <dcterms:modified xsi:type="dcterms:W3CDTF">2022-02-25T16:47:00Z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(3)2YkIjcPb5796XTzcV59nqvuiL0SQ0HLzV0uiQTcm8MgLITHAtW/3Ox1YSUnWm5bEe1JWAFH7
+EydwNhzMF6LPCZtZhb8LrL/JclviOzj6XPLrOUip8Epltx9ctOplAkw3J0zvO7BWYtsmDbr
wD03jeCIfCD1Wd7DZVE3QQdRTpUuYsaKmh7U7XIADCuHMLwpAo1lQh4RW/uPSshECpto1BpI
TyjrAU5MBTL0fQ9aZB</vt:lpwstr>
  </property>
  <property fmtid="{D5CDD505-2E9C-101B-9397-08002B2CF9AE}" pid="3" name="_2015_ms_pID_7253431">
    <vt:lpwstr>M8DDLKU9Bl9KwnXyuhjZ5MhBCnYAmcyaqwCKn/z8qJ9YOT6fnJvMvz
KYCwfMcn6dXqpcTXZl3sJ5jC0xg9q98pc/9zWvDNlU5bGl3ZPZlGxrdznDchmFiswKbq0PjK
7aOntJrR9hfP++JGcpJ5F8IjVBBnlkv7/QgsKUUgdvK3xq9yGwdcEeM2mXduQ/jyZY0KUD+L
2NWhf4K86is5MTSqj0JZgoNMKiu5uTUIOFk+</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