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zh-CN"/>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09D932" id="任意多边形: 形状 4"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tdoc: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a3"/>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r w:rsidR="00A210B0" w:rsidRPr="00A210B0">
        <w:rPr>
          <w:rFonts w:eastAsia="MS Mincho"/>
          <w:i/>
          <w:iCs/>
          <w:lang w:val="en-GB" w:eastAsia="ja-JP"/>
        </w:rPr>
        <w:t>pdcch-MonitoringSingleOccasion</w:t>
      </w:r>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15kHz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r w:rsidRPr="00E47AAE">
              <w:rPr>
                <w:b/>
                <w:i/>
              </w:rPr>
              <w:t>pdcch-MonitoringSingleOccasion</w:t>
            </w:r>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[1] poin</w:t>
      </w:r>
      <w:r w:rsidR="00EB1119">
        <w:rPr>
          <w:rFonts w:eastAsia="MS Mincho"/>
          <w:lang w:val="en-GB" w:eastAsia="ja-JP"/>
        </w:rPr>
        <w:t xml:space="preserve">ted out that </w:t>
      </w:r>
      <w:r w:rsidR="00AE56A4" w:rsidRPr="00AE56A4">
        <w:rPr>
          <w:rFonts w:eastAsia="MS Mincho"/>
          <w:i/>
          <w:iCs/>
          <w:lang w:val="en-GB" w:eastAsia="ja-JP"/>
        </w:rPr>
        <w:t>pdcch-MonitoringSingleOccasion</w:t>
      </w:r>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a4"/>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or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PCell)</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a4"/>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lang w:eastAsia="zh-CN"/>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lang w:eastAsia="zh-CN"/>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r w:rsidR="002F38C7" w:rsidRPr="001C46B7">
        <w:rPr>
          <w:rFonts w:eastAsia="MS Mincho"/>
          <w:i/>
          <w:iCs/>
          <w:lang w:val="en-GB" w:eastAsia="ja-JP"/>
        </w:rPr>
        <w:t>pdcch-MonitoringSingleOccasion</w:t>
      </w:r>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r w:rsidRPr="00E47AAE">
              <w:rPr>
                <w:b/>
                <w:i/>
              </w:rPr>
              <w:t>pdcch-MonitoringSingleOccasion</w:t>
            </w:r>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a4"/>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a4"/>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pec is not broken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a4"/>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a4"/>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a4"/>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ase 1-2 can be configured on SCell,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for DSS on PCell</w:t>
      </w:r>
      <w:r>
        <w:rPr>
          <w:rFonts w:eastAsia="MS Mincho"/>
          <w:lang w:val="en-GB" w:eastAsia="ja-JP"/>
        </w:rPr>
        <w:t xml:space="preserve"> in Rel-16?</w:t>
      </w:r>
    </w:p>
    <w:tbl>
      <w:tblPr>
        <w:tblStyle w:val="a3"/>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MS Mincho"/>
                <w:lang w:val="en-GB" w:eastAsia="ja-JP"/>
              </w:rPr>
            </w:pPr>
            <w:r>
              <w:rPr>
                <w:rFonts w:eastAsia="MS Mincho"/>
                <w:lang w:val="en-GB" w:eastAsia="ja-JP"/>
              </w:rPr>
              <w:t>Huawei, HiSilicon</w:t>
            </w:r>
          </w:p>
        </w:tc>
        <w:tc>
          <w:tcPr>
            <w:tcW w:w="1134" w:type="dxa"/>
          </w:tcPr>
          <w:p w14:paraId="48986039" w14:textId="685368EA" w:rsidR="00C844D2" w:rsidRDefault="00C844D2" w:rsidP="00C844D2">
            <w:pPr>
              <w:jc w:val="both"/>
              <w:rPr>
                <w:rFonts w:eastAsia="MS Mincho"/>
                <w:lang w:val="en-GB" w:eastAsia="ja-JP"/>
              </w:rPr>
            </w:pPr>
            <w:r>
              <w:rPr>
                <w:rFonts w:eastAsia="宋体"/>
                <w:lang w:val="en-GB" w:eastAsia="zh-CN"/>
              </w:rPr>
              <w:t>Yes</w:t>
            </w:r>
          </w:p>
        </w:tc>
        <w:tc>
          <w:tcPr>
            <w:tcW w:w="5102" w:type="dxa"/>
          </w:tcPr>
          <w:p w14:paraId="18B036C3" w14:textId="62ECC02F" w:rsidR="00C844D2" w:rsidRDefault="00C844D2" w:rsidP="00C844D2">
            <w:pPr>
              <w:jc w:val="both"/>
              <w:rPr>
                <w:rFonts w:eastAsia="MS Mincho"/>
                <w:lang w:val="en-GB" w:eastAsia="ja-JP"/>
              </w:rPr>
            </w:pPr>
            <w:r>
              <w:rPr>
                <w:rFonts w:eastAsia="MS Mincho"/>
                <w:lang w:val="en-GB" w:eastAsia="ja-JP"/>
              </w:rPr>
              <w:t xml:space="preserve">Our understanding is that </w:t>
            </w:r>
            <w:r w:rsidRPr="00842C35">
              <w:rPr>
                <w:rFonts w:eastAsia="MS Mincho"/>
                <w:lang w:val="en-GB" w:eastAsia="ja-JP"/>
              </w:rPr>
              <w:t xml:space="preserve">the </w:t>
            </w:r>
            <w:r w:rsidRPr="00B331DA">
              <w:rPr>
                <w:rFonts w:eastAsia="MS Mincho"/>
                <w:lang w:val="en-GB" w:eastAsia="ja-JP"/>
              </w:rPr>
              <w:t>existing definition</w:t>
            </w:r>
            <w:r w:rsidRPr="00842C35">
              <w:rPr>
                <w:rFonts w:eastAsia="MS Mincho"/>
                <w:lang w:val="en-GB" w:eastAsia="ja-JP"/>
              </w:rPr>
              <w:t xml:space="preserve"> of </w:t>
            </w:r>
            <w:r>
              <w:rPr>
                <w:rFonts w:eastAsia="MS Mincho"/>
                <w:lang w:val="en-GB" w:eastAsia="ja-JP"/>
              </w:rPr>
              <w:t>“</w:t>
            </w:r>
            <w:r w:rsidRPr="00842C35">
              <w:rPr>
                <w:rFonts w:eastAsia="MS Mincho"/>
                <w:lang w:val="en-GB" w:eastAsia="ja-JP"/>
              </w:rPr>
              <w:t>pdcch-MonitoringSingleOccasion</w:t>
            </w:r>
            <w:r>
              <w:rPr>
                <w:rFonts w:eastAsia="MS Mincho"/>
                <w:lang w:val="en-GB" w:eastAsia="ja-JP"/>
              </w:rPr>
              <w:t>”</w:t>
            </w:r>
            <w:r w:rsidRPr="00842C35">
              <w:rPr>
                <w:rFonts w:eastAsia="MS Mincho"/>
                <w:lang w:val="en-GB" w:eastAsia="ja-JP"/>
              </w:rPr>
              <w:t xml:space="preserve"> </w:t>
            </w:r>
            <w:r>
              <w:rPr>
                <w:rFonts w:eastAsia="MS Mincho"/>
                <w:lang w:val="en-GB" w:eastAsia="ja-JP"/>
              </w:rPr>
              <w:t xml:space="preserve">allows the gNB to configure </w:t>
            </w:r>
            <w:r w:rsidRPr="00E47AAE">
              <w:t>PDCCH monitor</w:t>
            </w:r>
            <w:r>
              <w:t>ing</w:t>
            </w:r>
            <w:r w:rsidRPr="00E47AAE">
              <w:t xml:space="preserve"> </w:t>
            </w:r>
            <w:r>
              <w:t xml:space="preserve">within </w:t>
            </w:r>
            <w:r>
              <w:rPr>
                <w:rFonts w:eastAsia="MS Mincho"/>
                <w:lang w:val="en-GB" w:eastAsia="ja-JP"/>
              </w:rPr>
              <w:t xml:space="preserve">a single span of </w:t>
            </w:r>
            <w:r w:rsidRPr="009C4168">
              <w:rPr>
                <w:rFonts w:eastAsia="MS Mincho"/>
                <w:b/>
                <w:u w:val="single"/>
                <w:lang w:val="en-GB" w:eastAsia="ja-JP"/>
              </w:rPr>
              <w:t>any</w:t>
            </w:r>
            <w:r w:rsidRPr="009C4168">
              <w:rPr>
                <w:rFonts w:eastAsia="MS Mincho"/>
                <w:lang w:val="en-GB" w:eastAsia="ja-JP"/>
              </w:rPr>
              <w:t xml:space="preserve"> </w:t>
            </w:r>
            <w:r>
              <w:rPr>
                <w:rFonts w:eastAsia="MS Mincho"/>
                <w:lang w:val="en-GB" w:eastAsia="ja-JP"/>
              </w:rPr>
              <w:t>three contiguous OFDM symbols in a slot. Therefore, we don’t see an issue with the current definition to support the use case of DSS on PCell and we don’t see the need to change the definition of such UE capability in Rel-16.</w:t>
            </w: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r w:rsidRPr="00B072FF">
        <w:rPr>
          <w:rFonts w:eastAsia="MS Mincho"/>
          <w:i/>
          <w:iCs/>
          <w:lang w:val="en-GB" w:eastAsia="ja-JP"/>
        </w:rPr>
        <w:t>pdcch-MonitoringSingleOccasion</w:t>
      </w:r>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a3"/>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11178252" w14:textId="74BA422F"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4DEF3B29" w14:textId="288A0787" w:rsidR="00C844D2" w:rsidRDefault="00C844D2" w:rsidP="00C844D2">
            <w:pPr>
              <w:jc w:val="both"/>
              <w:rPr>
                <w:rFonts w:eastAsia="MS Mincho"/>
                <w:lang w:val="en-GB" w:eastAsia="ja-JP"/>
              </w:rPr>
            </w:pPr>
            <w:r>
              <w:rPr>
                <w:rFonts w:eastAsia="宋体" w:hint="eastAsia"/>
                <w:lang w:val="en-GB" w:eastAsia="zh-CN"/>
              </w:rPr>
              <w:t>W</w:t>
            </w:r>
            <w:r>
              <w:rPr>
                <w:rFonts w:eastAsia="宋体"/>
                <w:lang w:val="en-GB" w:eastAsia="zh-CN"/>
              </w:rPr>
              <w:t>e don’t see this as an issue given the current definition.</w:t>
            </w: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for DSS on PCell</w:t>
      </w:r>
      <w:r w:rsidRPr="00955CD5">
        <w:rPr>
          <w:rFonts w:eastAsia="MS Mincho"/>
          <w:lang w:val="en-GB" w:eastAsia="ja-JP"/>
        </w:rPr>
        <w:t xml:space="preserve"> is necessary in Rel-16?</w:t>
      </w:r>
    </w:p>
    <w:tbl>
      <w:tblPr>
        <w:tblStyle w:val="a3"/>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79FECA28" w14:textId="24DED91E" w:rsidR="00C844D2" w:rsidRDefault="00C844D2" w:rsidP="00C844D2">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3E9E5DA9" w14:textId="143C0761" w:rsidR="00C844D2" w:rsidRDefault="00C844D2" w:rsidP="00C844D2">
            <w:pPr>
              <w:jc w:val="both"/>
              <w:rPr>
                <w:rFonts w:eastAsia="MS Mincho"/>
                <w:lang w:val="en-GB" w:eastAsia="ja-JP"/>
              </w:rPr>
            </w:pPr>
            <w:r>
              <w:rPr>
                <w:rFonts w:eastAsia="宋体" w:hint="eastAsia"/>
                <w:lang w:val="en-GB" w:eastAsia="zh-CN"/>
              </w:rPr>
              <w:t>S</w:t>
            </w:r>
            <w:r>
              <w:rPr>
                <w:rFonts w:eastAsia="宋体"/>
                <w:lang w:val="en-GB" w:eastAsia="zh-CN"/>
              </w:rPr>
              <w:t>ee our reply to Q1. This use case can be supported based on the existing UE capability.</w:t>
            </w: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lastRenderedPageBreak/>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SCell?</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gNB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t>We do not see the relevance of this question as it aims to retroactively impose restrictions on an existing feature on the basis of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01236E88" w14:textId="64759B9D"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0EDFC5F2" w14:textId="77777777" w:rsidR="00C844D2" w:rsidRDefault="00C844D2" w:rsidP="00C844D2">
            <w:pPr>
              <w:jc w:val="both"/>
              <w:rPr>
                <w:rFonts w:eastAsia="MS Mincho"/>
                <w:lang w:val="en-GB" w:eastAsia="ja-JP"/>
              </w:rPr>
            </w:pPr>
            <w:r>
              <w:rPr>
                <w:rFonts w:eastAsia="MS Mincho"/>
                <w:lang w:val="en-GB" w:eastAsia="ja-JP"/>
              </w:rPr>
              <w:t>Carrier aggregation has been supported in NR since Rel-15 involving bands where LTE is deployed. Therefore, it is crucial to support NR CA with a given SCell which may share the spectrum with LTE to maximize the spectrum efficiency for the operator.</w:t>
            </w:r>
          </w:p>
          <w:p w14:paraId="39B97FEC" w14:textId="77777777" w:rsidR="00C844D2" w:rsidRDefault="00C844D2" w:rsidP="00C844D2">
            <w:pPr>
              <w:jc w:val="both"/>
              <w:rPr>
                <w:rFonts w:eastAsia="MS Mincho"/>
                <w:lang w:val="en-GB" w:eastAsia="ja-JP"/>
              </w:rPr>
            </w:pPr>
          </w:p>
          <w:p w14:paraId="475405DD" w14:textId="1C6D649E" w:rsidR="00C844D2" w:rsidRDefault="00C844D2" w:rsidP="00C844D2">
            <w:pPr>
              <w:jc w:val="both"/>
              <w:rPr>
                <w:rFonts w:eastAsia="MS Mincho"/>
                <w:lang w:val="en-GB" w:eastAsia="ja-JP"/>
              </w:rPr>
            </w:pPr>
            <w:r>
              <w:rPr>
                <w:rFonts w:eastAsia="MS Mincho"/>
                <w:lang w:val="en-GB" w:eastAsia="ja-JP"/>
              </w:rPr>
              <w:t xml:space="preserve">In addition, as the definition of UE capability implies, the gNB can configure PDCCH monitoring in </w:t>
            </w:r>
            <w:r w:rsidRPr="00B331DA">
              <w:rPr>
                <w:rFonts w:eastAsia="MS Mincho"/>
                <w:u w:val="single"/>
                <w:lang w:val="en-GB" w:eastAsia="ja-JP"/>
              </w:rPr>
              <w:t>any</w:t>
            </w:r>
            <w:r>
              <w:rPr>
                <w:rFonts w:eastAsia="MS Mincho"/>
                <w:lang w:val="en-GB" w:eastAsia="ja-JP"/>
              </w:rPr>
              <w:t xml:space="preserve"> three consecutive OFDM symbols for UEs indicating the support of </w:t>
            </w:r>
            <w:r w:rsidRPr="00842C35">
              <w:rPr>
                <w:rFonts w:eastAsia="MS Mincho"/>
                <w:lang w:val="en-GB" w:eastAsia="ja-JP"/>
              </w:rPr>
              <w:t>pdcch-MonitoringSingleOccasion</w:t>
            </w:r>
            <w:r>
              <w:rPr>
                <w:rFonts w:eastAsia="MS Mincho"/>
                <w:lang w:val="en-GB" w:eastAsia="ja-JP"/>
              </w:rPr>
              <w:t xml:space="preserve">. This provides better flexibility for gNB and the PDCCH capacity within one slot can also be increased. We fail to see the motivation to preclude such possibilities. </w:t>
            </w:r>
          </w:p>
        </w:tc>
      </w:tr>
      <w:tr w:rsidR="00C844D2" w14:paraId="59E2D66A" w14:textId="77777777" w:rsidTr="00F76F29">
        <w:tc>
          <w:tcPr>
            <w:tcW w:w="3114" w:type="dxa"/>
          </w:tcPr>
          <w:p w14:paraId="0F0A471D" w14:textId="77777777" w:rsidR="00C844D2" w:rsidRDefault="00C844D2" w:rsidP="00C844D2">
            <w:pPr>
              <w:jc w:val="both"/>
              <w:rPr>
                <w:rFonts w:eastAsia="MS Mincho"/>
                <w:lang w:val="en-GB" w:eastAsia="ja-JP"/>
              </w:rPr>
            </w:pPr>
          </w:p>
        </w:tc>
        <w:tc>
          <w:tcPr>
            <w:tcW w:w="1134" w:type="dxa"/>
          </w:tcPr>
          <w:p w14:paraId="1856D0B8" w14:textId="77777777" w:rsidR="00C844D2" w:rsidRDefault="00C844D2" w:rsidP="00C844D2">
            <w:pPr>
              <w:jc w:val="both"/>
              <w:rPr>
                <w:rFonts w:eastAsia="MS Mincho"/>
                <w:lang w:val="en-GB" w:eastAsia="ja-JP"/>
              </w:rPr>
            </w:pPr>
          </w:p>
        </w:tc>
        <w:tc>
          <w:tcPr>
            <w:tcW w:w="5102" w:type="dxa"/>
          </w:tcPr>
          <w:p w14:paraId="5591EAA0" w14:textId="77777777" w:rsidR="00C844D2" w:rsidRDefault="00C844D2" w:rsidP="00C844D2">
            <w:pPr>
              <w:jc w:val="both"/>
              <w:rPr>
                <w:rFonts w:eastAsia="MS Mincho"/>
                <w:lang w:val="en-GB" w:eastAsia="ja-JP"/>
              </w:rPr>
            </w:pP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s on PCell</w:t>
      </w:r>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on the basis of “lack of use-cases”. If we go this route, there can be lots of discussions to start </w:t>
            </w:r>
            <w:r>
              <w:rPr>
                <w:rFonts w:eastAsia="MS Mincho"/>
                <w:lang w:val="en-GB" w:eastAsia="ja-JP"/>
              </w:rPr>
              <w:lastRenderedPageBreak/>
              <w:t xml:space="preserve">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MS Mincho"/>
                <w:lang w:val="en-GB" w:eastAsia="ja-JP"/>
              </w:rPr>
            </w:pPr>
            <w:r>
              <w:rPr>
                <w:rFonts w:eastAsia="宋体" w:hint="eastAsia"/>
                <w:lang w:val="en-GB" w:eastAsia="zh-CN"/>
              </w:rPr>
              <w:lastRenderedPageBreak/>
              <w:t>H</w:t>
            </w:r>
            <w:r>
              <w:rPr>
                <w:rFonts w:eastAsia="宋体"/>
                <w:lang w:val="en-GB" w:eastAsia="zh-CN"/>
              </w:rPr>
              <w:t>uawei, HiSilicon</w:t>
            </w:r>
          </w:p>
        </w:tc>
        <w:tc>
          <w:tcPr>
            <w:tcW w:w="1134" w:type="dxa"/>
          </w:tcPr>
          <w:p w14:paraId="5C135576" w14:textId="12215485"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6CC27731" w14:textId="23B42C17" w:rsidR="00C844D2" w:rsidRDefault="00C844D2" w:rsidP="00C844D2">
            <w:pPr>
              <w:jc w:val="both"/>
              <w:rPr>
                <w:rFonts w:eastAsia="MS Mincho"/>
                <w:lang w:val="en-GB" w:eastAsia="ja-JP"/>
              </w:rPr>
            </w:pPr>
            <w:r>
              <w:rPr>
                <w:rFonts w:eastAsia="宋体"/>
                <w:lang w:val="en-GB" w:eastAsia="zh-CN"/>
              </w:rPr>
              <w:t xml:space="preserve">See our reply to Q4. As a matter of fact, regardless of whether it is for DSS and non-DSS use case, the UE capability of </w:t>
            </w:r>
            <w:r>
              <w:rPr>
                <w:rFonts w:eastAsia="MS Mincho"/>
                <w:lang w:val="en-GB" w:eastAsia="ja-JP"/>
              </w:rPr>
              <w:t xml:space="preserve">PDCCH monitoring with single span of </w:t>
            </w:r>
            <w:r w:rsidRPr="00F14C7B">
              <w:rPr>
                <w:rFonts w:eastAsia="MS Mincho"/>
                <w:u w:val="single"/>
                <w:lang w:val="en-GB" w:eastAsia="ja-JP"/>
              </w:rPr>
              <w:t>any</w:t>
            </w:r>
            <w:r>
              <w:rPr>
                <w:rFonts w:eastAsia="MS Mincho"/>
                <w:lang w:val="en-GB" w:eastAsia="ja-JP"/>
              </w:rPr>
              <w:t xml:space="preserve"> three consecutive OFDM symbols</w:t>
            </w:r>
            <w:r>
              <w:rPr>
                <w:rFonts w:eastAsia="宋体"/>
                <w:lang w:val="en-GB" w:eastAsia="zh-CN"/>
              </w:rPr>
              <w:t xml:space="preserve"> provides better flexibility and larger PDCCH capacity.  </w:t>
            </w:r>
          </w:p>
        </w:tc>
      </w:tr>
      <w:tr w:rsidR="00C844D2" w14:paraId="7DC4D306" w14:textId="77777777" w:rsidTr="00F76F29">
        <w:tc>
          <w:tcPr>
            <w:tcW w:w="3114" w:type="dxa"/>
          </w:tcPr>
          <w:p w14:paraId="3311A175" w14:textId="77777777" w:rsidR="00C844D2" w:rsidRDefault="00C844D2" w:rsidP="00C844D2">
            <w:pPr>
              <w:jc w:val="both"/>
              <w:rPr>
                <w:rFonts w:eastAsia="MS Mincho"/>
                <w:lang w:val="en-GB" w:eastAsia="ja-JP"/>
              </w:rPr>
            </w:pPr>
          </w:p>
        </w:tc>
        <w:tc>
          <w:tcPr>
            <w:tcW w:w="1134" w:type="dxa"/>
          </w:tcPr>
          <w:p w14:paraId="466BD873" w14:textId="77777777" w:rsidR="00C844D2" w:rsidRDefault="00C844D2" w:rsidP="00C844D2">
            <w:pPr>
              <w:jc w:val="both"/>
              <w:rPr>
                <w:rFonts w:eastAsia="MS Mincho"/>
                <w:lang w:val="en-GB" w:eastAsia="ja-JP"/>
              </w:rPr>
            </w:pPr>
          </w:p>
        </w:tc>
        <w:tc>
          <w:tcPr>
            <w:tcW w:w="5102" w:type="dxa"/>
          </w:tcPr>
          <w:p w14:paraId="325B908A" w14:textId="77777777" w:rsidR="00C844D2" w:rsidRDefault="00C844D2" w:rsidP="00C844D2">
            <w:pPr>
              <w:jc w:val="both"/>
              <w:rPr>
                <w:rFonts w:eastAsia="MS Mincho"/>
                <w:lang w:val="en-GB" w:eastAsia="ja-JP"/>
              </w:rPr>
            </w:pP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r w:rsidRPr="000D172D">
        <w:rPr>
          <w:rFonts w:eastAsia="MS Mincho"/>
          <w:i/>
          <w:iCs/>
          <w:lang w:val="en-GB" w:eastAsia="ja-JP"/>
        </w:rPr>
        <w:t>pdcch-MonitoringSingleOccasion</w:t>
      </w:r>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r w:rsidR="009D3E1E" w:rsidRPr="00E47AAE">
        <w:t xml:space="preserve">ndicates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he original intention of this capability is to support Case 1-2 for DSS scenario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with the proposed change unless there is any real NBC issue. If anything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r w:rsidRPr="000D172D">
              <w:rPr>
                <w:rFonts w:eastAsia="MS Mincho"/>
                <w:i/>
                <w:iCs/>
                <w:lang w:val="en-GB" w:eastAsia="ja-JP"/>
              </w:rPr>
              <w:t>pdcch-MonitoringSingleOccasion</w:t>
            </w:r>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456CE849" w14:textId="780CFA4E" w:rsidR="00C844D2" w:rsidRDefault="00C844D2" w:rsidP="00C844D2">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24EB84F0" w14:textId="77777777" w:rsidR="00C844D2" w:rsidRDefault="00C844D2" w:rsidP="00C844D2">
            <w:pPr>
              <w:jc w:val="both"/>
              <w:rPr>
                <w:rFonts w:eastAsia="MS Mincho"/>
                <w:lang w:val="en-GB" w:eastAsia="ja-JP"/>
              </w:rPr>
            </w:pPr>
            <w:r>
              <w:rPr>
                <w:rFonts w:eastAsia="宋体"/>
                <w:lang w:val="en-GB" w:eastAsia="zh-CN"/>
              </w:rPr>
              <w:t>First of all, w</w:t>
            </w:r>
            <w:r>
              <w:rPr>
                <w:rFonts w:eastAsia="MS Mincho"/>
                <w:lang w:val="en-GB" w:eastAsia="ja-JP"/>
              </w:rPr>
              <w:t xml:space="preserve">e don’t see an issue with the current definition to support DSS use case. </w:t>
            </w:r>
          </w:p>
          <w:p w14:paraId="7E181521" w14:textId="7A57B5BD" w:rsidR="00C844D2" w:rsidRDefault="00C844D2" w:rsidP="00C844D2">
            <w:pPr>
              <w:jc w:val="both"/>
              <w:rPr>
                <w:rFonts w:eastAsia="MS Mincho"/>
                <w:lang w:val="en-GB" w:eastAsia="ja-JP"/>
              </w:rPr>
            </w:pPr>
            <w:r>
              <w:rPr>
                <w:rFonts w:eastAsia="MS Mincho"/>
                <w:lang w:val="en-GB" w:eastAsia="ja-JP"/>
              </w:rPr>
              <w:t>Secondly, making update to the definition of</w:t>
            </w:r>
            <w:r w:rsidRPr="00842C35">
              <w:rPr>
                <w:rFonts w:eastAsia="MS Mincho"/>
                <w:lang w:val="en-GB" w:eastAsia="ja-JP"/>
              </w:rPr>
              <w:t xml:space="preserve"> pdcch-MonitoringSingleOccasion</w:t>
            </w:r>
            <w:r>
              <w:rPr>
                <w:rFonts w:eastAsia="MS Mincho"/>
                <w:lang w:val="en-GB" w:eastAsia="ja-JP"/>
              </w:rPr>
              <w:t xml:space="preserve"> in Rel-16 will lead to more issues. A</w:t>
            </w:r>
            <w:r w:rsidRPr="00A47E5F">
              <w:rPr>
                <w:rFonts w:eastAsia="MS Mincho"/>
                <w:lang w:val="en-GB" w:eastAsia="ja-JP"/>
              </w:rPr>
              <w:t xml:space="preserve"> Rel-15 gNB </w:t>
            </w:r>
            <w:r>
              <w:rPr>
                <w:rFonts w:eastAsia="MS Mincho"/>
                <w:lang w:val="en-GB" w:eastAsia="ja-JP"/>
              </w:rPr>
              <w:t xml:space="preserve">cannot </w:t>
            </w:r>
            <w:r w:rsidRPr="00A47E5F">
              <w:rPr>
                <w:rFonts w:eastAsia="MS Mincho"/>
                <w:lang w:val="en-GB" w:eastAsia="ja-JP"/>
              </w:rPr>
              <w:t xml:space="preserve">differentiate Rel-15 UEs </w:t>
            </w:r>
            <w:r>
              <w:rPr>
                <w:rFonts w:eastAsia="MS Mincho"/>
                <w:lang w:val="en-GB" w:eastAsia="ja-JP"/>
              </w:rPr>
              <w:t xml:space="preserve">that are capable of PDCCH monitoring </w:t>
            </w:r>
            <w:r w:rsidRPr="00E47AAE">
              <w:t xml:space="preserve">within a single </w:t>
            </w:r>
            <w:r w:rsidRPr="00E47AAE">
              <w:lastRenderedPageBreak/>
              <w:t xml:space="preserve">span of </w:t>
            </w:r>
            <w:r w:rsidRPr="00362621">
              <w:rPr>
                <w:u w:val="single"/>
              </w:rPr>
              <w:t>any</w:t>
            </w:r>
            <w:r>
              <w:t xml:space="preserve"> three contiguous OFDM symbols</w:t>
            </w:r>
            <w:r w:rsidRPr="00A47E5F">
              <w:rPr>
                <w:rFonts w:eastAsia="MS Mincho"/>
                <w:lang w:val="en-GB" w:eastAsia="ja-JP"/>
              </w:rPr>
              <w:t xml:space="preserve"> from Rel-16 UEs </w:t>
            </w:r>
            <w:r>
              <w:rPr>
                <w:rFonts w:eastAsia="MS Mincho"/>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bl>
    <w:p w14:paraId="57262869" w14:textId="77777777" w:rsidR="002854DE" w:rsidRPr="00C844D2"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r w:rsidR="000D172D" w:rsidRPr="000D172D">
        <w:rPr>
          <w:rFonts w:eastAsia="MS Mincho"/>
          <w:i/>
          <w:iCs/>
          <w:lang w:val="en-GB" w:eastAsia="ja-JP"/>
        </w:rPr>
        <w:t>pdcch-MonitoringSingleOccasion</w:t>
      </w:r>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a3"/>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gNB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156341AA" w14:textId="460BD216" w:rsidR="005D393B" w:rsidRDefault="005D393B" w:rsidP="005D393B">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1BDAC5F7" w14:textId="4E877E24" w:rsidR="005D393B" w:rsidRDefault="005D393B" w:rsidP="005D393B">
            <w:pPr>
              <w:jc w:val="both"/>
              <w:rPr>
                <w:rFonts w:eastAsia="MS Mincho"/>
                <w:lang w:val="en-GB" w:eastAsia="ja-JP"/>
              </w:rPr>
            </w:pPr>
            <w:r>
              <w:rPr>
                <w:rFonts w:eastAsia="宋体" w:hint="eastAsia"/>
                <w:lang w:val="en-GB" w:eastAsia="zh-CN"/>
              </w:rPr>
              <w:t>T</w:t>
            </w:r>
            <w:r>
              <w:rPr>
                <w:rFonts w:eastAsia="宋体"/>
                <w:lang w:val="en-GB" w:eastAsia="zh-CN"/>
              </w:rPr>
              <w:t xml:space="preserve">he proposal requires a basic function change that would require update of the UEs in the market. As replied to Q6, a Rel-15 gNB cannot differentiate Rel-15 UEs and Rel-16 UEs indicating the same UE capability. Therefore, the Rel-15 gNB may not provide a proper configurations for Rel-16 UEs. </w:t>
            </w:r>
          </w:p>
        </w:tc>
      </w:tr>
      <w:tr w:rsidR="005D393B" w14:paraId="657058E2" w14:textId="77777777" w:rsidTr="00F76F29">
        <w:tc>
          <w:tcPr>
            <w:tcW w:w="3114" w:type="dxa"/>
          </w:tcPr>
          <w:p w14:paraId="3D020E37" w14:textId="77777777" w:rsidR="005D393B" w:rsidRDefault="005D393B" w:rsidP="005D393B">
            <w:pPr>
              <w:jc w:val="both"/>
              <w:rPr>
                <w:rFonts w:eastAsia="MS Mincho"/>
                <w:lang w:val="en-GB" w:eastAsia="ja-JP"/>
              </w:rPr>
            </w:pPr>
          </w:p>
        </w:tc>
        <w:tc>
          <w:tcPr>
            <w:tcW w:w="1134" w:type="dxa"/>
          </w:tcPr>
          <w:p w14:paraId="12E83338" w14:textId="77777777" w:rsidR="005D393B" w:rsidRDefault="005D393B" w:rsidP="005D393B">
            <w:pPr>
              <w:jc w:val="both"/>
              <w:rPr>
                <w:rFonts w:eastAsia="MS Mincho"/>
                <w:lang w:val="en-GB" w:eastAsia="ja-JP"/>
              </w:rPr>
            </w:pPr>
          </w:p>
        </w:tc>
        <w:tc>
          <w:tcPr>
            <w:tcW w:w="5102" w:type="dxa"/>
          </w:tcPr>
          <w:p w14:paraId="710199A6" w14:textId="77777777" w:rsidR="005D393B" w:rsidRDefault="005D393B" w:rsidP="005D393B">
            <w:pPr>
              <w:jc w:val="both"/>
              <w:rPr>
                <w:rFonts w:eastAsia="MS Mincho"/>
                <w:lang w:val="en-GB" w:eastAsia="ja-JP"/>
              </w:rPr>
            </w:pP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a3"/>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165E9687" w14:textId="7875925F" w:rsidR="005D393B" w:rsidRDefault="005D393B" w:rsidP="005D393B">
            <w:pPr>
              <w:jc w:val="both"/>
              <w:rPr>
                <w:rFonts w:eastAsia="MS Mincho"/>
                <w:lang w:val="en-GB" w:eastAsia="ja-JP"/>
              </w:rPr>
            </w:pPr>
            <w:r>
              <w:rPr>
                <w:rFonts w:eastAsia="宋体" w:hint="eastAsia"/>
                <w:lang w:val="en-GB" w:eastAsia="zh-CN"/>
              </w:rPr>
              <w:t>N</w:t>
            </w:r>
            <w:r>
              <w:rPr>
                <w:rFonts w:eastAsia="宋体"/>
                <w:lang w:val="en-GB" w:eastAsia="zh-CN"/>
              </w:rPr>
              <w:t>o</w:t>
            </w:r>
            <w:bookmarkStart w:id="7" w:name="_GoBack"/>
            <w:bookmarkEnd w:id="7"/>
          </w:p>
        </w:tc>
        <w:tc>
          <w:tcPr>
            <w:tcW w:w="5102" w:type="dxa"/>
          </w:tcPr>
          <w:p w14:paraId="45C183BF" w14:textId="4D50F4C3" w:rsidR="005D393B" w:rsidRDefault="005D393B" w:rsidP="005D393B">
            <w:pPr>
              <w:jc w:val="both"/>
              <w:rPr>
                <w:rFonts w:eastAsia="MS Mincho"/>
                <w:lang w:val="en-GB" w:eastAsia="ja-JP"/>
              </w:rPr>
            </w:pPr>
            <w:r>
              <w:rPr>
                <w:rFonts w:eastAsia="宋体"/>
                <w:lang w:val="en-GB" w:eastAsia="zh-CN"/>
              </w:rPr>
              <w:t xml:space="preserve">As replied to Q1, we don’t see an issue with the current definition and </w:t>
            </w:r>
            <w:r>
              <w:rPr>
                <w:rFonts w:eastAsia="MS Mincho"/>
                <w:lang w:val="en-GB" w:eastAsia="ja-JP"/>
              </w:rPr>
              <w:t>we don’t see the need to introduce a “</w:t>
            </w:r>
            <w:r w:rsidRPr="00842C35">
              <w:rPr>
                <w:rFonts w:eastAsia="MS Mincho"/>
                <w:i/>
                <w:lang w:val="en-GB" w:eastAsia="ja-JP"/>
              </w:rPr>
              <w:t>reduced</w:t>
            </w:r>
            <w:r>
              <w:rPr>
                <w:rFonts w:eastAsia="MS Mincho"/>
                <w:lang w:val="en-GB" w:eastAsia="ja-JP"/>
              </w:rPr>
              <w:t>” UE capability in Rel-16.</w:t>
            </w:r>
          </w:p>
        </w:tc>
      </w:tr>
      <w:tr w:rsidR="00C844D2" w14:paraId="305A28BF" w14:textId="77777777" w:rsidTr="00F76F29">
        <w:tc>
          <w:tcPr>
            <w:tcW w:w="3114" w:type="dxa"/>
          </w:tcPr>
          <w:p w14:paraId="01502C69" w14:textId="77777777" w:rsidR="00C844D2" w:rsidRDefault="00C844D2" w:rsidP="00C844D2">
            <w:pPr>
              <w:jc w:val="both"/>
              <w:rPr>
                <w:rFonts w:eastAsia="MS Mincho"/>
                <w:lang w:val="en-GB" w:eastAsia="ja-JP"/>
              </w:rPr>
            </w:pPr>
          </w:p>
        </w:tc>
        <w:tc>
          <w:tcPr>
            <w:tcW w:w="1134" w:type="dxa"/>
          </w:tcPr>
          <w:p w14:paraId="7BC4610D" w14:textId="77777777" w:rsidR="00C844D2" w:rsidRDefault="00C844D2" w:rsidP="00C844D2">
            <w:pPr>
              <w:jc w:val="both"/>
              <w:rPr>
                <w:rFonts w:eastAsia="MS Mincho"/>
                <w:lang w:val="en-GB" w:eastAsia="ja-JP"/>
              </w:rPr>
            </w:pPr>
          </w:p>
        </w:tc>
        <w:tc>
          <w:tcPr>
            <w:tcW w:w="5102" w:type="dxa"/>
          </w:tcPr>
          <w:p w14:paraId="37CC36AC" w14:textId="77777777" w:rsidR="00C844D2" w:rsidRDefault="00C844D2" w:rsidP="00C844D2">
            <w:pPr>
              <w:jc w:val="both"/>
              <w:rPr>
                <w:rFonts w:eastAsia="MS Mincho"/>
                <w:lang w:val="en-GB" w:eastAsia="ja-JP"/>
              </w:rPr>
            </w:pPr>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1"/>
        <w:numPr>
          <w:ilvl w:val="0"/>
          <w:numId w:val="5"/>
        </w:numPr>
        <w:rPr>
          <w:b/>
          <w:lang w:eastAsia="ja-JP"/>
        </w:rPr>
      </w:pPr>
      <w:r>
        <w:rPr>
          <w:b/>
          <w:lang w:eastAsia="ja-JP"/>
        </w:rPr>
        <w:lastRenderedPageBreak/>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1"/>
        <w:numPr>
          <w:ilvl w:val="0"/>
          <w:numId w:val="5"/>
        </w:numPr>
        <w:rPr>
          <w:lang w:eastAsia="ja-JP"/>
        </w:rPr>
      </w:pPr>
      <w:r>
        <w:rPr>
          <w:b/>
          <w:lang w:eastAsia="ja-JP"/>
        </w:rPr>
        <w:t>Reference</w:t>
      </w:r>
    </w:p>
    <w:p w14:paraId="7C5D9122" w14:textId="3F742334" w:rsidR="001E254D" w:rsidRDefault="004D6180" w:rsidP="001650C1">
      <w:pPr>
        <w:pStyle w:val="a4"/>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E830" w14:textId="77777777" w:rsidR="00A37D92" w:rsidRDefault="00A37D92" w:rsidP="00C36A51">
      <w:pPr>
        <w:spacing w:line="240" w:lineRule="auto"/>
      </w:pPr>
      <w:r>
        <w:separator/>
      </w:r>
    </w:p>
  </w:endnote>
  <w:endnote w:type="continuationSeparator" w:id="0">
    <w:p w14:paraId="2AD470E6" w14:textId="77777777" w:rsidR="00A37D92" w:rsidRDefault="00A37D92" w:rsidP="00C36A51">
      <w:pPr>
        <w:spacing w:line="240" w:lineRule="auto"/>
      </w:pPr>
      <w:r>
        <w:continuationSeparator/>
      </w:r>
    </w:p>
  </w:endnote>
  <w:endnote w:type="continuationNotice" w:id="1">
    <w:p w14:paraId="0894D3F4" w14:textId="77777777" w:rsidR="00A37D92" w:rsidRDefault="00A37D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A13C8" w14:textId="77777777" w:rsidR="00A37D92" w:rsidRDefault="00A37D92" w:rsidP="00C36A51">
      <w:pPr>
        <w:spacing w:line="240" w:lineRule="auto"/>
      </w:pPr>
      <w:r>
        <w:separator/>
      </w:r>
    </w:p>
  </w:footnote>
  <w:footnote w:type="continuationSeparator" w:id="0">
    <w:p w14:paraId="09719AB6" w14:textId="77777777" w:rsidR="00A37D92" w:rsidRDefault="00A37D92" w:rsidP="00C36A51">
      <w:pPr>
        <w:spacing w:line="240" w:lineRule="auto"/>
      </w:pPr>
      <w:r>
        <w:continuationSeparator/>
      </w:r>
    </w:p>
  </w:footnote>
  <w:footnote w:type="continuationNotice" w:id="1">
    <w:p w14:paraId="15C5406E" w14:textId="77777777" w:rsidR="00A37D92" w:rsidRDefault="00A37D9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9AF"/>
    <w:rsid w:val="00056182"/>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93E"/>
    <w:rsid w:val="00217172"/>
    <w:rsid w:val="002209C4"/>
    <w:rsid w:val="002213DF"/>
    <w:rsid w:val="00221837"/>
    <w:rsid w:val="002218D2"/>
    <w:rsid w:val="002222D8"/>
    <w:rsid w:val="002224A0"/>
    <w:rsid w:val="0022297C"/>
    <w:rsid w:val="00222D72"/>
    <w:rsid w:val="00222F62"/>
    <w:rsid w:val="002231C1"/>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98"/>
    <w:rsid w:val="002A5F31"/>
    <w:rsid w:val="002A5FDB"/>
    <w:rsid w:val="002A648D"/>
    <w:rsid w:val="002B00D4"/>
    <w:rsid w:val="002B0672"/>
    <w:rsid w:val="002B0948"/>
    <w:rsid w:val="002B094B"/>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5202"/>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204D"/>
    <w:rsid w:val="00382B6D"/>
    <w:rsid w:val="00383A4A"/>
    <w:rsid w:val="00383DC5"/>
    <w:rsid w:val="00383F3F"/>
    <w:rsid w:val="00384041"/>
    <w:rsid w:val="00384532"/>
    <w:rsid w:val="00385EB0"/>
    <w:rsid w:val="0038684B"/>
    <w:rsid w:val="003868BC"/>
    <w:rsid w:val="00390670"/>
    <w:rsid w:val="00390830"/>
    <w:rsid w:val="00391D57"/>
    <w:rsid w:val="0039255B"/>
    <w:rsid w:val="00392ABE"/>
    <w:rsid w:val="00393E6D"/>
    <w:rsid w:val="0039451D"/>
    <w:rsid w:val="003947CB"/>
    <w:rsid w:val="003950A1"/>
    <w:rsid w:val="00395F6E"/>
    <w:rsid w:val="00396024"/>
    <w:rsid w:val="003962C1"/>
    <w:rsid w:val="0039638A"/>
    <w:rsid w:val="00396AE5"/>
    <w:rsid w:val="003972C6"/>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1431"/>
    <w:rsid w:val="0044230C"/>
    <w:rsid w:val="004423FC"/>
    <w:rsid w:val="00442B76"/>
    <w:rsid w:val="00442DEB"/>
    <w:rsid w:val="00442FA2"/>
    <w:rsid w:val="00443075"/>
    <w:rsid w:val="0044382E"/>
    <w:rsid w:val="00443A4E"/>
    <w:rsid w:val="00443B9E"/>
    <w:rsid w:val="0044453A"/>
    <w:rsid w:val="004452A9"/>
    <w:rsid w:val="004465D9"/>
    <w:rsid w:val="00446699"/>
    <w:rsid w:val="00446721"/>
    <w:rsid w:val="00446D7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5066"/>
    <w:rsid w:val="004A5B89"/>
    <w:rsid w:val="004A664F"/>
    <w:rsid w:val="004A688F"/>
    <w:rsid w:val="004A6C19"/>
    <w:rsid w:val="004A72A6"/>
    <w:rsid w:val="004A7ED1"/>
    <w:rsid w:val="004B110C"/>
    <w:rsid w:val="004B1792"/>
    <w:rsid w:val="004B204D"/>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237F"/>
    <w:rsid w:val="005623A4"/>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7F3"/>
    <w:rsid w:val="00645FE0"/>
    <w:rsid w:val="00646420"/>
    <w:rsid w:val="00646804"/>
    <w:rsid w:val="006479DD"/>
    <w:rsid w:val="00650890"/>
    <w:rsid w:val="00650E14"/>
    <w:rsid w:val="00651665"/>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4060"/>
    <w:rsid w:val="008049BF"/>
    <w:rsid w:val="00804D94"/>
    <w:rsid w:val="00804EF6"/>
    <w:rsid w:val="00805753"/>
    <w:rsid w:val="00805AEA"/>
    <w:rsid w:val="00805D74"/>
    <w:rsid w:val="008102DD"/>
    <w:rsid w:val="00810DCB"/>
    <w:rsid w:val="00811C52"/>
    <w:rsid w:val="008122F1"/>
    <w:rsid w:val="0081240B"/>
    <w:rsid w:val="008126D5"/>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6139"/>
    <w:rsid w:val="00856722"/>
    <w:rsid w:val="00856B21"/>
    <w:rsid w:val="0085758C"/>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78CC"/>
    <w:rsid w:val="00950D63"/>
    <w:rsid w:val="00951272"/>
    <w:rsid w:val="00951C4D"/>
    <w:rsid w:val="00951CD2"/>
    <w:rsid w:val="00951E87"/>
    <w:rsid w:val="00952243"/>
    <w:rsid w:val="00952426"/>
    <w:rsid w:val="009524EE"/>
    <w:rsid w:val="00952E69"/>
    <w:rsid w:val="00952F8B"/>
    <w:rsid w:val="00953AB6"/>
    <w:rsid w:val="00953DB4"/>
    <w:rsid w:val="009553BF"/>
    <w:rsid w:val="0095577A"/>
    <w:rsid w:val="00955CD5"/>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40F4"/>
    <w:rsid w:val="00A349A1"/>
    <w:rsid w:val="00A34A76"/>
    <w:rsid w:val="00A35198"/>
    <w:rsid w:val="00A35C58"/>
    <w:rsid w:val="00A378CE"/>
    <w:rsid w:val="00A37D92"/>
    <w:rsid w:val="00A401BC"/>
    <w:rsid w:val="00A40CE8"/>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73E7"/>
    <w:rsid w:val="00B774CD"/>
    <w:rsid w:val="00B778B9"/>
    <w:rsid w:val="00B77A86"/>
    <w:rsid w:val="00B77D3E"/>
    <w:rsid w:val="00B77E1F"/>
    <w:rsid w:val="00B81B0B"/>
    <w:rsid w:val="00B81C8F"/>
    <w:rsid w:val="00B8218B"/>
    <w:rsid w:val="00B82865"/>
    <w:rsid w:val="00B82951"/>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7267"/>
    <w:rsid w:val="00D07E79"/>
    <w:rsid w:val="00D104CC"/>
    <w:rsid w:val="00D113C1"/>
    <w:rsid w:val="00D115A0"/>
    <w:rsid w:val="00D11610"/>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2029"/>
    <w:rsid w:val="00EC241E"/>
    <w:rsid w:val="00EC2CED"/>
    <w:rsid w:val="00EC2FF0"/>
    <w:rsid w:val="00EC3070"/>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F7C"/>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700F"/>
    <w:rsid w:val="00FA7513"/>
    <w:rsid w:val="00FB0351"/>
    <w:rsid w:val="00FB03F2"/>
    <w:rsid w:val="00FB0872"/>
    <w:rsid w:val="00FB2FFB"/>
    <w:rsid w:val="00FB3239"/>
    <w:rsid w:val="00FB413D"/>
    <w:rsid w:val="00FB46AA"/>
    <w:rsid w:val="00FB529A"/>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0B"/>
    <w:pPr>
      <w:spacing w:after="0"/>
    </w:p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Char"/>
    <w:uiPriority w:val="99"/>
    <w:qFormat/>
    <w:rsid w:val="00D218A0"/>
    <w:pPr>
      <w:keepNext/>
      <w:outlineLvl w:val="0"/>
    </w:pPr>
    <w:rPr>
      <w:rFonts w:asciiTheme="majorHAnsi" w:eastAsiaTheme="majorEastAsia" w:hAnsiTheme="majorHAnsi" w:cstheme="majorBidi"/>
      <w:sz w:val="24"/>
      <w:szCs w:val="24"/>
    </w:rPr>
  </w:style>
  <w:style w:type="paragraph" w:styleId="2">
    <w:name w:val="heading 2"/>
    <w:basedOn w:val="a"/>
    <w:next w:val="a"/>
    <w:link w:val="2Char"/>
    <w:uiPriority w:val="9"/>
    <w:qFormat/>
    <w:rsid w:val="00953DB4"/>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953DB4"/>
    <w:pPr>
      <w:keepNext/>
      <w:ind w:leftChars="400" w:left="4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953DB4"/>
    <w:pPr>
      <w:keepNext/>
      <w:ind w:leftChars="400" w:left="400"/>
      <w:outlineLvl w:val="3"/>
    </w:pPr>
    <w:rPr>
      <w:b/>
      <w:bCs/>
    </w:rPr>
  </w:style>
  <w:style w:type="paragraph" w:styleId="5">
    <w:name w:val="heading 5"/>
    <w:basedOn w:val="a"/>
    <w:next w:val="a"/>
    <w:link w:val="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8">
    <w:name w:val="heading 8"/>
    <w:aliases w:val="Table Heading"/>
    <w:basedOn w:val="1"/>
    <w:next w:val="a"/>
    <w:link w:val="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宋体" w:hAnsi="Arial" w:cs="Times New Roman"/>
      <w:sz w:val="36"/>
      <w:szCs w:val="20"/>
      <w:lang w:val="en-GB"/>
    </w:rPr>
  </w:style>
  <w:style w:type="paragraph" w:styleId="9">
    <w:name w:val="heading 9"/>
    <w:aliases w:val="Figure Heading,FH"/>
    <w:basedOn w:val="8"/>
    <w:next w:val="a"/>
    <w:link w:val="9Char"/>
    <w:uiPriority w:val="9"/>
    <w:qFormat/>
    <w:rsid w:val="00536B68"/>
    <w:pPr>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목록 단락,列表段落,¥¡¡¡¡ì¬º¥¹¥È¶ÎÂä,ÁÐ³ö¶ÎÂä,列表段落1,—ño’i—Ž,¥ê¥¹¥È¶ÎÂä,1st level - Bullet List Paragraph,Lettre d'introduction,Paragrafo elenco,Normal bullet 2,Bullet list,列表段落11"/>
    <w:basedOn w:val="a"/>
    <w:link w:val="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a"/>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a"/>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uiPriority w:val="99"/>
    <w:rsid w:val="00D218A0"/>
    <w:rPr>
      <w:rFonts w:asciiTheme="majorHAnsi" w:eastAsiaTheme="majorEastAsia" w:hAnsiTheme="majorHAnsi" w:cstheme="majorBidi"/>
      <w:sz w:val="24"/>
      <w:szCs w:val="24"/>
    </w:rPr>
  </w:style>
  <w:style w:type="character" w:styleId="a5">
    <w:name w:val="Hyperlink"/>
    <w:basedOn w:val="a0"/>
    <w:uiPriority w:val="99"/>
    <w:unhideWhenUsed/>
    <w:rsid w:val="00FD381C"/>
    <w:rPr>
      <w:color w:val="0563C1"/>
      <w:u w:val="single"/>
    </w:rPr>
  </w:style>
  <w:style w:type="paragraph" w:styleId="a6">
    <w:name w:val="Balloon Text"/>
    <w:basedOn w:val="a"/>
    <w:link w:val="Char0"/>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Char0">
    <w:name w:val="批注框文本 Char"/>
    <w:basedOn w:val="a0"/>
    <w:link w:val="a6"/>
    <w:uiPriority w:val="99"/>
    <w:semiHidden/>
    <w:rsid w:val="005F6F4C"/>
    <w:rPr>
      <w:rFonts w:asciiTheme="majorHAnsi" w:eastAsiaTheme="majorEastAsia" w:hAnsiTheme="majorHAnsi" w:cstheme="majorBidi"/>
      <w:sz w:val="18"/>
      <w:szCs w:val="18"/>
    </w:rPr>
  </w:style>
  <w:style w:type="character" w:customStyle="1" w:styleId="10">
    <w:name w:val="未解決のメンション1"/>
    <w:basedOn w:val="a0"/>
    <w:uiPriority w:val="99"/>
    <w:semiHidden/>
    <w:unhideWhenUsed/>
    <w:rsid w:val="00B32F84"/>
    <w:rPr>
      <w:color w:val="808080"/>
      <w:shd w:val="clear" w:color="auto" w:fill="E6E6E6"/>
    </w:rPr>
  </w:style>
  <w:style w:type="paragraph" w:customStyle="1" w:styleId="EQ">
    <w:name w:val="EQ"/>
    <w:basedOn w:val="a"/>
    <w:next w:val="a"/>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宋体" w:hAnsi="Times New Roman" w:cs="Times New Roman"/>
      <w:noProof/>
      <w:sz w:val="20"/>
      <w:szCs w:val="20"/>
      <w:lang w:val="en-GB"/>
    </w:rPr>
  </w:style>
  <w:style w:type="paragraph" w:styleId="a7">
    <w:name w:val="header"/>
    <w:basedOn w:val="a"/>
    <w:link w:val="Char1"/>
    <w:uiPriority w:val="99"/>
    <w:unhideWhenUsed/>
    <w:rsid w:val="00C36A51"/>
    <w:pPr>
      <w:tabs>
        <w:tab w:val="center" w:pos="4252"/>
        <w:tab w:val="right" w:pos="8504"/>
      </w:tabs>
      <w:snapToGrid w:val="0"/>
    </w:pPr>
  </w:style>
  <w:style w:type="character" w:customStyle="1" w:styleId="Char1">
    <w:name w:val="页眉 Char"/>
    <w:basedOn w:val="a0"/>
    <w:link w:val="a7"/>
    <w:uiPriority w:val="99"/>
    <w:rsid w:val="00C36A51"/>
  </w:style>
  <w:style w:type="paragraph" w:styleId="a8">
    <w:name w:val="footer"/>
    <w:basedOn w:val="a"/>
    <w:link w:val="Char2"/>
    <w:uiPriority w:val="99"/>
    <w:unhideWhenUsed/>
    <w:rsid w:val="00C36A51"/>
    <w:pPr>
      <w:tabs>
        <w:tab w:val="center" w:pos="4252"/>
        <w:tab w:val="right" w:pos="8504"/>
      </w:tabs>
      <w:snapToGrid w:val="0"/>
    </w:pPr>
  </w:style>
  <w:style w:type="character" w:customStyle="1" w:styleId="Char2">
    <w:name w:val="页脚 Char"/>
    <w:basedOn w:val="a0"/>
    <w:link w:val="a8"/>
    <w:uiPriority w:val="99"/>
    <w:rsid w:val="00C36A51"/>
  </w:style>
  <w:style w:type="character" w:styleId="a9">
    <w:name w:val="Placeholder Text"/>
    <w:basedOn w:val="a0"/>
    <w:uiPriority w:val="99"/>
    <w:semiHidden/>
    <w:rsid w:val="000F243A"/>
    <w:rPr>
      <w:color w:val="808080"/>
    </w:rPr>
  </w:style>
  <w:style w:type="character" w:customStyle="1" w:styleId="2Char">
    <w:name w:val="标题 2 Char"/>
    <w:basedOn w:val="a0"/>
    <w:link w:val="2"/>
    <w:uiPriority w:val="9"/>
    <w:rsid w:val="00953DB4"/>
    <w:rPr>
      <w:rFonts w:asciiTheme="majorHAnsi" w:eastAsiaTheme="majorEastAsia" w:hAnsiTheme="majorHAnsi" w:cstheme="majorBidi"/>
    </w:rPr>
  </w:style>
  <w:style w:type="character" w:customStyle="1" w:styleId="3Char">
    <w:name w:val="标题 3 Char"/>
    <w:basedOn w:val="a0"/>
    <w:link w:val="3"/>
    <w:uiPriority w:val="9"/>
    <w:rsid w:val="00953DB4"/>
    <w:rPr>
      <w:rFonts w:asciiTheme="majorHAnsi" w:eastAsiaTheme="majorEastAsia" w:hAnsiTheme="majorHAnsi" w:cstheme="majorBidi"/>
    </w:rPr>
  </w:style>
  <w:style w:type="character" w:customStyle="1" w:styleId="4Char">
    <w:name w:val="标题 4 Char"/>
    <w:basedOn w:val="a0"/>
    <w:link w:val="4"/>
    <w:uiPriority w:val="9"/>
    <w:semiHidden/>
    <w:rsid w:val="00953DB4"/>
    <w:rPr>
      <w:b/>
      <w:bCs/>
    </w:rPr>
  </w:style>
  <w:style w:type="character" w:customStyle="1" w:styleId="UnresolvedMention1">
    <w:name w:val="Unresolved Mention1"/>
    <w:basedOn w:val="a0"/>
    <w:uiPriority w:val="99"/>
    <w:semiHidden/>
    <w:unhideWhenUsed/>
    <w:rsid w:val="00953DB4"/>
    <w:rPr>
      <w:color w:val="808080"/>
      <w:shd w:val="clear" w:color="auto" w:fill="E6E6E6"/>
    </w:rPr>
  </w:style>
  <w:style w:type="character" w:styleId="aa">
    <w:name w:val="annotation reference"/>
    <w:basedOn w:val="a0"/>
    <w:unhideWhenUsed/>
    <w:qFormat/>
    <w:rsid w:val="00953DB4"/>
    <w:rPr>
      <w:sz w:val="16"/>
      <w:szCs w:val="16"/>
    </w:rPr>
  </w:style>
  <w:style w:type="paragraph" w:styleId="ab">
    <w:name w:val="annotation text"/>
    <w:basedOn w:val="a"/>
    <w:link w:val="Char3"/>
    <w:uiPriority w:val="99"/>
    <w:unhideWhenUsed/>
    <w:qFormat/>
    <w:rsid w:val="00953DB4"/>
    <w:pPr>
      <w:spacing w:line="240" w:lineRule="auto"/>
    </w:pPr>
    <w:rPr>
      <w:sz w:val="20"/>
      <w:szCs w:val="20"/>
    </w:rPr>
  </w:style>
  <w:style w:type="character" w:customStyle="1" w:styleId="Char3">
    <w:name w:val="批注文字 Char"/>
    <w:basedOn w:val="a0"/>
    <w:link w:val="ab"/>
    <w:uiPriority w:val="99"/>
    <w:qFormat/>
    <w:rsid w:val="00953DB4"/>
    <w:rPr>
      <w:sz w:val="20"/>
      <w:szCs w:val="20"/>
    </w:rPr>
  </w:style>
  <w:style w:type="character" w:customStyle="1" w:styleId="Char">
    <w:name w:val="列出段落 Char"/>
    <w:aliases w:val="- Bullets Char,?? ?? Char,????? Char,???? Char,Lista1 Char,列出段落1 Char,中等深浅网格 1 - 着色 21 Char,목록 단락 Char,列表段落 Char,¥¡¡¡¡ì¬º¥¹¥È¶ÎÂä Char,ÁÐ³ö¶ÎÂä Char,列表段落1 Char,—ño’i—Ž Char,¥ê¥¹¥È¶ÎÂä Char,1st level - Bullet List Paragraph Char,列表段落11 Char"/>
    <w:link w:val="a4"/>
    <w:uiPriority w:val="34"/>
    <w:qFormat/>
    <w:locked/>
    <w:rsid w:val="00953DB4"/>
  </w:style>
  <w:style w:type="character" w:customStyle="1" w:styleId="11">
    <w:name w:val="リスト段落 (文字)1"/>
    <w:aliases w:val="- Bullets (文字)1,목록 단락 (文字)"/>
    <w:uiPriority w:val="34"/>
    <w:qFormat/>
    <w:rsid w:val="00953DB4"/>
    <w:rPr>
      <w:rFonts w:ascii="Times" w:hAnsi="Times"/>
      <w:szCs w:val="24"/>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rsid w:val="00953DB4"/>
    <w:rPr>
      <w:rFonts w:ascii="Times" w:eastAsia="Batang" w:hAnsi="Times" w:cs="Times New Roman"/>
      <w:sz w:val="20"/>
      <w:szCs w:val="24"/>
      <w:lang w:val="en-GB" w:eastAsia="x-none"/>
    </w:rPr>
  </w:style>
  <w:style w:type="paragraph" w:styleId="ad">
    <w:name w:val="Revision"/>
    <w:hidden/>
    <w:uiPriority w:val="99"/>
    <w:semiHidden/>
    <w:rsid w:val="004B42E5"/>
    <w:pPr>
      <w:spacing w:after="0" w:line="240" w:lineRule="auto"/>
    </w:pPr>
  </w:style>
  <w:style w:type="character" w:customStyle="1" w:styleId="5Char">
    <w:name w:val="标题 5 Char"/>
    <w:basedOn w:val="a0"/>
    <w:link w:val="5"/>
    <w:uiPriority w:val="9"/>
    <w:semiHidden/>
    <w:rsid w:val="001C6238"/>
    <w:rPr>
      <w:rFonts w:asciiTheme="majorHAnsi" w:eastAsiaTheme="majorEastAsia" w:hAnsiTheme="majorHAnsi" w:cstheme="majorBidi"/>
    </w:rPr>
  </w:style>
  <w:style w:type="paragraph" w:customStyle="1" w:styleId="B1">
    <w:name w:val="B1"/>
    <w:basedOn w:val="ae"/>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宋体" w:hAnsi="Times New Roman" w:cs="Times New Roman"/>
      <w:sz w:val="20"/>
      <w:szCs w:val="20"/>
      <w:lang w:val="en-GB"/>
    </w:rPr>
  </w:style>
  <w:style w:type="character" w:customStyle="1" w:styleId="B1Char">
    <w:name w:val="B1 Char"/>
    <w:link w:val="B1"/>
    <w:locked/>
    <w:rsid w:val="00607083"/>
    <w:rPr>
      <w:rFonts w:ascii="Times New Roman" w:eastAsia="宋体" w:hAnsi="Times New Roman" w:cs="Times New Roman"/>
      <w:sz w:val="20"/>
      <w:szCs w:val="20"/>
      <w:lang w:val="en-GB"/>
    </w:rPr>
  </w:style>
  <w:style w:type="paragraph" w:styleId="ae">
    <w:name w:val="List"/>
    <w:basedOn w:val="a"/>
    <w:uiPriority w:val="99"/>
    <w:semiHidden/>
    <w:unhideWhenUsed/>
    <w:rsid w:val="00607083"/>
    <w:pPr>
      <w:ind w:left="200" w:hangingChars="200" w:hanging="200"/>
      <w:contextualSpacing/>
    </w:pPr>
  </w:style>
  <w:style w:type="character" w:customStyle="1" w:styleId="8Char">
    <w:name w:val="标题 8 Char"/>
    <w:aliases w:val="Table Heading Char"/>
    <w:basedOn w:val="a0"/>
    <w:link w:val="8"/>
    <w:uiPriority w:val="9"/>
    <w:rsid w:val="00536B68"/>
    <w:rPr>
      <w:rFonts w:ascii="Arial" w:eastAsia="宋体" w:hAnsi="Arial" w:cs="Times New Roman"/>
      <w:sz w:val="36"/>
      <w:szCs w:val="20"/>
      <w:lang w:val="en-GB"/>
    </w:rPr>
  </w:style>
  <w:style w:type="character" w:customStyle="1" w:styleId="9Char">
    <w:name w:val="标题 9 Char"/>
    <w:aliases w:val="Figure Heading Char,FH Char"/>
    <w:basedOn w:val="a0"/>
    <w:link w:val="9"/>
    <w:uiPriority w:val="9"/>
    <w:rsid w:val="00536B68"/>
    <w:rPr>
      <w:rFonts w:ascii="Arial" w:eastAsia="宋体" w:hAnsi="Arial" w:cs="Times New Roman"/>
      <w:sz w:val="36"/>
      <w:szCs w:val="20"/>
      <w:lang w:val="en-GB"/>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uiPriority w:val="35"/>
    <w:qFormat/>
    <w:rsid w:val="00536B68"/>
    <w:pPr>
      <w:overflowPunct w:val="0"/>
      <w:autoSpaceDE w:val="0"/>
      <w:autoSpaceDN w:val="0"/>
      <w:adjustRightInd w:val="0"/>
      <w:spacing w:before="120" w:after="120" w:line="240" w:lineRule="auto"/>
      <w:jc w:val="center"/>
      <w:textAlignment w:val="baseline"/>
    </w:pPr>
    <w:rPr>
      <w:rFonts w:ascii="Times New Roman" w:eastAsia="宋体" w:hAnsi="Times New Roman" w:cs="Times New Roman"/>
      <w:b/>
      <w:bCs/>
      <w:sz w:val="20"/>
      <w:szCs w:val="20"/>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uiPriority w:val="35"/>
    <w:rsid w:val="00536B68"/>
    <w:rPr>
      <w:rFonts w:ascii="Times New Roman" w:eastAsia="宋体" w:hAnsi="Times New Roman" w:cs="Times New Roman"/>
      <w:b/>
      <w:bCs/>
      <w:sz w:val="20"/>
      <w:szCs w:val="20"/>
    </w:rPr>
  </w:style>
  <w:style w:type="table" w:customStyle="1" w:styleId="12">
    <w:name w:val="表 (格子)1"/>
    <w:basedOn w:val="a1"/>
    <w:next w:val="a3"/>
    <w:rsid w:val="00D31E51"/>
    <w:pPr>
      <w:spacing w:after="0" w:line="240" w:lineRule="auto"/>
    </w:pPr>
    <w:rPr>
      <w:rFonts w:ascii="CG Times (WN)" w:eastAsia="宋体"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a"/>
    <w:link w:val="B2Char"/>
    <w:qFormat/>
    <w:rsid w:val="00415929"/>
    <w:pPr>
      <w:spacing w:after="180" w:line="240" w:lineRule="auto"/>
      <w:ind w:left="851" w:hanging="284"/>
    </w:pPr>
    <w:rPr>
      <w:rFonts w:ascii="Times New Roman" w:eastAsia="等线" w:hAnsi="Times New Roman" w:cs="Times New Roman"/>
      <w:sz w:val="20"/>
      <w:szCs w:val="20"/>
      <w:lang w:val="en-GB"/>
    </w:rPr>
  </w:style>
  <w:style w:type="character" w:customStyle="1" w:styleId="B2Char">
    <w:name w:val="B2 Char"/>
    <w:link w:val="B2"/>
    <w:qFormat/>
    <w:locked/>
    <w:rsid w:val="00415929"/>
    <w:rPr>
      <w:rFonts w:ascii="Times New Roman" w:eastAsia="等线"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a"/>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a0"/>
    <w:rsid w:val="00583466"/>
  </w:style>
  <w:style w:type="paragraph" w:customStyle="1" w:styleId="m-5714614678754178550msolistparagraph">
    <w:name w:val="m_-5714614678754178550msolistparagraph"/>
    <w:basedOn w:val="a"/>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af0">
    <w:name w:val="annotation subject"/>
    <w:basedOn w:val="ab"/>
    <w:next w:val="ab"/>
    <w:link w:val="Char6"/>
    <w:uiPriority w:val="99"/>
    <w:semiHidden/>
    <w:unhideWhenUsed/>
    <w:rsid w:val="007365AB"/>
    <w:rPr>
      <w:b/>
      <w:bCs/>
    </w:rPr>
  </w:style>
  <w:style w:type="character" w:customStyle="1" w:styleId="Char6">
    <w:name w:val="批注主题 Char"/>
    <w:basedOn w:val="Char3"/>
    <w:link w:val="af0"/>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ac"/>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30">
    <w:name w:val="List 3"/>
    <w:basedOn w:val="a"/>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a"/>
    <w:next w:val="a"/>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a"/>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2.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3C4A4-4290-4C47-8641-D0E4D475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36</TotalTime>
  <Pages>7</Pages>
  <Words>1923</Words>
  <Characters>10967</Characters>
  <Application>Microsoft Office Word</Application>
  <DocSecurity>0</DocSecurity>
  <Lines>91</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12865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Huawei</cp:lastModifiedBy>
  <cp:revision>14</cp:revision>
  <dcterms:created xsi:type="dcterms:W3CDTF">2022-02-22T07:29:00Z</dcterms:created>
  <dcterms:modified xsi:type="dcterms:W3CDTF">2022-02-22T08:04:00Z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ies>
</file>