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3CEC0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[108-e-NR-CRs-10] Issue#2 CR on reference resource bandwidth in sub-band CQI reporting</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NR</w:t>
      </w:r>
      <w:r w:rsidR="00CE24CF">
        <w:rPr>
          <w:rFonts w:ascii="Arial" w:hAnsi="Arial" w:cs="Arial"/>
          <w:b/>
          <w:bCs/>
          <w:sz w:val="24"/>
        </w:rPr>
        <w:t>_newRAT</w:t>
      </w:r>
      <w:proofErr w:type="spellEnd"/>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4A08D6D0"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047D54D7" w14:textId="77777777" w:rsidR="003411CF" w:rsidRPr="003411CF" w:rsidRDefault="003411CF" w:rsidP="003411CF">
      <w:pPr>
        <w:rPr>
          <w:highlight w:val="cyan"/>
          <w:lang w:eastAsia="x-none"/>
        </w:rPr>
      </w:pPr>
      <w:bookmarkStart w:id="3" w:name="_Hlk96342158"/>
      <w:r w:rsidRPr="003411CF">
        <w:rPr>
          <w:highlight w:val="cyan"/>
          <w:lang w:eastAsia="x-none"/>
        </w:rPr>
        <w:t xml:space="preserve">[108-e-NR-CRs-10] Issue#2 CR on reference resource bandwidth in sub-band CQI reporting </w:t>
      </w:r>
      <w:bookmarkEnd w:id="3"/>
      <w:r w:rsidRPr="003411CF">
        <w:rPr>
          <w:highlight w:val="cyan"/>
          <w:lang w:eastAsia="x-none"/>
        </w:rPr>
        <w:t xml:space="preserve">– </w:t>
      </w:r>
      <w:r w:rsidRPr="003411CF">
        <w:rPr>
          <w:highlight w:val="cyan"/>
          <w:shd w:val="clear" w:color="auto" w:fill="FFFF00"/>
          <w:lang w:eastAsia="x-none"/>
        </w:rPr>
        <w:t>Karri (Nokia)</w:t>
      </w:r>
    </w:p>
    <w:p w14:paraId="572C7F04"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Only to draw conclusion</w:t>
      </w:r>
    </w:p>
    <w:p w14:paraId="61119E28" w14:textId="184D45D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 xml:space="preserve">Relevant </w:t>
      </w:r>
      <w:proofErr w:type="spellStart"/>
      <w:r w:rsidRPr="003411CF">
        <w:rPr>
          <w:highlight w:val="cyan"/>
          <w:lang w:eastAsia="x-none"/>
        </w:rPr>
        <w:t>tdoc</w:t>
      </w:r>
      <w:proofErr w:type="spellEnd"/>
      <w:r w:rsidRPr="003411CF">
        <w:rPr>
          <w:highlight w:val="cyan"/>
          <w:lang w:eastAsia="x-none"/>
        </w:rPr>
        <w:t xml:space="preserve">: </w:t>
      </w:r>
      <w:hyperlink r:id="rId11" w:history="1">
        <w:r w:rsidRPr="003411CF">
          <w:rPr>
            <w:rStyle w:val="Hyperlink"/>
            <w:bCs/>
            <w:highlight w:val="cyan"/>
            <w:lang w:eastAsia="x-none"/>
          </w:rPr>
          <w:t>R1-2201026</w:t>
        </w:r>
      </w:hyperlink>
    </w:p>
    <w:p w14:paraId="7BED5F56"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bCs/>
          <w:highlight w:val="cyan"/>
          <w:lang w:eastAsia="x-none"/>
        </w:rPr>
        <w:t>Check point on February 23</w:t>
      </w:r>
    </w:p>
    <w:p w14:paraId="0E8E4F1A" w14:textId="77777777" w:rsidR="003411CF" w:rsidRPr="005D2976" w:rsidRDefault="003411CF" w:rsidP="00BD6CA6">
      <w:pPr>
        <w:pStyle w:val="Doc-text2"/>
        <w:tabs>
          <w:tab w:val="clear" w:pos="1622"/>
          <w:tab w:val="left" w:pos="1276"/>
        </w:tabs>
        <w:ind w:left="0" w:firstLine="0"/>
        <w:rPr>
          <w:rFonts w:ascii="Times New Roman" w:hAnsi="Times New Roman"/>
          <w:lang w:val="en-GB"/>
        </w:rPr>
      </w:pPr>
    </w:p>
    <w:p w14:paraId="2C8833A7" w14:textId="77777777" w:rsidR="004A54DC" w:rsidRDefault="004A54DC" w:rsidP="00BD6CA6">
      <w:pPr>
        <w:pStyle w:val="Doc-text2"/>
        <w:tabs>
          <w:tab w:val="clear" w:pos="1622"/>
          <w:tab w:val="left" w:pos="1276"/>
        </w:tabs>
        <w:ind w:left="0" w:firstLine="0"/>
        <w:rPr>
          <w:lang w:val="en-GB"/>
        </w:rPr>
      </w:pPr>
    </w:p>
    <w:p w14:paraId="2FB66F91" w14:textId="1DDE7DAE" w:rsidR="004A54DC" w:rsidRPr="00566346" w:rsidRDefault="00566346"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One </w:t>
      </w:r>
      <w:proofErr w:type="spellStart"/>
      <w:r>
        <w:rPr>
          <w:rFonts w:ascii="Times New Roman" w:hAnsi="Times New Roman"/>
          <w:lang w:val="en-GB"/>
        </w:rPr>
        <w:t>Tdoc</w:t>
      </w:r>
      <w:proofErr w:type="spellEnd"/>
      <w:r>
        <w:rPr>
          <w:rFonts w:ascii="Times New Roman" w:hAnsi="Times New Roman"/>
          <w:lang w:val="en-GB"/>
        </w:rPr>
        <w:t xml:space="preserve"> triggered this email discussion:</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611A5450" w:rsidR="005D2976" w:rsidRPr="00C91DA9" w:rsidRDefault="0097391F" w:rsidP="005D2976">
            <w:pPr>
              <w:pStyle w:val="BodyText"/>
              <w:spacing w:after="60"/>
              <w:rPr>
                <w:rFonts w:eastAsia="SimSun"/>
                <w:sz w:val="18"/>
                <w:szCs w:val="18"/>
              </w:rPr>
            </w:pPr>
            <w:hyperlink r:id="rId12" w:history="1">
              <w:r w:rsidR="003411CF">
                <w:rPr>
                  <w:rStyle w:val="Hyperlink"/>
                  <w:rFonts w:cs="Arial"/>
                  <w:b/>
                  <w:bCs/>
                  <w:sz w:val="16"/>
                  <w:szCs w:val="16"/>
                </w:rPr>
                <w:t>R1-2201026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32DCF845" w:rsidR="005D2976" w:rsidRPr="00851E39" w:rsidRDefault="003411CF" w:rsidP="005D2976">
            <w:pPr>
              <w:jc w:val="both"/>
              <w:rPr>
                <w:sz w:val="18"/>
                <w:szCs w:val="18"/>
              </w:rPr>
            </w:pPr>
            <w:r w:rsidRPr="003411CF">
              <w:rPr>
                <w:rFonts w:ascii="Arial" w:hAnsi="Arial" w:cs="Arial"/>
                <w:sz w:val="16"/>
                <w:szCs w:val="16"/>
              </w:rPr>
              <w:t>CR on reference resource bandwidth in sub-band CQI reporting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049868ED" w:rsidR="005D2976" w:rsidRPr="00C91DA9" w:rsidRDefault="003411CF" w:rsidP="005D2976">
            <w:pPr>
              <w:pStyle w:val="BodyText"/>
              <w:spacing w:after="60"/>
              <w:jc w:val="left"/>
              <w:rPr>
                <w:rFonts w:eastAsia="SimSun"/>
                <w:sz w:val="18"/>
                <w:szCs w:val="18"/>
              </w:rPr>
            </w:pPr>
            <w:r>
              <w:rPr>
                <w:rFonts w:cs="Arial"/>
                <w:sz w:val="16"/>
                <w:szCs w:val="16"/>
              </w:rPr>
              <w:t>Nokia, Nokia Shanghai Bell</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60D1A9B2" w:rsidR="00BA6870" w:rsidRDefault="00DF43CF" w:rsidP="00121679">
      <w:pPr>
        <w:pStyle w:val="Heading1"/>
        <w:rPr>
          <w:rStyle w:val="Heading1Char"/>
        </w:rPr>
      </w:pPr>
      <w:bookmarkStart w:id="4" w:name="_Toc68698317"/>
      <w:r w:rsidRPr="00425E6E">
        <w:rPr>
          <w:rStyle w:val="Heading1Char"/>
        </w:rPr>
        <w:t>2</w:t>
      </w:r>
      <w:r w:rsidR="000702B2">
        <w:rPr>
          <w:rStyle w:val="Heading1Char"/>
        </w:rPr>
        <w:tab/>
      </w:r>
      <w:r w:rsidR="003549C9">
        <w:rPr>
          <w:rStyle w:val="Heading1Char"/>
        </w:rPr>
        <w:t xml:space="preserve">Summary of </w:t>
      </w:r>
      <w:r w:rsidR="003411CF">
        <w:rPr>
          <w:rStyle w:val="Heading1Char"/>
        </w:rPr>
        <w:t xml:space="preserve">the </w:t>
      </w:r>
      <w:r w:rsidR="003549C9">
        <w:rPr>
          <w:rStyle w:val="Heading1Char"/>
        </w:rPr>
        <w:t>issue</w:t>
      </w:r>
      <w:r w:rsidR="003411CF">
        <w:rPr>
          <w:rStyle w:val="Heading1Char"/>
        </w:rPr>
        <w:t xml:space="preserve"> raised</w:t>
      </w:r>
      <w:r w:rsidR="003549C9">
        <w:rPr>
          <w:rStyle w:val="Heading1Char"/>
        </w:rPr>
        <w:t xml:space="preserve"> in the </w:t>
      </w:r>
      <w:proofErr w:type="spellStart"/>
      <w:r w:rsidR="003549C9">
        <w:rPr>
          <w:rStyle w:val="Heading1Char"/>
        </w:rPr>
        <w:t>Tdoc</w:t>
      </w:r>
      <w:bookmarkEnd w:id="4"/>
      <w:proofErr w:type="spellEnd"/>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083B2503" w:rsidR="005D2976" w:rsidRPr="00566346" w:rsidRDefault="0097391F" w:rsidP="004A54DC">
            <w:pPr>
              <w:rPr>
                <w:b/>
                <w:bCs/>
                <w:lang w:val="en-GB"/>
              </w:rPr>
            </w:pPr>
            <w:hyperlink r:id="rId13" w:history="1">
              <w:r w:rsidR="003411CF" w:rsidRPr="003411CF">
                <w:rPr>
                  <w:rStyle w:val="Hyperlink"/>
                  <w:rFonts w:ascii="Arial" w:hAnsi="Arial" w:cs="Arial"/>
                  <w:b/>
                  <w:bCs/>
                </w:rPr>
                <w:t>R1-2201026</w:t>
              </w:r>
            </w:hyperlink>
            <w:r w:rsidR="005D2976" w:rsidRPr="003411CF">
              <w:rPr>
                <w:rFonts w:ascii="Arial" w:hAnsi="Arial" w:cs="Arial"/>
                <w:b/>
                <w:bCs/>
                <w:color w:val="0000FF"/>
                <w:u w:val="single"/>
              </w:rPr>
              <w:t xml:space="preserve"> </w:t>
            </w:r>
            <w:r w:rsidR="003411CF" w:rsidRPr="00566346">
              <w:rPr>
                <w:rFonts w:ascii="Arial" w:hAnsi="Arial" w:cs="Arial"/>
                <w:b/>
                <w:bCs/>
              </w:rPr>
              <w:t xml:space="preserve">CR on </w:t>
            </w:r>
            <w:proofErr w:type="spellStart"/>
            <w:r w:rsidR="003411CF" w:rsidRPr="00566346">
              <w:rPr>
                <w:rFonts w:ascii="Arial" w:hAnsi="Arial" w:cs="Arial"/>
                <w:b/>
                <w:bCs/>
              </w:rPr>
              <w:t>reference</w:t>
            </w:r>
            <w:proofErr w:type="spellEnd"/>
            <w:r w:rsidR="003411CF" w:rsidRPr="00566346">
              <w:rPr>
                <w:rFonts w:ascii="Arial" w:hAnsi="Arial" w:cs="Arial"/>
                <w:b/>
                <w:bCs/>
              </w:rPr>
              <w:t xml:space="preserve"> </w:t>
            </w:r>
            <w:proofErr w:type="spellStart"/>
            <w:r w:rsidR="003411CF" w:rsidRPr="00566346">
              <w:rPr>
                <w:rFonts w:ascii="Arial" w:hAnsi="Arial" w:cs="Arial"/>
                <w:b/>
                <w:bCs/>
              </w:rPr>
              <w:t>resource</w:t>
            </w:r>
            <w:proofErr w:type="spellEnd"/>
            <w:r w:rsidR="003411CF" w:rsidRPr="00566346">
              <w:rPr>
                <w:rFonts w:ascii="Arial" w:hAnsi="Arial" w:cs="Arial"/>
                <w:b/>
                <w:bCs/>
              </w:rPr>
              <w:t xml:space="preserve"> </w:t>
            </w:r>
            <w:proofErr w:type="spellStart"/>
            <w:r w:rsidR="003411CF" w:rsidRPr="00566346">
              <w:rPr>
                <w:rFonts w:ascii="Arial" w:hAnsi="Arial" w:cs="Arial"/>
                <w:b/>
                <w:bCs/>
              </w:rPr>
              <w:t>bandwidth</w:t>
            </w:r>
            <w:proofErr w:type="spellEnd"/>
            <w:r w:rsidR="003411CF" w:rsidRPr="00566346">
              <w:rPr>
                <w:rFonts w:ascii="Arial" w:hAnsi="Arial" w:cs="Arial"/>
                <w:b/>
                <w:bCs/>
              </w:rPr>
              <w:t xml:space="preserve"> in sub-band CQI </w:t>
            </w:r>
            <w:proofErr w:type="spellStart"/>
            <w:r w:rsidR="003411CF" w:rsidRPr="00566346">
              <w:rPr>
                <w:rFonts w:ascii="Arial" w:hAnsi="Arial" w:cs="Arial"/>
                <w:b/>
                <w:bCs/>
              </w:rPr>
              <w:t>reporting</w:t>
            </w:r>
            <w:proofErr w:type="spellEnd"/>
          </w:p>
          <w:p w14:paraId="77B05A02" w14:textId="2FFBA1AC" w:rsidR="004C549F" w:rsidRDefault="004A54DC" w:rsidP="003411CF">
            <w:pPr>
              <w:rPr>
                <w:lang w:val="en-GB"/>
              </w:rPr>
            </w:pPr>
            <w:r w:rsidRPr="004A54DC">
              <w:rPr>
                <w:b/>
                <w:bCs/>
                <w:lang w:val="en-GB"/>
              </w:rPr>
              <w:t>Issue</w:t>
            </w:r>
            <w:r w:rsidR="004C549F">
              <w:rPr>
                <w:b/>
                <w:bCs/>
                <w:lang w:val="en-GB"/>
              </w:rPr>
              <w:t xml:space="preserve"> raised </w:t>
            </w:r>
            <w:r w:rsidR="003411CF">
              <w:rPr>
                <w:b/>
                <w:bCs/>
                <w:lang w:val="en-GB"/>
              </w:rPr>
              <w:t>in the document</w:t>
            </w:r>
            <w:r w:rsidRPr="004A54DC">
              <w:rPr>
                <w:b/>
                <w:bCs/>
                <w:lang w:val="en-GB"/>
              </w:rPr>
              <w:t>:</w:t>
            </w:r>
            <w:r w:rsidRPr="004A54DC">
              <w:rPr>
                <w:lang w:val="en-GB"/>
              </w:rPr>
              <w:t xml:space="preserve"> </w:t>
            </w:r>
          </w:p>
          <w:p w14:paraId="5693CF2D" w14:textId="77777777" w:rsidR="003411CF" w:rsidRPr="003411CF" w:rsidRDefault="003411CF" w:rsidP="003411CF">
            <w:pPr>
              <w:rPr>
                <w:sz w:val="20"/>
                <w:szCs w:val="20"/>
                <w:lang w:val="en-GB"/>
              </w:rPr>
            </w:pPr>
            <w:r w:rsidRPr="003411CF">
              <w:rPr>
                <w:sz w:val="20"/>
                <w:szCs w:val="20"/>
                <w:lang w:val="en-GB"/>
              </w:rPr>
              <w:t>Specification currently defines a single reference resource bandwidth for a given CQI report. A sub-band CQI report contains wideband and narrowband reporting quantities, which should be derived using the corresponding bandwidths, while the current specification recognizes only a single bandwidth assumption for deriving CQI report quantities for one CQI report.</w:t>
            </w:r>
          </w:p>
          <w:p w14:paraId="26F39C5C" w14:textId="77777777" w:rsidR="003411CF" w:rsidRDefault="003411CF" w:rsidP="003411CF">
            <w:pPr>
              <w:rPr>
                <w:lang w:val="en-GB"/>
              </w:rPr>
            </w:pPr>
            <w:r>
              <w:rPr>
                <w:lang w:val="en-GB"/>
              </w:rPr>
              <w:t>[TS38.214]:</w:t>
            </w:r>
          </w:p>
          <w:p w14:paraId="64C6D9EC" w14:textId="69AFB5CD" w:rsidR="003411CF" w:rsidRDefault="003411CF" w:rsidP="00566346">
            <w:pPr>
              <w:ind w:left="284"/>
              <w:rPr>
                <w:color w:val="0070C0"/>
                <w:sz w:val="20"/>
                <w:szCs w:val="20"/>
                <w:lang w:val="en-GB"/>
              </w:rPr>
            </w:pPr>
            <w:r w:rsidRPr="00566346">
              <w:rPr>
                <w:color w:val="0070C0"/>
                <w:sz w:val="20"/>
                <w:szCs w:val="20"/>
                <w:lang w:val="en-GB"/>
              </w:rPr>
              <w:t>If configured to report CQI index, in the CSI reference resource, the UE shall assume the following for the purpose of deriving the CQI index, and if also configured, for deriving PMI and RI:</w:t>
            </w:r>
          </w:p>
          <w:p w14:paraId="14DE7196" w14:textId="05BF03A9" w:rsidR="00566346" w:rsidRPr="00566346" w:rsidRDefault="00566346" w:rsidP="00566346">
            <w:pPr>
              <w:ind w:left="567"/>
              <w:rPr>
                <w:color w:val="0070C0"/>
                <w:sz w:val="20"/>
                <w:szCs w:val="20"/>
                <w:lang w:val="en-GB" w:eastAsia="en-US"/>
              </w:rPr>
            </w:pPr>
            <w:r>
              <w:rPr>
                <w:color w:val="0070C0"/>
                <w:sz w:val="20"/>
                <w:szCs w:val="20"/>
                <w:lang w:val="en-GB"/>
              </w:rPr>
              <w:t>[…]</w:t>
            </w:r>
          </w:p>
          <w:p w14:paraId="6F234DA9" w14:textId="55377C07" w:rsidR="003411CF" w:rsidRPr="003411CF" w:rsidRDefault="003411CF" w:rsidP="00566346">
            <w:pPr>
              <w:ind w:left="851" w:hanging="284"/>
              <w:rPr>
                <w:color w:val="0070C0"/>
                <w:lang w:val="en-US" w:eastAsia="en-US"/>
              </w:rPr>
            </w:pPr>
            <w:r w:rsidRPr="00566346">
              <w:rPr>
                <w:color w:val="0070C0"/>
                <w:sz w:val="20"/>
                <w:szCs w:val="20"/>
                <w:lang w:val="en-US"/>
              </w:rPr>
              <w:t>-</w:t>
            </w:r>
            <w:r w:rsidRPr="00566346">
              <w:rPr>
                <w:color w:val="0070C0"/>
                <w:sz w:val="20"/>
                <w:szCs w:val="20"/>
                <w:lang w:val="en-US"/>
              </w:rPr>
              <w:tab/>
              <w:t>The bandwidth as configured for the corresponding CQI report.</w:t>
            </w:r>
          </w:p>
        </w:tc>
      </w:tr>
    </w:tbl>
    <w:p w14:paraId="48D6090A" w14:textId="77777777" w:rsidR="004A54DC" w:rsidRPr="004A54DC" w:rsidRDefault="004A54DC" w:rsidP="004A54DC"/>
    <w:p w14:paraId="4C51C5FB" w14:textId="4C5A68D0" w:rsidR="00D55988" w:rsidRPr="001050DE" w:rsidRDefault="00D55988" w:rsidP="00D55988">
      <w:bookmarkStart w:id="5" w:name="_Hlk68700367"/>
      <w:r w:rsidRPr="001050DE">
        <w:rPr>
          <w:b/>
          <w:bCs/>
        </w:rPr>
        <w:t xml:space="preserve">Moderator proposal: </w:t>
      </w:r>
      <w:bookmarkEnd w:id="5"/>
    </w:p>
    <w:p w14:paraId="22796749" w14:textId="7FF1752B" w:rsidR="009705F9" w:rsidRPr="001050DE" w:rsidRDefault="009705F9" w:rsidP="009705F9">
      <w:pPr>
        <w:pStyle w:val="ListParagraph"/>
        <w:numPr>
          <w:ilvl w:val="0"/>
          <w:numId w:val="31"/>
        </w:numPr>
        <w:rPr>
          <w:rFonts w:ascii="Times New Roman" w:hAnsi="Times New Roman"/>
          <w:sz w:val="20"/>
          <w:szCs w:val="20"/>
          <w:lang w:val="en-GB"/>
        </w:rPr>
      </w:pPr>
      <w:r w:rsidRPr="001050DE">
        <w:rPr>
          <w:rFonts w:ascii="Times New Roman" w:hAnsi="Times New Roman"/>
          <w:sz w:val="20"/>
          <w:szCs w:val="20"/>
          <w:u w:val="single"/>
          <w:lang w:val="en-GB"/>
        </w:rPr>
        <w:t>Discuss</w:t>
      </w:r>
      <w:r w:rsidRPr="001050DE">
        <w:rPr>
          <w:rFonts w:ascii="Times New Roman" w:hAnsi="Times New Roman"/>
          <w:sz w:val="20"/>
          <w:szCs w:val="20"/>
          <w:lang w:val="en-GB"/>
        </w:rPr>
        <w:t xml:space="preserve"> </w:t>
      </w:r>
      <w:r w:rsidR="003411CF">
        <w:rPr>
          <w:rFonts w:ascii="Times New Roman" w:hAnsi="Times New Roman"/>
          <w:sz w:val="20"/>
          <w:szCs w:val="20"/>
          <w:lang w:val="en-GB"/>
        </w:rPr>
        <w:t>if the following conclusion could be taken</w:t>
      </w:r>
    </w:p>
    <w:p w14:paraId="1004CABC" w14:textId="6D28FBF6" w:rsidR="009705F9" w:rsidRDefault="009705F9" w:rsidP="009705F9"/>
    <w:p w14:paraId="58570A9F" w14:textId="69C5167C" w:rsidR="003411CF" w:rsidRPr="00E32889" w:rsidRDefault="003411CF" w:rsidP="009705F9">
      <w:pPr>
        <w:rPr>
          <w:b/>
          <w:bCs/>
        </w:rPr>
      </w:pPr>
      <w:r w:rsidRPr="00E32889">
        <w:rPr>
          <w:b/>
          <w:bCs/>
        </w:rPr>
        <w:t>Proposed Conclusion:</w:t>
      </w:r>
    </w:p>
    <w:p w14:paraId="0D67FE05" w14:textId="3EB860EE" w:rsidR="003411CF" w:rsidRPr="00E32889" w:rsidRDefault="003411CF" w:rsidP="003411CF">
      <w:pPr>
        <w:pStyle w:val="ListParagraph"/>
        <w:numPr>
          <w:ilvl w:val="0"/>
          <w:numId w:val="31"/>
        </w:numPr>
        <w:rPr>
          <w:rFonts w:ascii="Times New Roman" w:hAnsi="Times New Roman"/>
          <w:b/>
          <w:bCs/>
          <w:sz w:val="20"/>
          <w:szCs w:val="20"/>
          <w:lang w:val="en-GB"/>
        </w:rPr>
      </w:pPr>
      <w:r w:rsidRPr="00E32889">
        <w:rPr>
          <w:rFonts w:ascii="Times New Roman" w:hAnsi="Times New Roman"/>
          <w:b/>
          <w:bCs/>
          <w:sz w:val="20"/>
          <w:szCs w:val="20"/>
          <w:lang w:val="en-GB"/>
        </w:rPr>
        <w:lastRenderedPageBreak/>
        <w:t>When a CQI report consist of a wideband CQI and a (set of) sub-band CQI(s), the bandwidth of a CSI reference resource for a given CQI in the CQI report is the bandwidth of that CQI.</w:t>
      </w:r>
    </w:p>
    <w:p w14:paraId="1CADF0E1" w14:textId="77777777" w:rsidR="003411CF" w:rsidRDefault="003411CF" w:rsidP="009705F9">
      <w:pPr>
        <w:rPr>
          <w:b/>
          <w:bCs/>
        </w:rPr>
      </w:pPr>
    </w:p>
    <w:p w14:paraId="7777AADE" w14:textId="5C0A92C8" w:rsidR="006077DA" w:rsidRPr="00CC0726" w:rsidRDefault="006077DA" w:rsidP="009705F9">
      <w:pPr>
        <w:rPr>
          <w:b/>
          <w:bCs/>
        </w:rPr>
      </w:pPr>
      <w:r w:rsidRPr="001050DE">
        <w:rPr>
          <w:b/>
          <w:bCs/>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78A218AF" w:rsidR="006077DA" w:rsidRPr="006077DA" w:rsidRDefault="007852F0" w:rsidP="008136A4">
            <w:pPr>
              <w:pStyle w:val="BodyText"/>
              <w:spacing w:after="60"/>
              <w:rPr>
                <w:rFonts w:eastAsia="SimSun" w:cs="Arial"/>
                <w:sz w:val="18"/>
                <w:szCs w:val="18"/>
              </w:rPr>
            </w:pPr>
            <w:r>
              <w:rPr>
                <w:rFonts w:eastAsia="SimSun" w:cs="Arial"/>
                <w:sz w:val="18"/>
                <w:szCs w:val="18"/>
              </w:rPr>
              <w:t>Huawei</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3575449" w14:textId="6DCD52BC" w:rsidR="00151484" w:rsidRDefault="007852F0" w:rsidP="00515C15">
            <w:pPr>
              <w:pStyle w:val="BodyText"/>
              <w:spacing w:after="60"/>
              <w:rPr>
                <w:rFonts w:eastAsia="SimSun" w:cs="Arial"/>
                <w:sz w:val="18"/>
                <w:szCs w:val="18"/>
              </w:rPr>
            </w:pPr>
            <w:r>
              <w:rPr>
                <w:rFonts w:eastAsia="SimSun" w:cs="Arial"/>
                <w:sz w:val="18"/>
                <w:szCs w:val="18"/>
              </w:rPr>
              <w:t>In our understanding, when a CQI report</w:t>
            </w:r>
            <w:r w:rsidR="00515C15">
              <w:rPr>
                <w:rFonts w:eastAsia="SimSun" w:cs="Arial"/>
                <w:sz w:val="18"/>
                <w:szCs w:val="18"/>
              </w:rPr>
              <w:t xml:space="preserve"> consists of a wideband CQI and a (set of) </w:t>
            </w:r>
            <w:proofErr w:type="spellStart"/>
            <w:r w:rsidR="00515C15">
              <w:rPr>
                <w:rFonts w:eastAsia="SimSun" w:cs="Arial"/>
                <w:sz w:val="18"/>
                <w:szCs w:val="18"/>
              </w:rPr>
              <w:t>subband</w:t>
            </w:r>
            <w:proofErr w:type="spellEnd"/>
            <w:r w:rsidR="00515C15">
              <w:rPr>
                <w:rFonts w:eastAsia="SimSun" w:cs="Arial"/>
                <w:sz w:val="18"/>
                <w:szCs w:val="18"/>
              </w:rPr>
              <w:t xml:space="preserve"> CQI(s), the UE is configured with </w:t>
            </w:r>
            <w:proofErr w:type="spellStart"/>
            <w:r w:rsidR="00515C15">
              <w:rPr>
                <w:rFonts w:eastAsia="SimSun" w:cs="Arial"/>
                <w:sz w:val="18"/>
                <w:szCs w:val="18"/>
              </w:rPr>
              <w:t>subband</w:t>
            </w:r>
            <w:proofErr w:type="spellEnd"/>
            <w:r w:rsidR="00515C15">
              <w:rPr>
                <w:rFonts w:eastAsia="SimSun" w:cs="Arial"/>
                <w:sz w:val="18"/>
                <w:szCs w:val="18"/>
              </w:rPr>
              <w:t xml:space="preserve"> CQI by </w:t>
            </w:r>
            <w:r w:rsidR="00515C15" w:rsidRPr="00515C15">
              <w:rPr>
                <w:rFonts w:eastAsia="SimSun" w:cs="Arial"/>
                <w:sz w:val="18"/>
                <w:szCs w:val="18"/>
              </w:rPr>
              <w:t xml:space="preserve">the higher layer parameter </w:t>
            </w:r>
            <w:proofErr w:type="spellStart"/>
            <w:r w:rsidR="00515C15" w:rsidRPr="0093567E">
              <w:rPr>
                <w:rFonts w:eastAsia="SimSun" w:cs="Arial"/>
                <w:i/>
                <w:sz w:val="18"/>
                <w:szCs w:val="18"/>
              </w:rPr>
              <w:t>cqi-FormatIndicator</w:t>
            </w:r>
            <w:proofErr w:type="spellEnd"/>
            <w:r w:rsidR="00515C15">
              <w:rPr>
                <w:rFonts w:eastAsia="SimSun" w:cs="Arial"/>
                <w:sz w:val="18"/>
                <w:szCs w:val="18"/>
              </w:rPr>
              <w:t xml:space="preserve"> and CSI reporting setting is said to have a </w:t>
            </w:r>
            <w:proofErr w:type="spellStart"/>
            <w:r w:rsidR="00515C15">
              <w:rPr>
                <w:rFonts w:eastAsia="SimSun" w:cs="Arial"/>
                <w:sz w:val="18"/>
                <w:szCs w:val="18"/>
              </w:rPr>
              <w:t>subband</w:t>
            </w:r>
            <w:proofErr w:type="spellEnd"/>
            <w:r w:rsidR="00515C15">
              <w:rPr>
                <w:rFonts w:eastAsia="SimSun" w:cs="Arial"/>
                <w:sz w:val="18"/>
                <w:szCs w:val="18"/>
              </w:rPr>
              <w:t xml:space="preserve"> frequency-granularity. </w:t>
            </w:r>
            <w:proofErr w:type="spellStart"/>
            <w:r w:rsidR="00515C15">
              <w:rPr>
                <w:rFonts w:eastAsia="SimSun" w:cs="Arial"/>
                <w:sz w:val="18"/>
                <w:szCs w:val="18"/>
              </w:rPr>
              <w:t>Subband</w:t>
            </w:r>
            <w:proofErr w:type="spellEnd"/>
            <w:r w:rsidR="00515C15">
              <w:rPr>
                <w:rFonts w:eastAsia="SimSun" w:cs="Arial"/>
                <w:sz w:val="18"/>
                <w:szCs w:val="18"/>
              </w:rPr>
              <w:t xml:space="preserve"> CQI is then reported as differential CQI with respect to wideband CQI index</w:t>
            </w:r>
            <w:r w:rsidR="001F05DE">
              <w:rPr>
                <w:rFonts w:eastAsia="SimSun" w:cs="Arial"/>
                <w:sz w:val="18"/>
                <w:szCs w:val="18"/>
              </w:rPr>
              <w:t xml:space="preserve"> in the same report</w:t>
            </w:r>
            <w:r w:rsidR="00515C15">
              <w:rPr>
                <w:rFonts w:eastAsia="SimSun" w:cs="Arial"/>
                <w:sz w:val="18"/>
                <w:szCs w:val="18"/>
              </w:rPr>
              <w:t xml:space="preserve">. Therefore for configured </w:t>
            </w:r>
            <w:proofErr w:type="spellStart"/>
            <w:r w:rsidR="00515C15">
              <w:rPr>
                <w:rFonts w:eastAsia="SimSun" w:cs="Arial"/>
                <w:sz w:val="18"/>
                <w:szCs w:val="18"/>
              </w:rPr>
              <w:t>subband</w:t>
            </w:r>
            <w:proofErr w:type="spellEnd"/>
            <w:r w:rsidR="00515C15">
              <w:rPr>
                <w:rFonts w:eastAsia="SimSun" w:cs="Arial"/>
                <w:sz w:val="18"/>
                <w:szCs w:val="18"/>
              </w:rPr>
              <w:t xml:space="preserve"> CQI reporting, “i</w:t>
            </w:r>
            <w:r w:rsidR="00515C15" w:rsidRPr="00515C15">
              <w:rPr>
                <w:rFonts w:eastAsia="SimSun" w:cs="Arial"/>
                <w:sz w:val="18"/>
                <w:szCs w:val="18"/>
              </w:rPr>
              <w:t>n the frequency domain, the CSI reference resource is defined by the group of downlink physical resource blocks corresponding to the band to which the derived CSI relates</w:t>
            </w:r>
            <w:r w:rsidR="00515C15">
              <w:rPr>
                <w:rFonts w:eastAsia="SimSun" w:cs="Arial"/>
                <w:sz w:val="18"/>
                <w:szCs w:val="18"/>
              </w:rPr>
              <w:t xml:space="preserve">”, i.e. </w:t>
            </w:r>
            <w:proofErr w:type="spellStart"/>
            <w:r w:rsidR="00515C15">
              <w:rPr>
                <w:rFonts w:eastAsia="SimSun" w:cs="Arial"/>
                <w:sz w:val="18"/>
                <w:szCs w:val="18"/>
              </w:rPr>
              <w:t>subband</w:t>
            </w:r>
            <w:proofErr w:type="spellEnd"/>
            <w:r w:rsidR="00515C15">
              <w:rPr>
                <w:rFonts w:eastAsia="SimSun" w:cs="Arial"/>
                <w:sz w:val="18"/>
                <w:szCs w:val="18"/>
              </w:rPr>
              <w:t xml:space="preserve"> resource blocks</w:t>
            </w:r>
            <w:r w:rsidR="001F05DE">
              <w:rPr>
                <w:rFonts w:eastAsia="SimSun" w:cs="Arial"/>
                <w:sz w:val="18"/>
                <w:szCs w:val="18"/>
              </w:rPr>
              <w:t xml:space="preserve"> corresponding to that </w:t>
            </w:r>
            <w:proofErr w:type="spellStart"/>
            <w:r w:rsidR="001F05DE">
              <w:rPr>
                <w:rFonts w:eastAsia="SimSun" w:cs="Arial"/>
                <w:sz w:val="18"/>
                <w:szCs w:val="18"/>
              </w:rPr>
              <w:t>subband</w:t>
            </w:r>
            <w:proofErr w:type="spellEnd"/>
            <w:r w:rsidR="001F05DE">
              <w:rPr>
                <w:rFonts w:eastAsia="SimSun" w:cs="Arial"/>
                <w:sz w:val="18"/>
                <w:szCs w:val="18"/>
              </w:rPr>
              <w:t xml:space="preserve"> CQI</w:t>
            </w:r>
            <w:r w:rsidR="00515C15">
              <w:rPr>
                <w:rFonts w:eastAsia="SimSun" w:cs="Arial"/>
                <w:sz w:val="18"/>
                <w:szCs w:val="18"/>
              </w:rPr>
              <w:t xml:space="preserve">. Wideband CQI index in the CQI report is up to UE as the anchor of </w:t>
            </w:r>
            <w:proofErr w:type="spellStart"/>
            <w:r w:rsidR="00515C15">
              <w:rPr>
                <w:rFonts w:eastAsia="SimSun" w:cs="Arial"/>
                <w:sz w:val="18"/>
                <w:szCs w:val="18"/>
              </w:rPr>
              <w:t>subband</w:t>
            </w:r>
            <w:proofErr w:type="spellEnd"/>
            <w:r w:rsidR="00515C15">
              <w:rPr>
                <w:rFonts w:eastAsia="SimSun" w:cs="Arial"/>
                <w:sz w:val="18"/>
                <w:szCs w:val="18"/>
              </w:rPr>
              <w:t xml:space="preserve"> CQI </w:t>
            </w:r>
            <w:r w:rsidR="001F05DE">
              <w:rPr>
                <w:rFonts w:eastAsia="SimSun" w:cs="Arial"/>
                <w:sz w:val="18"/>
                <w:szCs w:val="18"/>
              </w:rPr>
              <w:t>index</w:t>
            </w:r>
            <w:r w:rsidR="00515C15">
              <w:rPr>
                <w:rFonts w:eastAsia="SimSun" w:cs="Arial"/>
                <w:sz w:val="18"/>
                <w:szCs w:val="18"/>
              </w:rPr>
              <w:t xml:space="preserve"> only.</w:t>
            </w:r>
            <w:r w:rsidR="00151484">
              <w:rPr>
                <w:rFonts w:eastAsia="SimSun" w:cs="Arial"/>
                <w:sz w:val="18"/>
                <w:szCs w:val="18"/>
              </w:rPr>
              <w:t xml:space="preserve"> </w:t>
            </w:r>
          </w:p>
          <w:p w14:paraId="4CBCEFBC" w14:textId="152D86D0" w:rsidR="00151484" w:rsidRPr="006077DA" w:rsidRDefault="00151484" w:rsidP="0093567E">
            <w:pPr>
              <w:pStyle w:val="BodyText"/>
              <w:spacing w:after="60"/>
              <w:rPr>
                <w:rFonts w:eastAsia="SimSun" w:cs="Arial"/>
                <w:sz w:val="18"/>
                <w:szCs w:val="18"/>
              </w:rPr>
            </w:pPr>
            <w:r>
              <w:rPr>
                <w:rFonts w:eastAsia="SimSun" w:cs="Arial"/>
                <w:sz w:val="18"/>
                <w:szCs w:val="18"/>
              </w:rPr>
              <w:t xml:space="preserve">We don’t see any </w:t>
            </w:r>
            <w:r w:rsidR="0093567E">
              <w:rPr>
                <w:rFonts w:eastAsia="SimSun" w:cs="Arial"/>
                <w:sz w:val="18"/>
                <w:szCs w:val="18"/>
              </w:rPr>
              <w:t>ambiguity</w:t>
            </w:r>
            <w:r>
              <w:rPr>
                <w:rFonts w:eastAsia="SimSun" w:cs="Arial"/>
                <w:sz w:val="18"/>
                <w:szCs w:val="18"/>
              </w:rPr>
              <w:t xml:space="preserve"> in Rel-15 specification </w:t>
            </w:r>
            <w:r w:rsidR="0093567E">
              <w:rPr>
                <w:rFonts w:eastAsia="SimSun" w:cs="Arial"/>
                <w:sz w:val="18"/>
                <w:szCs w:val="18"/>
              </w:rPr>
              <w:t xml:space="preserve">for this particular matter </w:t>
            </w:r>
            <w:r>
              <w:rPr>
                <w:rFonts w:eastAsia="SimSun" w:cs="Arial"/>
                <w:sz w:val="18"/>
                <w:szCs w:val="18"/>
              </w:rPr>
              <w:t xml:space="preserve">so that a conclusion is not needed. </w:t>
            </w: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26EFD2A" w:rsidR="006077DA" w:rsidRPr="006077DA" w:rsidRDefault="0055096C" w:rsidP="008136A4">
            <w:pPr>
              <w:pStyle w:val="BodyText"/>
              <w:spacing w:after="6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A0C1561" w14:textId="64AF7049" w:rsidR="00F01457" w:rsidRDefault="0055096C" w:rsidP="00AF0E21">
            <w:pPr>
              <w:pStyle w:val="BodyText"/>
              <w:spacing w:after="60"/>
              <w:rPr>
                <w:rFonts w:eastAsia="SimSun" w:cs="Arial"/>
                <w:sz w:val="18"/>
                <w:szCs w:val="18"/>
              </w:rPr>
            </w:pPr>
            <w:r>
              <w:rPr>
                <w:rFonts w:eastAsia="SimSun" w:cs="Arial"/>
                <w:sz w:val="18"/>
                <w:szCs w:val="18"/>
              </w:rPr>
              <w:t>In our view it is important to align the</w:t>
            </w:r>
            <w:r w:rsidR="00F01457">
              <w:rPr>
                <w:rFonts w:eastAsia="SimSun" w:cs="Arial"/>
                <w:sz w:val="18"/>
                <w:szCs w:val="18"/>
              </w:rPr>
              <w:t xml:space="preserve"> understanding among different companies. So, we support to have a conclusion on this matter. </w:t>
            </w:r>
          </w:p>
          <w:p w14:paraId="02E76CF7" w14:textId="04306DB2" w:rsidR="006077DA" w:rsidRPr="006077DA" w:rsidRDefault="00130A45" w:rsidP="0022511E">
            <w:pPr>
              <w:pStyle w:val="BodyText"/>
              <w:spacing w:after="60"/>
              <w:rPr>
                <w:rFonts w:eastAsia="SimSun" w:cs="Arial"/>
                <w:sz w:val="18"/>
                <w:szCs w:val="18"/>
              </w:rPr>
            </w:pPr>
            <w:r>
              <w:rPr>
                <w:rFonts w:eastAsia="SimSun" w:cs="Arial"/>
                <w:sz w:val="18"/>
                <w:szCs w:val="18"/>
              </w:rPr>
              <w:t>The proposed conclusion is fine for us</w:t>
            </w:r>
            <w:r w:rsidR="005C6FC0">
              <w:rPr>
                <w:rFonts w:eastAsia="SimSun" w:cs="Arial"/>
                <w:sz w:val="18"/>
                <w:szCs w:val="18"/>
              </w:rPr>
              <w:t xml:space="preserve">. </w:t>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6CF7A57" w:rsidR="00AF0E21" w:rsidRPr="006077DA" w:rsidRDefault="000D07B6" w:rsidP="008136A4">
            <w:pPr>
              <w:pStyle w:val="BodyText"/>
              <w:spacing w:after="60"/>
              <w:rPr>
                <w:rFonts w:eastAsia="SimSun" w:cs="Arial"/>
                <w:sz w:val="18"/>
                <w:szCs w:val="18"/>
              </w:rPr>
            </w:pPr>
            <w:r>
              <w:rPr>
                <w:rFonts w:eastAsia="SimSun" w:cs="Arial"/>
                <w:sz w:val="18"/>
                <w:szCs w:val="18"/>
              </w:rPr>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7DED3E46" w:rsidR="00AF0E21" w:rsidRPr="006077DA" w:rsidRDefault="000D07B6" w:rsidP="00AF0E21">
            <w:pPr>
              <w:pStyle w:val="BodyText"/>
              <w:spacing w:after="60"/>
              <w:rPr>
                <w:rFonts w:eastAsia="SimSun" w:cs="Arial"/>
                <w:sz w:val="18"/>
                <w:szCs w:val="18"/>
              </w:rPr>
            </w:pPr>
            <w:r>
              <w:rPr>
                <w:rFonts w:eastAsia="SimSun" w:cs="Arial"/>
                <w:sz w:val="18"/>
                <w:szCs w:val="18"/>
              </w:rPr>
              <w:t xml:space="preserve">We are fine with the proposed conclusion </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10FA5948" w:rsidR="00C03BFD" w:rsidRDefault="004A1F38" w:rsidP="008136A4">
            <w:pPr>
              <w:pStyle w:val="BodyText"/>
              <w:spacing w:after="60"/>
              <w:rPr>
                <w:rFonts w:eastAsia="SimSun" w:cs="Arial"/>
                <w:sz w:val="18"/>
                <w:szCs w:val="18"/>
              </w:rPr>
            </w:pPr>
            <w:r>
              <w:rPr>
                <w:rFonts w:eastAsia="SimSun" w:cs="Arial" w:hint="eastAsia"/>
                <w:sz w:val="18"/>
                <w:szCs w:val="18"/>
              </w:rPr>
              <w:t>Z</w:t>
            </w:r>
            <w:r>
              <w:rPr>
                <w:rFonts w:eastAsia="SimSun" w:cs="Arial"/>
                <w:sz w:val="18"/>
                <w:szCs w:val="18"/>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CB000F1" w:rsidR="00880FE7" w:rsidRDefault="004A1F38" w:rsidP="00880FE7">
            <w:pPr>
              <w:pStyle w:val="BodyText"/>
              <w:spacing w:after="60"/>
              <w:rPr>
                <w:rFonts w:eastAsia="SimSun" w:cs="Arial"/>
                <w:sz w:val="18"/>
                <w:szCs w:val="18"/>
              </w:rPr>
            </w:pPr>
            <w:r>
              <w:rPr>
                <w:rFonts w:eastAsia="SimSun" w:cs="Arial" w:hint="eastAsia"/>
                <w:sz w:val="18"/>
                <w:szCs w:val="18"/>
              </w:rPr>
              <w:t>A</w:t>
            </w:r>
            <w:r>
              <w:rPr>
                <w:rFonts w:eastAsia="SimSun" w:cs="Arial"/>
                <w:sz w:val="18"/>
                <w:szCs w:val="18"/>
              </w:rPr>
              <w:t>lthough we think the proposed conclusion is not needed as the specification itself is clear, it is not harmful to clarify it</w:t>
            </w:r>
            <w:r w:rsidR="00016C18">
              <w:rPr>
                <w:rFonts w:eastAsia="SimSun" w:cs="Arial"/>
                <w:sz w:val="18"/>
                <w:szCs w:val="18"/>
              </w:rPr>
              <w:t xml:space="preserve"> as a conclusion</w:t>
            </w:r>
            <w:r>
              <w:rPr>
                <w:rFonts w:eastAsia="SimSun"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7D04F85B" w:rsidR="008E5A31" w:rsidRDefault="004A731A" w:rsidP="008136A4">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A1A13" w14:textId="77777777" w:rsidR="00B302A9" w:rsidRDefault="00304F42" w:rsidP="00517C14">
            <w:pPr>
              <w:pStyle w:val="BodyText"/>
              <w:spacing w:after="60"/>
              <w:jc w:val="left"/>
              <w:rPr>
                <w:rFonts w:eastAsia="SimSun" w:cs="Arial"/>
                <w:sz w:val="18"/>
                <w:szCs w:val="18"/>
              </w:rPr>
            </w:pPr>
            <w:r>
              <w:rPr>
                <w:rFonts w:eastAsia="SimSun" w:cs="Arial" w:hint="eastAsia"/>
                <w:sz w:val="18"/>
                <w:szCs w:val="18"/>
              </w:rPr>
              <w:t>O</w:t>
            </w:r>
            <w:r>
              <w:rPr>
                <w:rFonts w:eastAsia="SimSun" w:cs="Arial"/>
                <w:sz w:val="18"/>
                <w:szCs w:val="18"/>
              </w:rPr>
              <w:t xml:space="preserve">ur understanding is more aligned with Huawei. </w:t>
            </w:r>
          </w:p>
          <w:p w14:paraId="2ACD6B57" w14:textId="560AAC8A" w:rsidR="008E5A31" w:rsidRDefault="00304F42" w:rsidP="00517C14">
            <w:pPr>
              <w:pStyle w:val="BodyText"/>
              <w:spacing w:after="60"/>
              <w:jc w:val="left"/>
              <w:rPr>
                <w:rFonts w:eastAsia="SimSun" w:cs="Arial"/>
                <w:sz w:val="18"/>
                <w:szCs w:val="18"/>
              </w:rPr>
            </w:pPr>
            <w:r>
              <w:rPr>
                <w:rFonts w:eastAsia="SimSun" w:cs="Arial"/>
                <w:sz w:val="18"/>
                <w:szCs w:val="18"/>
              </w:rPr>
              <w:t>No conclusion is needed.</w:t>
            </w: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52DF3D5F" w:rsidR="00C869A0" w:rsidRDefault="00676593" w:rsidP="008136A4">
            <w:pPr>
              <w:pStyle w:val="BodyText"/>
              <w:spacing w:after="60"/>
              <w:rPr>
                <w:rFonts w:eastAsia="SimSun" w:cs="Arial"/>
                <w:sz w:val="18"/>
                <w:szCs w:val="18"/>
              </w:rPr>
            </w:pPr>
            <w:r>
              <w:rPr>
                <w:rFonts w:eastAsia="SimSun" w:cs="Arial" w:hint="eastAsia"/>
                <w:sz w:val="18"/>
                <w:szCs w:val="18"/>
              </w:rPr>
              <w:t>O</w:t>
            </w:r>
            <w:r>
              <w:rPr>
                <w:rFonts w:eastAsia="SimSun" w:cs="Arial"/>
                <w:sz w:val="18"/>
                <w:szCs w:val="18"/>
              </w:rPr>
              <w:t>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108E3108" w:rsidR="00C869A0" w:rsidRDefault="00676593" w:rsidP="00C869A0">
            <w:pPr>
              <w:pStyle w:val="BodyText"/>
              <w:spacing w:after="60"/>
              <w:jc w:val="left"/>
              <w:rPr>
                <w:rFonts w:eastAsia="SimSun" w:cs="Arial"/>
                <w:sz w:val="18"/>
                <w:szCs w:val="18"/>
              </w:rPr>
            </w:pPr>
            <w:r>
              <w:rPr>
                <w:rFonts w:eastAsia="SimSun" w:cs="Arial"/>
                <w:sz w:val="18"/>
                <w:szCs w:val="18"/>
              </w:rPr>
              <w:t xml:space="preserve">The current specification is clear without any </w:t>
            </w:r>
            <w:r w:rsidRPr="00676593">
              <w:rPr>
                <w:rFonts w:eastAsia="SimSun" w:cs="Arial"/>
                <w:sz w:val="18"/>
                <w:szCs w:val="18"/>
              </w:rPr>
              <w:t>ambiguity</w:t>
            </w:r>
            <w:r>
              <w:rPr>
                <w:rFonts w:eastAsia="SimSun" w:cs="Arial" w:hint="eastAsia"/>
                <w:sz w:val="18"/>
                <w:szCs w:val="18"/>
              </w:rPr>
              <w:t>,</w:t>
            </w:r>
            <w:r>
              <w:rPr>
                <w:rFonts w:eastAsia="SimSun" w:cs="Arial"/>
                <w:sz w:val="18"/>
                <w:szCs w:val="18"/>
              </w:rPr>
              <w:t xml:space="preserve"> We don’t think </w:t>
            </w:r>
            <w:r>
              <w:rPr>
                <w:rFonts w:eastAsia="SimSun" w:cs="Arial" w:hint="eastAsia"/>
                <w:sz w:val="18"/>
                <w:szCs w:val="18"/>
              </w:rPr>
              <w:t>the</w:t>
            </w:r>
            <w:r>
              <w:rPr>
                <w:rFonts w:eastAsia="SimSun" w:cs="Arial"/>
                <w:sz w:val="18"/>
                <w:szCs w:val="18"/>
              </w:rPr>
              <w:t xml:space="preserve"> UE will implement the CQI reporting in a wrong way as described in the CR. No conclusion is needed.</w:t>
            </w: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75592E99" w:rsidR="00253B3D" w:rsidRPr="004E0D51" w:rsidRDefault="004E0D51">
            <w:pPr>
              <w:pStyle w:val="BodyText"/>
              <w:spacing w:after="60"/>
              <w:rPr>
                <w:rFonts w:eastAsia="Malgun Gothic" w:cs="Arial"/>
                <w:sz w:val="18"/>
                <w:szCs w:val="18"/>
                <w:lang w:eastAsia="ko-KR"/>
              </w:rPr>
            </w:pPr>
            <w:r>
              <w:rPr>
                <w:rFonts w:eastAsia="Malgun Gothic" w:cs="Arial" w:hint="eastAsia"/>
                <w:sz w:val="18"/>
                <w:szCs w:val="18"/>
                <w:lang w:eastAsia="ko-KR"/>
              </w:rPr>
              <w:t>S</w:t>
            </w:r>
            <w:r>
              <w:rPr>
                <w:rFonts w:eastAsia="Malgun Gothic" w:cs="Arial"/>
                <w:sz w:val="18"/>
                <w:szCs w:val="18"/>
                <w:lang w:eastAsia="ko-KR"/>
              </w:rPr>
              <w:t>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1DA9CB75" w:rsidR="00253B3D" w:rsidRPr="004E0D51" w:rsidRDefault="004E0D51">
            <w:pPr>
              <w:pStyle w:val="BodyText"/>
              <w:spacing w:after="60"/>
              <w:jc w:val="left"/>
              <w:rPr>
                <w:rFonts w:eastAsia="Malgun Gothic" w:cs="Arial"/>
                <w:sz w:val="18"/>
                <w:szCs w:val="18"/>
                <w:lang w:eastAsia="ko-KR"/>
              </w:rPr>
            </w:pPr>
            <w:r>
              <w:rPr>
                <w:rFonts w:eastAsia="Malgun Gothic" w:cs="Arial" w:hint="eastAsia"/>
                <w:sz w:val="18"/>
                <w:szCs w:val="18"/>
                <w:lang w:eastAsia="ko-KR"/>
              </w:rPr>
              <w:t xml:space="preserve">Although we think that the current </w:t>
            </w:r>
            <w:r>
              <w:rPr>
                <w:rFonts w:eastAsia="Malgun Gothic" w:cs="Arial"/>
                <w:sz w:val="18"/>
                <w:szCs w:val="18"/>
                <w:lang w:eastAsia="ko-KR"/>
              </w:rPr>
              <w:t>specification</w:t>
            </w:r>
            <w:r>
              <w:rPr>
                <w:rFonts w:eastAsia="Malgun Gothic" w:cs="Arial" w:hint="eastAsia"/>
                <w:sz w:val="18"/>
                <w:szCs w:val="18"/>
                <w:lang w:eastAsia="ko-KR"/>
              </w:rPr>
              <w:t xml:space="preserve"> </w:t>
            </w:r>
            <w:r>
              <w:rPr>
                <w:rFonts w:eastAsia="Malgun Gothic" w:cs="Arial"/>
                <w:sz w:val="18"/>
                <w:szCs w:val="18"/>
                <w:lang w:eastAsia="ko-KR"/>
              </w:rPr>
              <w:t>is clear, we are fine with the proposed conclusion in terms of having a common understanding</w:t>
            </w: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2FDE0D8A" w:rsidR="004442DE" w:rsidRDefault="00AC7BBB" w:rsidP="00ED1CE8">
            <w:pPr>
              <w:pStyle w:val="BodyText"/>
              <w:spacing w:after="60"/>
              <w:rPr>
                <w:rFonts w:eastAsia="SimSun" w:cs="Arial"/>
                <w:sz w:val="18"/>
                <w:szCs w:val="18"/>
              </w:rPr>
            </w:pPr>
            <w:r>
              <w:rPr>
                <w:rFonts w:eastAsia="SimSun" w:cs="Arial"/>
                <w:sz w:val="18"/>
                <w:szCs w:val="18"/>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52D5533E" w:rsidR="004442DE" w:rsidRDefault="00F8638D" w:rsidP="00ED1CE8">
            <w:pPr>
              <w:pStyle w:val="BodyText"/>
              <w:spacing w:after="60"/>
              <w:jc w:val="left"/>
              <w:rPr>
                <w:rFonts w:eastAsia="SimSun" w:cs="Arial"/>
                <w:sz w:val="18"/>
                <w:szCs w:val="18"/>
              </w:rPr>
            </w:pPr>
            <w:r>
              <w:rPr>
                <w:rFonts w:eastAsia="SimSun" w:cs="Arial"/>
                <w:sz w:val="18"/>
                <w:szCs w:val="18"/>
              </w:rPr>
              <w:t xml:space="preserve">As commented in preparation phase, we think the definition of CQI bandwidth remains unchanged from beginning of Rel-15 (or even LTE). If the system works well in the past, it should work well now and future. Besides, </w:t>
            </w:r>
            <w:r w:rsidR="00230158">
              <w:rPr>
                <w:rFonts w:eastAsia="SimSun" w:cs="Arial"/>
                <w:sz w:val="18"/>
                <w:szCs w:val="18"/>
              </w:rPr>
              <w:t>for the comment from Huawei that the</w:t>
            </w:r>
            <w:r>
              <w:rPr>
                <w:rFonts w:eastAsia="SimSun" w:cs="Arial"/>
                <w:sz w:val="18"/>
                <w:szCs w:val="18"/>
              </w:rPr>
              <w:t xml:space="preserve"> wideband CQI index serves as anchor for </w:t>
            </w:r>
            <w:proofErr w:type="spellStart"/>
            <w:r>
              <w:rPr>
                <w:rFonts w:eastAsia="SimSun" w:cs="Arial"/>
                <w:sz w:val="18"/>
                <w:szCs w:val="18"/>
              </w:rPr>
              <w:t>subband</w:t>
            </w:r>
            <w:proofErr w:type="spellEnd"/>
            <w:r>
              <w:rPr>
                <w:rFonts w:eastAsia="SimSun" w:cs="Arial"/>
                <w:sz w:val="18"/>
                <w:szCs w:val="18"/>
              </w:rPr>
              <w:t xml:space="preserve"> differential CQIs</w:t>
            </w:r>
            <w:r w:rsidR="006C6DE1">
              <w:rPr>
                <w:rFonts w:eastAsia="SimSun" w:cs="Arial"/>
                <w:sz w:val="18"/>
                <w:szCs w:val="18"/>
              </w:rPr>
              <w:t>,</w:t>
            </w:r>
            <w:r>
              <w:rPr>
                <w:rFonts w:eastAsia="SimSun" w:cs="Arial"/>
                <w:sz w:val="18"/>
                <w:szCs w:val="18"/>
              </w:rPr>
              <w:t xml:space="preserve"> </w:t>
            </w:r>
            <w:r w:rsidR="006C6DE1">
              <w:rPr>
                <w:rFonts w:eastAsia="SimSun" w:cs="Arial"/>
                <w:sz w:val="18"/>
                <w:szCs w:val="18"/>
              </w:rPr>
              <w:t>we think if there</w:t>
            </w:r>
            <w:r>
              <w:rPr>
                <w:rFonts w:eastAsia="SimSun" w:cs="Arial"/>
                <w:sz w:val="18"/>
                <w:szCs w:val="18"/>
              </w:rPr>
              <w:t xml:space="preserve"> could be UEs in the fields implement the wideband CQI index in one way or another</w:t>
            </w:r>
            <w:r w:rsidR="006C6DE1">
              <w:rPr>
                <w:rFonts w:eastAsia="SimSun" w:cs="Arial"/>
                <w:sz w:val="18"/>
                <w:szCs w:val="18"/>
              </w:rPr>
              <w:t>,</w:t>
            </w:r>
            <w:r>
              <w:rPr>
                <w:rFonts w:eastAsia="SimSun" w:cs="Arial"/>
                <w:sz w:val="18"/>
                <w:szCs w:val="18"/>
              </w:rPr>
              <w:t xml:space="preserve"> </w:t>
            </w:r>
            <w:r w:rsidR="006C6DE1">
              <w:rPr>
                <w:rFonts w:eastAsia="SimSun" w:cs="Arial"/>
                <w:sz w:val="18"/>
                <w:szCs w:val="18"/>
              </w:rPr>
              <w:t>h</w:t>
            </w:r>
            <w:r>
              <w:rPr>
                <w:rFonts w:eastAsia="SimSun" w:cs="Arial"/>
                <w:sz w:val="18"/>
                <w:szCs w:val="18"/>
              </w:rPr>
              <w:t xml:space="preserve">aving late clarification in Rel-15 may affect some UEs in the field. So, even if there </w:t>
            </w:r>
            <w:r w:rsidR="003C1118">
              <w:rPr>
                <w:rFonts w:eastAsia="SimSun" w:cs="Arial"/>
                <w:sz w:val="18"/>
                <w:szCs w:val="18"/>
              </w:rPr>
              <w:t>were</w:t>
            </w:r>
            <w:r>
              <w:rPr>
                <w:rFonts w:eastAsia="SimSun" w:cs="Arial"/>
                <w:sz w:val="18"/>
                <w:szCs w:val="18"/>
              </w:rPr>
              <w:t xml:space="preserve"> really an issue in the field, it is better to solve </w:t>
            </w:r>
            <w:r w:rsidR="00080F5E">
              <w:rPr>
                <w:rFonts w:eastAsia="SimSun" w:cs="Arial"/>
                <w:sz w:val="18"/>
                <w:szCs w:val="18"/>
              </w:rPr>
              <w:t xml:space="preserve">it </w:t>
            </w:r>
            <w:r>
              <w:rPr>
                <w:rFonts w:eastAsia="SimSun" w:cs="Arial"/>
                <w:sz w:val="18"/>
                <w:szCs w:val="18"/>
              </w:rPr>
              <w:t>via product alignment</w:t>
            </w:r>
          </w:p>
        </w:tc>
      </w:tr>
      <w:tr w:rsidR="00ED7765"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5FF499E" w:rsidR="00ED7765" w:rsidRPr="00ED7765" w:rsidRDefault="00ED7765" w:rsidP="00ED7765">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31559D63" w:rsidR="00ED7765" w:rsidRDefault="00ED7765" w:rsidP="00ED7765">
            <w:pPr>
              <w:pStyle w:val="BodyText"/>
              <w:spacing w:after="60"/>
              <w:jc w:val="left"/>
              <w:rPr>
                <w:rFonts w:eastAsia="SimSun" w:cs="Arial"/>
                <w:sz w:val="18"/>
                <w:szCs w:val="18"/>
              </w:rPr>
            </w:pPr>
            <w:r>
              <w:rPr>
                <w:rFonts w:eastAsia="SimSun" w:cs="Arial"/>
                <w:sz w:val="18"/>
                <w:szCs w:val="18"/>
                <w:lang w:eastAsia="ko-KR"/>
              </w:rPr>
              <w:t>The proposed conclusion is fine to clarify the bandwidth of the corresponding CQIs.</w:t>
            </w:r>
          </w:p>
        </w:tc>
      </w:tr>
      <w:tr w:rsidR="0022511E" w14:paraId="418E6A2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6ECCDD7B" w14:textId="7D70FA9E" w:rsidR="0022511E" w:rsidRDefault="0022511E" w:rsidP="00ED7765">
            <w:pPr>
              <w:pStyle w:val="BodyText"/>
              <w:spacing w:after="60"/>
              <w:rPr>
                <w:rFonts w:eastAsia="Malgun Gothic" w:cs="Arial"/>
                <w:sz w:val="18"/>
                <w:szCs w:val="18"/>
                <w:lang w:eastAsia="ko-KR"/>
              </w:rPr>
            </w:pPr>
            <w:r>
              <w:rPr>
                <w:rFonts w:eastAsia="Malgun Gothic" w:cs="Arial"/>
                <w:sz w:val="18"/>
                <w:szCs w:val="18"/>
                <w:lang w:eastAsia="ko-KR"/>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59BC02" w14:textId="5542A4E6" w:rsidR="0022511E" w:rsidRDefault="0022511E" w:rsidP="00ED7765">
            <w:pPr>
              <w:pStyle w:val="BodyText"/>
              <w:spacing w:after="60"/>
              <w:jc w:val="left"/>
              <w:rPr>
                <w:rFonts w:eastAsia="SimSun" w:cs="Arial"/>
                <w:sz w:val="18"/>
                <w:szCs w:val="18"/>
                <w:lang w:eastAsia="ko-KR"/>
              </w:rPr>
            </w:pPr>
            <w:r>
              <w:rPr>
                <w:rFonts w:eastAsia="SimSun" w:cs="Arial"/>
                <w:sz w:val="18"/>
                <w:szCs w:val="18"/>
                <w:lang w:eastAsia="ko-KR"/>
              </w:rPr>
              <w:t>As the proponent of the original CR proposal, we support the proposed conclusion.</w:t>
            </w:r>
          </w:p>
        </w:tc>
      </w:tr>
    </w:tbl>
    <w:p w14:paraId="66D8395C" w14:textId="7E81A19F" w:rsidR="006077DA" w:rsidRDefault="006077DA" w:rsidP="00AF0E21">
      <w:pPr>
        <w:pStyle w:val="BodyText"/>
        <w:spacing w:after="60"/>
        <w:rPr>
          <w:rFonts w:eastAsia="SimSun" w:cs="Arial"/>
          <w:sz w:val="18"/>
          <w:szCs w:val="18"/>
        </w:rPr>
      </w:pPr>
    </w:p>
    <w:p w14:paraId="4E2257EF" w14:textId="169444EB" w:rsidR="00A106AB" w:rsidRDefault="00A106AB" w:rsidP="00AF0E21">
      <w:pPr>
        <w:pStyle w:val="BodyText"/>
        <w:spacing w:after="60"/>
        <w:rPr>
          <w:rFonts w:eastAsia="SimSun" w:cs="Arial"/>
          <w:sz w:val="18"/>
          <w:szCs w:val="18"/>
        </w:rPr>
      </w:pPr>
    </w:p>
    <w:p w14:paraId="061C9D3C" w14:textId="5F33B146" w:rsidR="001050DE" w:rsidRDefault="00E32889" w:rsidP="00AF0E21">
      <w:pPr>
        <w:pStyle w:val="BodyText"/>
        <w:spacing w:after="60"/>
        <w:rPr>
          <w:rFonts w:ascii="Times New Roman" w:eastAsia="SimSun" w:hAnsi="Times New Roman"/>
          <w:b/>
          <w:bCs/>
        </w:rPr>
      </w:pPr>
      <w:r>
        <w:rPr>
          <w:rFonts w:ascii="Times New Roman" w:eastAsia="SimSun" w:hAnsi="Times New Roman"/>
          <w:b/>
          <w:bCs/>
        </w:rPr>
        <w:t>Summary after the 1</w:t>
      </w:r>
      <w:r w:rsidRPr="00E32889">
        <w:rPr>
          <w:rFonts w:ascii="Times New Roman" w:eastAsia="SimSun" w:hAnsi="Times New Roman"/>
          <w:b/>
          <w:bCs/>
          <w:vertAlign w:val="superscript"/>
        </w:rPr>
        <w:t>st</w:t>
      </w:r>
      <w:r>
        <w:rPr>
          <w:rFonts w:ascii="Times New Roman" w:eastAsia="SimSun" w:hAnsi="Times New Roman"/>
          <w:b/>
          <w:bCs/>
        </w:rPr>
        <w:t xml:space="preserve"> round of discussions:</w:t>
      </w:r>
    </w:p>
    <w:p w14:paraId="5D24B32E" w14:textId="0AFDE7B4" w:rsidR="00E32889" w:rsidRDefault="00E32889" w:rsidP="00E32889">
      <w:pPr>
        <w:pStyle w:val="BodyText"/>
        <w:numPr>
          <w:ilvl w:val="0"/>
          <w:numId w:val="31"/>
        </w:numPr>
        <w:spacing w:after="60"/>
        <w:rPr>
          <w:rFonts w:ascii="Times New Roman" w:eastAsia="SimSun" w:hAnsi="Times New Roman"/>
        </w:rPr>
      </w:pPr>
      <w:r w:rsidRPr="00E32889">
        <w:rPr>
          <w:rFonts w:ascii="Times New Roman" w:eastAsia="SimSun" w:hAnsi="Times New Roman"/>
          <w:b/>
          <w:bCs/>
        </w:rPr>
        <w:t>Conclusion not needed:</w:t>
      </w:r>
      <w:r>
        <w:rPr>
          <w:rFonts w:ascii="Times New Roman" w:eastAsia="SimSun" w:hAnsi="Times New Roman"/>
        </w:rPr>
        <w:t xml:space="preserve"> Huawei, vivo, OPPO, Qualcomm, ZTE(?)</w:t>
      </w:r>
    </w:p>
    <w:p w14:paraId="0142219D" w14:textId="25D152FE" w:rsidR="00E32889" w:rsidRDefault="00E32889" w:rsidP="00E32889">
      <w:pPr>
        <w:pStyle w:val="BodyText"/>
        <w:numPr>
          <w:ilvl w:val="0"/>
          <w:numId w:val="31"/>
        </w:numPr>
        <w:spacing w:after="60"/>
        <w:rPr>
          <w:rFonts w:ascii="Times New Roman" w:eastAsia="SimSun" w:hAnsi="Times New Roman"/>
        </w:rPr>
      </w:pPr>
      <w:r w:rsidRPr="00E32889">
        <w:rPr>
          <w:rFonts w:ascii="Times New Roman" w:eastAsia="SimSun" w:hAnsi="Times New Roman"/>
          <w:b/>
          <w:bCs/>
        </w:rPr>
        <w:t>OK with the proposed conclusion:</w:t>
      </w:r>
      <w:r>
        <w:rPr>
          <w:rFonts w:ascii="Times New Roman" w:eastAsia="SimSun" w:hAnsi="Times New Roman"/>
        </w:rPr>
        <w:t xml:space="preserve"> Intel, Apple, Samsung, LGE, Nokia/NSB, ZTE(?)</w:t>
      </w:r>
    </w:p>
    <w:p w14:paraId="6A69AF64" w14:textId="57A3DB26" w:rsidR="00E32889" w:rsidRDefault="00E32889" w:rsidP="00E32889">
      <w:pPr>
        <w:pStyle w:val="BodyText"/>
        <w:spacing w:after="60"/>
        <w:rPr>
          <w:rFonts w:ascii="Times New Roman" w:eastAsia="SimSun" w:hAnsi="Times New Roman"/>
        </w:rPr>
      </w:pPr>
    </w:p>
    <w:p w14:paraId="441B1B9E" w14:textId="0A494584" w:rsidR="00E32889" w:rsidRDefault="00E32889" w:rsidP="00E32889">
      <w:pPr>
        <w:pStyle w:val="BodyText"/>
        <w:spacing w:after="60"/>
        <w:rPr>
          <w:rFonts w:ascii="Times New Roman" w:eastAsia="SimSun" w:hAnsi="Times New Roman"/>
        </w:rPr>
      </w:pPr>
      <w:r>
        <w:rPr>
          <w:rFonts w:ascii="Times New Roman" w:eastAsia="SimSun" w:hAnsi="Times New Roman"/>
        </w:rPr>
        <w:t xml:space="preserve">There is a small majority of companies that are supportive of the RAN1 conclusion over the companies thinking that a conclusion is not needed. </w:t>
      </w:r>
      <w:r w:rsidR="00124F67">
        <w:rPr>
          <w:rFonts w:ascii="Times New Roman" w:eastAsia="SimSun" w:hAnsi="Times New Roman"/>
        </w:rPr>
        <w:t>As</w:t>
      </w:r>
      <w:r>
        <w:rPr>
          <w:rFonts w:ascii="Times New Roman" w:eastAsia="SimSun" w:hAnsi="Times New Roman"/>
        </w:rPr>
        <w:t xml:space="preserve"> consensus is necessary for recording an agreement</w:t>
      </w:r>
      <w:r w:rsidR="00124F67">
        <w:rPr>
          <w:rFonts w:ascii="Times New Roman" w:eastAsia="SimSun" w:hAnsi="Times New Roman"/>
        </w:rPr>
        <w:t>,</w:t>
      </w:r>
      <w:r>
        <w:rPr>
          <w:rFonts w:ascii="Times New Roman" w:eastAsia="SimSun" w:hAnsi="Times New Roman"/>
        </w:rPr>
        <w:t xml:space="preserve"> there is no </w:t>
      </w:r>
      <w:r w:rsidR="00124F67">
        <w:rPr>
          <w:rFonts w:ascii="Times New Roman" w:eastAsia="SimSun" w:hAnsi="Times New Roman"/>
        </w:rPr>
        <w:t>additional reasoning available in support for the conclusion to convince the opposition, and a reformulation of the conclusion is unlikely to change the company views, it appears there is no common ground that could result with an agreeable RAN1 conclusion.</w:t>
      </w:r>
    </w:p>
    <w:p w14:paraId="287D3059" w14:textId="77777777" w:rsidR="00124F67" w:rsidRDefault="00124F67" w:rsidP="00E32889">
      <w:pPr>
        <w:pStyle w:val="BodyText"/>
        <w:spacing w:after="60"/>
        <w:rPr>
          <w:rFonts w:ascii="Times New Roman" w:eastAsia="SimSun" w:hAnsi="Times New Roman"/>
          <w:b/>
          <w:bCs/>
        </w:rPr>
      </w:pPr>
    </w:p>
    <w:p w14:paraId="16A1F989" w14:textId="15A0F412" w:rsidR="00124F67" w:rsidRPr="00124F67" w:rsidRDefault="00124F67" w:rsidP="00E32889">
      <w:pPr>
        <w:pStyle w:val="BodyText"/>
        <w:spacing w:after="60"/>
        <w:rPr>
          <w:rFonts w:ascii="Times New Roman" w:eastAsia="SimSun" w:hAnsi="Times New Roman"/>
        </w:rPr>
      </w:pPr>
      <w:r>
        <w:rPr>
          <w:rFonts w:ascii="Times New Roman" w:eastAsia="SimSun" w:hAnsi="Times New Roman"/>
          <w:b/>
          <w:bCs/>
        </w:rPr>
        <w:t xml:space="preserve">Moderator proposal: </w:t>
      </w:r>
      <w:r>
        <w:rPr>
          <w:rFonts w:ascii="Times New Roman" w:eastAsia="SimSun" w:hAnsi="Times New Roman"/>
        </w:rPr>
        <w:t>Close the discussion with no conclusion.</w:t>
      </w:r>
    </w:p>
    <w:p w14:paraId="3C1B5188" w14:textId="2C376A10" w:rsidR="00E32889" w:rsidRDefault="00E32889" w:rsidP="00E32889">
      <w:pPr>
        <w:pStyle w:val="BodyText"/>
        <w:spacing w:after="60"/>
        <w:rPr>
          <w:rFonts w:ascii="Times New Roman" w:eastAsia="SimSun" w:hAnsi="Times New Roman"/>
        </w:rPr>
      </w:pPr>
    </w:p>
    <w:p w14:paraId="64ECC087" w14:textId="77777777" w:rsidR="00E32889" w:rsidRPr="00E32889" w:rsidRDefault="00E32889" w:rsidP="00E32889">
      <w:pPr>
        <w:pStyle w:val="BodyText"/>
        <w:spacing w:after="60"/>
        <w:rPr>
          <w:rFonts w:ascii="Times New Roman" w:eastAsia="SimSun" w:hAnsi="Times New Roman"/>
        </w:rPr>
      </w:pPr>
    </w:p>
    <w:sectPr w:rsidR="00E32889" w:rsidRPr="00E32889"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30A8C" w14:textId="77777777" w:rsidR="0097391F" w:rsidRDefault="0097391F">
      <w:r>
        <w:separator/>
      </w:r>
    </w:p>
  </w:endnote>
  <w:endnote w:type="continuationSeparator" w:id="0">
    <w:p w14:paraId="66832CE6" w14:textId="77777777" w:rsidR="0097391F" w:rsidRDefault="0097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40F414D9"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D7765">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D7765">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A9DAB" w14:textId="77777777" w:rsidR="0097391F" w:rsidRDefault="0097391F">
      <w:r>
        <w:separator/>
      </w:r>
    </w:p>
  </w:footnote>
  <w:footnote w:type="continuationSeparator" w:id="0">
    <w:p w14:paraId="28298790" w14:textId="77777777" w:rsidR="0097391F" w:rsidRDefault="0097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4DF8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5"/>
  </w:num>
  <w:num w:numId="7">
    <w:abstractNumId w:val="5"/>
  </w:num>
  <w:num w:numId="8">
    <w:abstractNumId w:val="8"/>
  </w:num>
  <w:num w:numId="9">
    <w:abstractNumId w:val="1"/>
  </w:num>
  <w:num w:numId="10">
    <w:abstractNumId w:val="33"/>
  </w:num>
  <w:num w:numId="11">
    <w:abstractNumId w:val="12"/>
  </w:num>
  <w:num w:numId="12">
    <w:abstractNumId w:val="32"/>
  </w:num>
  <w:num w:numId="13">
    <w:abstractNumId w:val="13"/>
    <w:lvlOverride w:ilvl="0">
      <w:startOverride w:val="1"/>
    </w:lvlOverride>
  </w:num>
  <w:num w:numId="14">
    <w:abstractNumId w:val="30"/>
  </w:num>
  <w:num w:numId="15">
    <w:abstractNumId w:val="31"/>
  </w:num>
  <w:num w:numId="16">
    <w:abstractNumId w:val="3"/>
  </w:num>
  <w:num w:numId="17">
    <w:abstractNumId w:val="35"/>
  </w:num>
  <w:num w:numId="18">
    <w:abstractNumId w:val="11"/>
  </w:num>
  <w:num w:numId="19">
    <w:abstractNumId w:val="20"/>
  </w:num>
  <w:num w:numId="20">
    <w:abstractNumId w:val="4"/>
  </w:num>
  <w:num w:numId="21">
    <w:abstractNumId w:val="27"/>
  </w:num>
  <w:num w:numId="22">
    <w:abstractNumId w:val="29"/>
  </w:num>
  <w:num w:numId="23">
    <w:abstractNumId w:val="26"/>
  </w:num>
  <w:num w:numId="24">
    <w:abstractNumId w:val="36"/>
  </w:num>
  <w:num w:numId="25">
    <w:abstractNumId w:val="9"/>
  </w:num>
  <w:num w:numId="26">
    <w:abstractNumId w:val="24"/>
  </w:num>
  <w:num w:numId="27">
    <w:abstractNumId w:val="17"/>
  </w:num>
  <w:num w:numId="28">
    <w:abstractNumId w:val="6"/>
  </w:num>
  <w:num w:numId="29">
    <w:abstractNumId w:val="7"/>
  </w:num>
  <w:num w:numId="30">
    <w:abstractNumId w:val="34"/>
  </w:num>
  <w:num w:numId="31">
    <w:abstractNumId w:val="28"/>
  </w:num>
  <w:num w:numId="32">
    <w:abstractNumId w:val="19"/>
  </w:num>
  <w:num w:numId="33">
    <w:abstractNumId w:val="2"/>
  </w:num>
  <w:num w:numId="34">
    <w:abstractNumId w:val="16"/>
  </w:num>
  <w:num w:numId="35">
    <w:abstractNumId w:val="10"/>
  </w:num>
  <w:num w:numId="36">
    <w:abstractNumId w:val="15"/>
  </w:num>
  <w:num w:numId="3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16C18"/>
    <w:rsid w:val="00022D87"/>
    <w:rsid w:val="0002564D"/>
    <w:rsid w:val="00025ECA"/>
    <w:rsid w:val="000325B8"/>
    <w:rsid w:val="00034C15"/>
    <w:rsid w:val="00036B26"/>
    <w:rsid w:val="00036BA1"/>
    <w:rsid w:val="000406D5"/>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0F5E"/>
    <w:rsid w:val="00081AE6"/>
    <w:rsid w:val="00082A6C"/>
    <w:rsid w:val="000855EB"/>
    <w:rsid w:val="00085B52"/>
    <w:rsid w:val="000866F2"/>
    <w:rsid w:val="000875ED"/>
    <w:rsid w:val="0009009F"/>
    <w:rsid w:val="00090FD8"/>
    <w:rsid w:val="00091557"/>
    <w:rsid w:val="000924C1"/>
    <w:rsid w:val="000924F0"/>
    <w:rsid w:val="0009322C"/>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7B6"/>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4F67"/>
    <w:rsid w:val="00126B4A"/>
    <w:rsid w:val="00126E57"/>
    <w:rsid w:val="00130A45"/>
    <w:rsid w:val="00132FD0"/>
    <w:rsid w:val="001344C0"/>
    <w:rsid w:val="001346FA"/>
    <w:rsid w:val="00135252"/>
    <w:rsid w:val="00137AB5"/>
    <w:rsid w:val="00137E82"/>
    <w:rsid w:val="00137F0B"/>
    <w:rsid w:val="00145FEB"/>
    <w:rsid w:val="00151484"/>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4263"/>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05DE"/>
    <w:rsid w:val="001F3916"/>
    <w:rsid w:val="001F54C5"/>
    <w:rsid w:val="001F662C"/>
    <w:rsid w:val="001F7074"/>
    <w:rsid w:val="00200490"/>
    <w:rsid w:val="00200604"/>
    <w:rsid w:val="00201F3A"/>
    <w:rsid w:val="00202BD5"/>
    <w:rsid w:val="00203F96"/>
    <w:rsid w:val="002069B2"/>
    <w:rsid w:val="00207FA3"/>
    <w:rsid w:val="00214DA8"/>
    <w:rsid w:val="00215423"/>
    <w:rsid w:val="002158FA"/>
    <w:rsid w:val="00220600"/>
    <w:rsid w:val="002224DB"/>
    <w:rsid w:val="00223FCB"/>
    <w:rsid w:val="0022511E"/>
    <w:rsid w:val="002252C3"/>
    <w:rsid w:val="00225C54"/>
    <w:rsid w:val="00230158"/>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4C1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4F42"/>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64E60"/>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18"/>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3F3F"/>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1F38"/>
    <w:rsid w:val="004A21ED"/>
    <w:rsid w:val="004A2B94"/>
    <w:rsid w:val="004A40E9"/>
    <w:rsid w:val="004A54DC"/>
    <w:rsid w:val="004A731A"/>
    <w:rsid w:val="004B6F6A"/>
    <w:rsid w:val="004B7C0C"/>
    <w:rsid w:val="004C101C"/>
    <w:rsid w:val="004C3898"/>
    <w:rsid w:val="004C549F"/>
    <w:rsid w:val="004D36B1"/>
    <w:rsid w:val="004D5A05"/>
    <w:rsid w:val="004D7EBD"/>
    <w:rsid w:val="004E0D51"/>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C15"/>
    <w:rsid w:val="00517C14"/>
    <w:rsid w:val="005219CF"/>
    <w:rsid w:val="00521AED"/>
    <w:rsid w:val="00533348"/>
    <w:rsid w:val="0053462C"/>
    <w:rsid w:val="00534B59"/>
    <w:rsid w:val="00536759"/>
    <w:rsid w:val="00536D16"/>
    <w:rsid w:val="00537C62"/>
    <w:rsid w:val="00546104"/>
    <w:rsid w:val="00546970"/>
    <w:rsid w:val="0055096C"/>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6FC0"/>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26FF5"/>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04"/>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593"/>
    <w:rsid w:val="006771F9"/>
    <w:rsid w:val="006776CC"/>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6DE1"/>
    <w:rsid w:val="006C7522"/>
    <w:rsid w:val="006D21CB"/>
    <w:rsid w:val="006D566E"/>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2F0"/>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567E"/>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91F"/>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C7BBB"/>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0FA2"/>
    <w:rsid w:val="00B02AA9"/>
    <w:rsid w:val="00B02CDD"/>
    <w:rsid w:val="00B02FA3"/>
    <w:rsid w:val="00B05084"/>
    <w:rsid w:val="00B157F9"/>
    <w:rsid w:val="00B168FE"/>
    <w:rsid w:val="00B20256"/>
    <w:rsid w:val="00B207F4"/>
    <w:rsid w:val="00B20D09"/>
    <w:rsid w:val="00B214BB"/>
    <w:rsid w:val="00B2763F"/>
    <w:rsid w:val="00B27AAC"/>
    <w:rsid w:val="00B302A9"/>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954B4"/>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86DF9"/>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5098"/>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2889"/>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D7765"/>
    <w:rsid w:val="00EE6126"/>
    <w:rsid w:val="00EF18FE"/>
    <w:rsid w:val="00EF5787"/>
    <w:rsid w:val="00EF60D0"/>
    <w:rsid w:val="00F01457"/>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38D"/>
    <w:rsid w:val="00F868F5"/>
    <w:rsid w:val="00F9056A"/>
    <w:rsid w:val="00F90F8D"/>
    <w:rsid w:val="00F92782"/>
    <w:rsid w:val="00F93AA9"/>
    <w:rsid w:val="00F96985"/>
    <w:rsid w:val="00F974C2"/>
    <w:rsid w:val="00F97838"/>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8-e/Docs/R1-220102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102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ocs\R1-220102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F97F2-E86B-4FC2-B990-BF561C0F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21</TotalTime>
  <Pages>2</Pages>
  <Words>787</Words>
  <Characters>4490</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5267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3</cp:revision>
  <cp:lastPrinted>2008-01-31T07:09:00Z</cp:lastPrinted>
  <dcterms:created xsi:type="dcterms:W3CDTF">2022-02-22T18:03:00Z</dcterms:created>
  <dcterms:modified xsi:type="dcterms:W3CDTF">2022-02-22T21:01:00Z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5"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1645451693</vt:lpwstr>
  </property>
</Properties>
</file>