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562B2225"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ab"/>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ab"/>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[108-e-NR-CRs-10] Issue#2 CR on reference resource bandwidth in sub-band CQI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 xml:space="preserve">[108-e-NR-CRs-10] Issue#2 CR on reference resource bandwidth in sub-band CQI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tdoc: </w:t>
      </w:r>
      <w:hyperlink r:id="rId11" w:history="1">
        <w:r w:rsidRPr="003411CF">
          <w:rPr>
            <w:rStyle w:val="af6"/>
            <w:bCs/>
            <w:highlight w:val="cyan"/>
            <w:lang w:eastAsia="x-none"/>
          </w:rPr>
          <w:t>R1-2201026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One Tdoc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6D566E" w:rsidP="005D2976">
            <w:pPr>
              <w:pStyle w:val="aa"/>
              <w:spacing w:after="60"/>
              <w:rPr>
                <w:rFonts w:eastAsia="宋体"/>
                <w:sz w:val="18"/>
                <w:szCs w:val="18"/>
              </w:rPr>
            </w:pPr>
            <w:hyperlink r:id="rId12" w:history="1">
              <w:r w:rsidR="003411CF">
                <w:rPr>
                  <w:rStyle w:val="af6"/>
                  <w:rFonts w:cs="Arial"/>
                  <w:b/>
                  <w:bCs/>
                  <w:sz w:val="16"/>
                  <w:szCs w:val="16"/>
                </w:rPr>
                <w:t>R1-2201026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CR on reference resource bandwidth in sub-band CQI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aa"/>
              <w:spacing w:after="60"/>
              <w:jc w:val="left"/>
              <w:rPr>
                <w:rFonts w:eastAsia="宋体"/>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1"/>
        <w:rPr>
          <w:rStyle w:val="10"/>
        </w:rPr>
      </w:pPr>
      <w:bookmarkStart w:id="4" w:name="_Toc68698317"/>
      <w:r w:rsidRPr="00425E6E">
        <w:rPr>
          <w:rStyle w:val="10"/>
        </w:rPr>
        <w:t>2</w:t>
      </w:r>
      <w:r w:rsidR="000702B2">
        <w:rPr>
          <w:rStyle w:val="10"/>
        </w:rPr>
        <w:tab/>
      </w:r>
      <w:r w:rsidR="003549C9">
        <w:rPr>
          <w:rStyle w:val="10"/>
        </w:rPr>
        <w:t xml:space="preserve">Summary of </w:t>
      </w:r>
      <w:r w:rsidR="003411CF">
        <w:rPr>
          <w:rStyle w:val="10"/>
        </w:rPr>
        <w:t xml:space="preserve">the </w:t>
      </w:r>
      <w:r w:rsidR="003549C9">
        <w:rPr>
          <w:rStyle w:val="10"/>
        </w:rPr>
        <w:t>issue</w:t>
      </w:r>
      <w:r w:rsidR="003411CF">
        <w:rPr>
          <w:rStyle w:val="10"/>
        </w:rPr>
        <w:t xml:space="preserve"> raised</w:t>
      </w:r>
      <w:r w:rsidR="003549C9">
        <w:rPr>
          <w:rStyle w:val="10"/>
        </w:rPr>
        <w:t xml:space="preserve"> in the Tdoc</w:t>
      </w:r>
      <w:bookmarkEnd w:id="4"/>
    </w:p>
    <w:tbl>
      <w:tblPr>
        <w:tblStyle w:val="aff5"/>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6D566E" w:rsidP="004A54DC">
            <w:pPr>
              <w:rPr>
                <w:b/>
                <w:bCs/>
                <w:lang w:val="en-GB"/>
              </w:rPr>
            </w:pPr>
            <w:hyperlink r:id="rId13" w:history="1">
              <w:r w:rsidR="003411CF" w:rsidRPr="003411CF">
                <w:rPr>
                  <w:rStyle w:val="af6"/>
                  <w:rFonts w:ascii="Arial" w:hAnsi="Arial" w:cs="Arial"/>
                  <w:b/>
                  <w:bCs/>
                </w:rPr>
                <w:t>R1-2201026</w:t>
              </w:r>
            </w:hyperlink>
            <w:r w:rsidR="005D2976" w:rsidRPr="003411CF">
              <w:rPr>
                <w:rFonts w:ascii="Arial" w:hAnsi="Arial" w:cs="Arial"/>
                <w:b/>
                <w:bCs/>
                <w:color w:val="0000FF"/>
                <w:u w:val="single"/>
              </w:rPr>
              <w:t xml:space="preserve"> </w:t>
            </w:r>
            <w:r w:rsidR="003411CF" w:rsidRPr="00566346">
              <w:rPr>
                <w:rFonts w:ascii="Arial" w:hAnsi="Arial" w:cs="Arial"/>
                <w:b/>
                <w:bCs/>
              </w:rPr>
              <w:t>CR on reference resource bandwidth in sub-band CQI reporting</w:t>
            </w:r>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Specification currently defines a single reference resource bandwidth for a given CQI report. A sub-band CQI report contains wideband and narrowband reporting quantities, which should be derived using the corresponding bandwidths, while the current specification recognizes only a single bandwidth assumption for deriving CQI report quantities for one CQI report.</w:t>
            </w:r>
          </w:p>
          <w:p w14:paraId="26F39C5C" w14:textId="77777777" w:rsidR="003411CF" w:rsidRDefault="003411CF" w:rsidP="003411CF">
            <w:pPr>
              <w:rPr>
                <w:lang w:val="en-GB"/>
              </w:rPr>
            </w:pPr>
            <w:r>
              <w:rPr>
                <w:lang w:val="en-GB"/>
              </w:rPr>
              <w:t>[TS38.214]:</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If configured to report CQI index, in the CSI reference resource, the UE shall assume the following for the purpose of deriving the CQI index, and if also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The bandwidth as configured for the corresponding CQI report.</w:t>
            </w:r>
          </w:p>
        </w:tc>
      </w:tr>
    </w:tbl>
    <w:p w14:paraId="48D6090A" w14:textId="77777777" w:rsidR="004A54DC" w:rsidRPr="004A54DC" w:rsidRDefault="004A54DC" w:rsidP="004A54DC"/>
    <w:p w14:paraId="4C51C5FB" w14:textId="4C5A68D0" w:rsidR="00D55988" w:rsidRPr="001050DE" w:rsidRDefault="00D55988" w:rsidP="00D55988">
      <w:bookmarkStart w:id="5" w:name="_Hlk68700367"/>
      <w:r w:rsidRPr="001050DE">
        <w:rPr>
          <w:b/>
          <w:bCs/>
        </w:rPr>
        <w:t xml:space="preserve">Moderator proposal: </w:t>
      </w:r>
      <w:bookmarkEnd w:id="5"/>
    </w:p>
    <w:p w14:paraId="22796749" w14:textId="7FF1752B" w:rsidR="009705F9" w:rsidRPr="001050DE" w:rsidRDefault="009705F9" w:rsidP="009705F9">
      <w:pPr>
        <w:pStyle w:val="aff0"/>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566346" w:rsidRDefault="003411CF" w:rsidP="009705F9">
      <w:pPr>
        <w:rPr>
          <w:b/>
          <w:bCs/>
          <w:highlight w:val="yellow"/>
        </w:rPr>
      </w:pPr>
      <w:r w:rsidRPr="00566346">
        <w:rPr>
          <w:b/>
          <w:bCs/>
          <w:highlight w:val="yellow"/>
        </w:rPr>
        <w:t>Proposed Conclusion:</w:t>
      </w:r>
    </w:p>
    <w:p w14:paraId="0D67FE05" w14:textId="3EB860EE" w:rsidR="003411CF" w:rsidRPr="00566346" w:rsidRDefault="003411CF" w:rsidP="003411CF">
      <w:pPr>
        <w:pStyle w:val="aff0"/>
        <w:numPr>
          <w:ilvl w:val="0"/>
          <w:numId w:val="31"/>
        </w:numPr>
        <w:rPr>
          <w:rFonts w:ascii="Times New Roman" w:hAnsi="Times New Roman"/>
          <w:b/>
          <w:bCs/>
          <w:sz w:val="20"/>
          <w:szCs w:val="20"/>
          <w:highlight w:val="yellow"/>
          <w:lang w:val="en-GB"/>
        </w:rPr>
      </w:pPr>
      <w:r w:rsidRPr="00566346">
        <w:rPr>
          <w:rFonts w:ascii="Times New Roman" w:hAnsi="Times New Roman"/>
          <w:b/>
          <w:bCs/>
          <w:sz w:val="20"/>
          <w:szCs w:val="20"/>
          <w:highlight w:val="yellow"/>
          <w:lang w:val="en-GB"/>
        </w:rPr>
        <w:lastRenderedPageBreak/>
        <w:t>When a CQI report consist of a wideband CQI and a (set of) sub-band CQI(s), the bandwidth of a CSI reference resource for a given CQI in the CQI report is the bandwidth of that CQI.</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aa"/>
              <w:spacing w:after="60"/>
              <w:rPr>
                <w:rFonts w:eastAsia="宋体" w:cs="Arial"/>
                <w:sz w:val="18"/>
                <w:szCs w:val="18"/>
              </w:rPr>
            </w:pPr>
            <w:r>
              <w:rPr>
                <w:rFonts w:eastAsia="宋体"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aa"/>
              <w:spacing w:after="60"/>
              <w:rPr>
                <w:rFonts w:eastAsia="宋体" w:cs="Arial"/>
                <w:sz w:val="18"/>
                <w:szCs w:val="18"/>
              </w:rPr>
            </w:pPr>
            <w:r>
              <w:rPr>
                <w:rFonts w:eastAsia="宋体" w:cs="Arial"/>
                <w:sz w:val="18"/>
                <w:szCs w:val="18"/>
              </w:rPr>
              <w:t>In our understanding, when a CQI report</w:t>
            </w:r>
            <w:r w:rsidR="00515C15">
              <w:rPr>
                <w:rFonts w:eastAsia="宋体" w:cs="Arial"/>
                <w:sz w:val="18"/>
                <w:szCs w:val="18"/>
              </w:rPr>
              <w:t xml:space="preserve"> consists of a wideband CQI and a (set of) subband CQI(s), the UE is configured with subband CQI by </w:t>
            </w:r>
            <w:r w:rsidR="00515C15" w:rsidRPr="00515C15">
              <w:rPr>
                <w:rFonts w:eastAsia="宋体" w:cs="Arial"/>
                <w:sz w:val="18"/>
                <w:szCs w:val="18"/>
              </w:rPr>
              <w:t xml:space="preserve">the higher layer parameter </w:t>
            </w:r>
            <w:r w:rsidR="00515C15" w:rsidRPr="0093567E">
              <w:rPr>
                <w:rFonts w:eastAsia="宋体" w:cs="Arial"/>
                <w:i/>
                <w:sz w:val="18"/>
                <w:szCs w:val="18"/>
              </w:rPr>
              <w:t>cqi-FormatIndicator</w:t>
            </w:r>
            <w:r w:rsidR="00515C15">
              <w:rPr>
                <w:rFonts w:eastAsia="宋体" w:cs="Arial"/>
                <w:sz w:val="18"/>
                <w:szCs w:val="18"/>
              </w:rPr>
              <w:t xml:space="preserve"> and CSI reporting setting is said to have a subband frequency-granularity. Subband CQI is then reported as differential CQI with respect to wideband CQI index</w:t>
            </w:r>
            <w:r w:rsidR="001F05DE">
              <w:rPr>
                <w:rFonts w:eastAsia="宋体" w:cs="Arial"/>
                <w:sz w:val="18"/>
                <w:szCs w:val="18"/>
              </w:rPr>
              <w:t xml:space="preserve"> in the same report</w:t>
            </w:r>
            <w:r w:rsidR="00515C15">
              <w:rPr>
                <w:rFonts w:eastAsia="宋体" w:cs="Arial"/>
                <w:sz w:val="18"/>
                <w:szCs w:val="18"/>
              </w:rPr>
              <w:t>. Therefore for configured subband CQI reporting, “i</w:t>
            </w:r>
            <w:r w:rsidR="00515C15" w:rsidRPr="00515C15">
              <w:rPr>
                <w:rFonts w:eastAsia="宋体" w:cs="Arial"/>
                <w:sz w:val="18"/>
                <w:szCs w:val="18"/>
              </w:rPr>
              <w:t>n the frequency domain, the CSI reference resource is defined by the group of downlink physical resource blocks corresponding to the band to which the derived CSI relates</w:t>
            </w:r>
            <w:r w:rsidR="00515C15">
              <w:rPr>
                <w:rFonts w:eastAsia="宋体" w:cs="Arial"/>
                <w:sz w:val="18"/>
                <w:szCs w:val="18"/>
              </w:rPr>
              <w:t>”, i.e. subband resource blocks</w:t>
            </w:r>
            <w:r w:rsidR="001F05DE">
              <w:rPr>
                <w:rFonts w:eastAsia="宋体" w:cs="Arial"/>
                <w:sz w:val="18"/>
                <w:szCs w:val="18"/>
              </w:rPr>
              <w:t xml:space="preserve"> corresponding to that subband CQI</w:t>
            </w:r>
            <w:r w:rsidR="00515C15">
              <w:rPr>
                <w:rFonts w:eastAsia="宋体" w:cs="Arial"/>
                <w:sz w:val="18"/>
                <w:szCs w:val="18"/>
              </w:rPr>
              <w:t xml:space="preserve">. Wideband CQI index in the CQI report is up to UE as the anchor of subband CQI </w:t>
            </w:r>
            <w:r w:rsidR="001F05DE">
              <w:rPr>
                <w:rFonts w:eastAsia="宋体" w:cs="Arial"/>
                <w:sz w:val="18"/>
                <w:szCs w:val="18"/>
              </w:rPr>
              <w:t>index</w:t>
            </w:r>
            <w:r w:rsidR="00515C15">
              <w:rPr>
                <w:rFonts w:eastAsia="宋体" w:cs="Arial"/>
                <w:sz w:val="18"/>
                <w:szCs w:val="18"/>
              </w:rPr>
              <w:t xml:space="preserve"> only.</w:t>
            </w:r>
            <w:r w:rsidR="00151484">
              <w:rPr>
                <w:rFonts w:eastAsia="宋体" w:cs="Arial"/>
                <w:sz w:val="18"/>
                <w:szCs w:val="18"/>
              </w:rPr>
              <w:t xml:space="preserve"> </w:t>
            </w:r>
          </w:p>
          <w:p w14:paraId="4CBCEFBC" w14:textId="152D86D0" w:rsidR="00151484" w:rsidRPr="006077DA" w:rsidRDefault="00151484" w:rsidP="0093567E">
            <w:pPr>
              <w:pStyle w:val="aa"/>
              <w:spacing w:after="60"/>
              <w:rPr>
                <w:rFonts w:eastAsia="宋体" w:cs="Arial"/>
                <w:sz w:val="18"/>
                <w:szCs w:val="18"/>
              </w:rPr>
            </w:pPr>
            <w:r>
              <w:rPr>
                <w:rFonts w:eastAsia="宋体" w:cs="Arial"/>
                <w:sz w:val="18"/>
                <w:szCs w:val="18"/>
              </w:rPr>
              <w:t xml:space="preserve">We don’t see any </w:t>
            </w:r>
            <w:r w:rsidR="0093567E">
              <w:rPr>
                <w:rFonts w:eastAsia="宋体" w:cs="Arial"/>
                <w:sz w:val="18"/>
                <w:szCs w:val="18"/>
              </w:rPr>
              <w:t>ambiguity</w:t>
            </w:r>
            <w:r>
              <w:rPr>
                <w:rFonts w:eastAsia="宋体" w:cs="Arial"/>
                <w:sz w:val="18"/>
                <w:szCs w:val="18"/>
              </w:rPr>
              <w:t xml:space="preserve"> in Rel-15 specification </w:t>
            </w:r>
            <w:r w:rsidR="0093567E">
              <w:rPr>
                <w:rFonts w:eastAsia="宋体" w:cs="Arial"/>
                <w:sz w:val="18"/>
                <w:szCs w:val="18"/>
              </w:rPr>
              <w:t xml:space="preserve">for this particular matter </w:t>
            </w:r>
            <w:r>
              <w:rPr>
                <w:rFonts w:eastAsia="宋体"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26EFD2A" w:rsidR="006077DA" w:rsidRPr="006077DA" w:rsidRDefault="0055096C" w:rsidP="008136A4">
            <w:pPr>
              <w:pStyle w:val="aa"/>
              <w:spacing w:after="60"/>
              <w:rPr>
                <w:rFonts w:eastAsia="宋体" w:cs="Arial"/>
                <w:sz w:val="18"/>
                <w:szCs w:val="18"/>
              </w:rPr>
            </w:pPr>
            <w:r>
              <w:rPr>
                <w:rFonts w:eastAsia="宋体"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0C1561" w14:textId="64AF7049" w:rsidR="00F01457" w:rsidRDefault="0055096C" w:rsidP="00AF0E21">
            <w:pPr>
              <w:pStyle w:val="aa"/>
              <w:spacing w:after="60"/>
              <w:rPr>
                <w:rFonts w:eastAsia="宋体" w:cs="Arial"/>
                <w:sz w:val="18"/>
                <w:szCs w:val="18"/>
              </w:rPr>
            </w:pPr>
            <w:r>
              <w:rPr>
                <w:rFonts w:eastAsia="宋体" w:cs="Arial"/>
                <w:sz w:val="18"/>
                <w:szCs w:val="18"/>
              </w:rPr>
              <w:t>In our view it is important to align the</w:t>
            </w:r>
            <w:r w:rsidR="00F01457">
              <w:rPr>
                <w:rFonts w:eastAsia="宋体" w:cs="Arial"/>
                <w:sz w:val="18"/>
                <w:szCs w:val="18"/>
              </w:rPr>
              <w:t xml:space="preserve"> understanding among different companies. So, we support to have a conclusion on this matter. </w:t>
            </w:r>
          </w:p>
          <w:p w14:paraId="616FA561" w14:textId="410B4785" w:rsidR="00F01457" w:rsidRDefault="00130A45" w:rsidP="00AF0E21">
            <w:pPr>
              <w:pStyle w:val="aa"/>
              <w:spacing w:after="60"/>
              <w:rPr>
                <w:rFonts w:eastAsia="宋体" w:cs="Arial"/>
                <w:sz w:val="18"/>
                <w:szCs w:val="18"/>
              </w:rPr>
            </w:pPr>
            <w:r>
              <w:rPr>
                <w:rFonts w:eastAsia="宋体" w:cs="Arial"/>
                <w:sz w:val="18"/>
                <w:szCs w:val="18"/>
              </w:rPr>
              <w:t>The proposed conclusion is fine for us</w:t>
            </w:r>
            <w:r w:rsidR="005C6FC0">
              <w:rPr>
                <w:rFonts w:eastAsia="宋体" w:cs="Arial"/>
                <w:sz w:val="18"/>
                <w:szCs w:val="18"/>
              </w:rPr>
              <w:t xml:space="preserve">. </w:t>
            </w:r>
          </w:p>
          <w:p w14:paraId="02E76CF7" w14:textId="2994780E" w:rsidR="006077DA" w:rsidRPr="006077DA" w:rsidRDefault="00F01457" w:rsidP="000D07B6">
            <w:pPr>
              <w:pStyle w:val="aa"/>
              <w:tabs>
                <w:tab w:val="left" w:pos="2280"/>
              </w:tabs>
              <w:spacing w:after="60"/>
              <w:rPr>
                <w:rFonts w:eastAsia="宋体" w:cs="Arial"/>
                <w:sz w:val="18"/>
                <w:szCs w:val="18"/>
              </w:rPr>
            </w:pPr>
            <w:r>
              <w:rPr>
                <w:rFonts w:eastAsia="宋体" w:cs="Arial"/>
                <w:sz w:val="18"/>
                <w:szCs w:val="18"/>
              </w:rPr>
              <w:t xml:space="preserve"> </w:t>
            </w:r>
            <w:r w:rsidR="000D07B6">
              <w:rPr>
                <w:rFonts w:eastAsia="宋体" w:cs="Arial"/>
                <w:sz w:val="18"/>
                <w:szCs w:val="18"/>
              </w:rPr>
              <w:tab/>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6CF7A57" w:rsidR="00AF0E21" w:rsidRPr="006077DA" w:rsidRDefault="000D07B6" w:rsidP="008136A4">
            <w:pPr>
              <w:pStyle w:val="aa"/>
              <w:spacing w:after="60"/>
              <w:rPr>
                <w:rFonts w:eastAsia="宋体" w:cs="Arial"/>
                <w:sz w:val="18"/>
                <w:szCs w:val="18"/>
              </w:rPr>
            </w:pPr>
            <w:r>
              <w:rPr>
                <w:rFonts w:eastAsia="宋体" w:cs="Arial"/>
                <w:sz w:val="18"/>
                <w:szCs w:val="18"/>
              </w:rPr>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DED3E46" w:rsidR="00AF0E21" w:rsidRPr="006077DA" w:rsidRDefault="000D07B6" w:rsidP="00AF0E21">
            <w:pPr>
              <w:pStyle w:val="aa"/>
              <w:spacing w:after="60"/>
              <w:rPr>
                <w:rFonts w:eastAsia="宋体" w:cs="Arial"/>
                <w:sz w:val="18"/>
                <w:szCs w:val="18"/>
              </w:rPr>
            </w:pPr>
            <w:r>
              <w:rPr>
                <w:rFonts w:eastAsia="宋体" w:cs="Arial"/>
                <w:sz w:val="18"/>
                <w:szCs w:val="18"/>
              </w:rPr>
              <w:t xml:space="preserve">We are fine with the proposed conclusion </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10FA5948" w:rsidR="00C03BFD" w:rsidRDefault="004A1F38" w:rsidP="008136A4">
            <w:pPr>
              <w:pStyle w:val="aa"/>
              <w:spacing w:after="60"/>
              <w:rPr>
                <w:rFonts w:eastAsia="宋体" w:cs="Arial"/>
                <w:sz w:val="18"/>
                <w:szCs w:val="18"/>
              </w:rPr>
            </w:pPr>
            <w:r>
              <w:rPr>
                <w:rFonts w:eastAsia="宋体" w:cs="Arial" w:hint="eastAsia"/>
                <w:sz w:val="18"/>
                <w:szCs w:val="18"/>
              </w:rPr>
              <w:t>Z</w:t>
            </w:r>
            <w:r>
              <w:rPr>
                <w:rFonts w:eastAsia="宋体"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CB000F1" w:rsidR="00880FE7" w:rsidRDefault="004A1F38" w:rsidP="00880FE7">
            <w:pPr>
              <w:pStyle w:val="aa"/>
              <w:spacing w:after="60"/>
              <w:rPr>
                <w:rFonts w:eastAsia="宋体" w:cs="Arial"/>
                <w:sz w:val="18"/>
                <w:szCs w:val="18"/>
              </w:rPr>
            </w:pPr>
            <w:r>
              <w:rPr>
                <w:rFonts w:eastAsia="宋体" w:cs="Arial" w:hint="eastAsia"/>
                <w:sz w:val="18"/>
                <w:szCs w:val="18"/>
              </w:rPr>
              <w:t>A</w:t>
            </w:r>
            <w:r>
              <w:rPr>
                <w:rFonts w:eastAsia="宋体" w:cs="Arial"/>
                <w:sz w:val="18"/>
                <w:szCs w:val="18"/>
              </w:rPr>
              <w:t>lthough we think the proposed conclusion is not needed as the specification itself is clear, it is not harmful to clarify it</w:t>
            </w:r>
            <w:r w:rsidR="00016C18">
              <w:rPr>
                <w:rFonts w:eastAsia="宋体" w:cs="Arial"/>
                <w:sz w:val="18"/>
                <w:szCs w:val="18"/>
              </w:rPr>
              <w:t xml:space="preserve"> as a conclusion</w:t>
            </w:r>
            <w:r>
              <w:rPr>
                <w:rFonts w:eastAsia="宋体"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7D04F85B" w:rsidR="008E5A31" w:rsidRDefault="004A731A" w:rsidP="008136A4">
            <w:pPr>
              <w:pStyle w:val="aa"/>
              <w:spacing w:after="60"/>
              <w:rPr>
                <w:rFonts w:eastAsia="宋体" w:cs="Arial"/>
                <w:sz w:val="18"/>
                <w:szCs w:val="18"/>
              </w:rPr>
            </w:pPr>
            <w:r>
              <w:rPr>
                <w:rFonts w:eastAsia="宋体" w:cs="Arial" w:hint="eastAsia"/>
                <w:sz w:val="18"/>
                <w:szCs w:val="18"/>
              </w:rPr>
              <w:t>v</w:t>
            </w:r>
            <w:r>
              <w:rPr>
                <w:rFonts w:eastAsia="宋体"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A1A13" w14:textId="77777777" w:rsidR="00B302A9" w:rsidRDefault="00304F42" w:rsidP="00517C14">
            <w:pPr>
              <w:pStyle w:val="aa"/>
              <w:spacing w:after="60"/>
              <w:jc w:val="left"/>
              <w:rPr>
                <w:rFonts w:eastAsia="宋体" w:cs="Arial"/>
                <w:sz w:val="18"/>
                <w:szCs w:val="18"/>
              </w:rPr>
            </w:pPr>
            <w:r>
              <w:rPr>
                <w:rFonts w:eastAsia="宋体" w:cs="Arial" w:hint="eastAsia"/>
                <w:sz w:val="18"/>
                <w:szCs w:val="18"/>
              </w:rPr>
              <w:t>O</w:t>
            </w:r>
            <w:r>
              <w:rPr>
                <w:rFonts w:eastAsia="宋体" w:cs="Arial"/>
                <w:sz w:val="18"/>
                <w:szCs w:val="18"/>
              </w:rPr>
              <w:t xml:space="preserve">ur understanding is more aligned with Huawei. </w:t>
            </w:r>
          </w:p>
          <w:p w14:paraId="2ACD6B57" w14:textId="560AAC8A" w:rsidR="008E5A31" w:rsidRDefault="00304F42" w:rsidP="00517C14">
            <w:pPr>
              <w:pStyle w:val="aa"/>
              <w:spacing w:after="60"/>
              <w:jc w:val="left"/>
              <w:rPr>
                <w:rFonts w:eastAsia="宋体" w:cs="Arial"/>
                <w:sz w:val="18"/>
                <w:szCs w:val="18"/>
              </w:rPr>
            </w:pPr>
            <w:bookmarkStart w:id="6" w:name="_GoBack"/>
            <w:bookmarkEnd w:id="6"/>
            <w:r>
              <w:rPr>
                <w:rFonts w:eastAsia="宋体" w:cs="Arial"/>
                <w:sz w:val="18"/>
                <w:szCs w:val="18"/>
              </w:rPr>
              <w:t>No conclusion is needed.</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09893AC8" w:rsidR="00C869A0" w:rsidRDefault="00C869A0" w:rsidP="008136A4">
            <w:pPr>
              <w:pStyle w:val="aa"/>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46FA4080" w:rsidR="00C869A0" w:rsidRDefault="00C869A0" w:rsidP="00C869A0">
            <w:pPr>
              <w:pStyle w:val="aa"/>
              <w:spacing w:after="60"/>
              <w:jc w:val="left"/>
              <w:rPr>
                <w:rFonts w:eastAsia="宋体" w:cs="Arial"/>
                <w:sz w:val="18"/>
                <w:szCs w:val="18"/>
              </w:rPr>
            </w:pP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aa"/>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aa"/>
              <w:spacing w:after="60"/>
              <w:jc w:val="left"/>
              <w:rPr>
                <w:rFonts w:eastAsia="宋体"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aa"/>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aa"/>
              <w:spacing w:after="60"/>
              <w:jc w:val="left"/>
              <w:rPr>
                <w:rFonts w:eastAsia="宋体"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aa"/>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aa"/>
              <w:spacing w:after="60"/>
              <w:jc w:val="left"/>
              <w:rPr>
                <w:rFonts w:eastAsia="宋体" w:cs="Arial"/>
                <w:sz w:val="18"/>
                <w:szCs w:val="18"/>
              </w:rPr>
            </w:pPr>
          </w:p>
        </w:tc>
      </w:tr>
    </w:tbl>
    <w:p w14:paraId="66D8395C" w14:textId="7E81A19F" w:rsidR="006077DA" w:rsidRDefault="006077DA" w:rsidP="00AF0E21">
      <w:pPr>
        <w:pStyle w:val="aa"/>
        <w:spacing w:after="60"/>
        <w:rPr>
          <w:rFonts w:eastAsia="宋体" w:cs="Arial"/>
          <w:sz w:val="18"/>
          <w:szCs w:val="18"/>
        </w:rPr>
      </w:pPr>
    </w:p>
    <w:p w14:paraId="4E2257EF" w14:textId="169444EB" w:rsidR="00A106AB" w:rsidRDefault="00A106AB" w:rsidP="00AF0E21">
      <w:pPr>
        <w:pStyle w:val="aa"/>
        <w:spacing w:after="60"/>
        <w:rPr>
          <w:rFonts w:eastAsia="宋体" w:cs="Arial"/>
          <w:sz w:val="18"/>
          <w:szCs w:val="18"/>
        </w:rPr>
      </w:pPr>
    </w:p>
    <w:p w14:paraId="061C9D3C" w14:textId="77777777" w:rsidR="001050DE" w:rsidRPr="001050DE" w:rsidRDefault="001050DE" w:rsidP="00AF0E21">
      <w:pPr>
        <w:pStyle w:val="aa"/>
        <w:spacing w:after="60"/>
        <w:rPr>
          <w:rFonts w:ascii="Times New Roman" w:eastAsia="宋体" w:hAnsi="Times New Roman"/>
        </w:rPr>
      </w:pPr>
    </w:p>
    <w:sectPr w:rsidR="001050DE" w:rsidRPr="001050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007C4" w14:textId="77777777" w:rsidR="006D566E" w:rsidRDefault="006D566E">
      <w:r>
        <w:separator/>
      </w:r>
    </w:p>
  </w:endnote>
  <w:endnote w:type="continuationSeparator" w:id="0">
    <w:p w14:paraId="5F1AD404" w14:textId="77777777" w:rsidR="006D566E" w:rsidRDefault="006D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46B41BB1"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16C18">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16C18">
      <w:rPr>
        <w:rStyle w:val="af4"/>
      </w:rPr>
      <w:t>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2DF0D" w14:textId="77777777" w:rsidR="006D566E" w:rsidRDefault="006D566E">
      <w:r>
        <w:separator/>
      </w:r>
    </w:p>
  </w:footnote>
  <w:footnote w:type="continuationSeparator" w:id="0">
    <w:p w14:paraId="42A96A81" w14:textId="77777777" w:rsidR="006D566E" w:rsidRDefault="006D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16C18"/>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7B6"/>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0A45"/>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0604"/>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4F42"/>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64E60"/>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1F38"/>
    <w:rsid w:val="004A21ED"/>
    <w:rsid w:val="004A2B94"/>
    <w:rsid w:val="004A40E9"/>
    <w:rsid w:val="004A54DC"/>
    <w:rsid w:val="004A731A"/>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096C"/>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FC0"/>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26FF5"/>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CC"/>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566E"/>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0FA2"/>
    <w:rsid w:val="00B02AA9"/>
    <w:rsid w:val="00B02CDD"/>
    <w:rsid w:val="00B02FA3"/>
    <w:rsid w:val="00B05084"/>
    <w:rsid w:val="00B157F9"/>
    <w:rsid w:val="00B168FE"/>
    <w:rsid w:val="00B20256"/>
    <w:rsid w:val="00B207F4"/>
    <w:rsid w:val="00B20D09"/>
    <w:rsid w:val="00B214BB"/>
    <w:rsid w:val="00B2763F"/>
    <w:rsid w:val="00B27AAC"/>
    <w:rsid w:val="00B302A9"/>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86DF9"/>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5098"/>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1457"/>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F8466-42F8-465E-9A71-144DDC17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71</TotalTime>
  <Pages>2</Pages>
  <Words>516</Words>
  <Characters>2944</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3454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Peng Sun(vivo)</cp:lastModifiedBy>
  <cp:revision>15</cp:revision>
  <cp:lastPrinted>2008-01-31T07:09:00Z</cp:lastPrinted>
  <dcterms:created xsi:type="dcterms:W3CDTF">2022-02-21T14:17:00Z</dcterms:created>
  <dcterms:modified xsi:type="dcterms:W3CDTF">2022-02-22T02:23:00Z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6"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1645451693</vt:lpwstr>
  </property>
</Properties>
</file>