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DD2113">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DD2113">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DD2113">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DD2113">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DD2113">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DD2113">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DD2113">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DD2113">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DD2113">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DD2113">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3pt" o:ole="">
                        <v:imagedata r:id="rId28" o:title=""/>
                      </v:shape>
                      <o:OLEObject Type="Embed" ProgID="Equation.3" ShapeID="_x0000_i1025" DrawAspect="Content" ObjectID="_1707218287"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 xml:space="preserve">There is no ignore UE behaviour defined in the specification. </w:t>
            </w:r>
            <w:proofErr w:type="gramStart"/>
            <w:r>
              <w:rPr>
                <w:lang w:val="en-US" w:eastAsia="zh-CN"/>
              </w:rPr>
              <w:t>So</w:t>
            </w:r>
            <w:proofErr w:type="gramEnd"/>
            <w:r>
              <w:rPr>
                <w:lang w:val="en-US" w:eastAsia="zh-CN"/>
              </w:rPr>
              <w:t xml:space="preserve">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 xml:space="preserve">The field of “PDSCH-to-HARQ_feedback timing indicator” is valid in activation DCI. </w:t>
            </w:r>
            <w:proofErr w:type="gramStart"/>
            <w:r>
              <w:rPr>
                <w:lang w:val="en-US" w:eastAsia="zh-CN"/>
              </w:rPr>
              <w:t>Thus</w:t>
            </w:r>
            <w:proofErr w:type="gramEnd"/>
            <w:r>
              <w:rPr>
                <w:lang w:val="en-US" w:eastAsia="zh-CN"/>
              </w:rPr>
              <w:t xml:space="preserve">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w:t>
            </w:r>
            <w:proofErr w:type="gramStart"/>
            <w:r>
              <w:rPr>
                <w:rFonts w:ascii="Arial" w:hAnsi="Arial" w:cs="Arial"/>
                <w:lang w:val="en-US" w:eastAsia="zh-CN"/>
              </w:rPr>
              <w:t>HARQ  feedback</w:t>
            </w:r>
            <w:proofErr w:type="gramEnd"/>
            <w:r>
              <w:rPr>
                <w:rFonts w:ascii="Arial" w:hAnsi="Arial" w:cs="Arial"/>
                <w:lang w:val="en-US" w:eastAsia="zh-CN"/>
              </w:rPr>
              <w:t xml:space="preserve">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77777777" w:rsidR="00F37F5E" w:rsidRDefault="006A43A0">
      <w:pPr>
        <w:pStyle w:val="Heading3"/>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Heading2"/>
        <w:rPr>
          <w:rStyle w:val="Heading1Char"/>
        </w:rPr>
      </w:pPr>
      <w:r>
        <w:rPr>
          <w:rStyle w:val="Heading1Char"/>
          <w:highlight w:val="yellow"/>
        </w:rPr>
        <w:t>3.2</w:t>
      </w:r>
      <w:r>
        <w:rPr>
          <w:rStyle w:val="Heading1Char"/>
          <w:highlight w:val="yellow"/>
        </w:rPr>
        <w:tab/>
        <w:t>Round 2 - NEW</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w:t>
            </w:r>
            <w:proofErr w:type="gramStart"/>
            <w:r w:rsidR="008C2D0A">
              <w:rPr>
                <w:rFonts w:eastAsia="SimSun" w:cs="Arial"/>
                <w:sz w:val="18"/>
                <w:szCs w:val="18"/>
              </w:rPr>
              <w:t>go</w:t>
            </w:r>
            <w:proofErr w:type="gramEnd"/>
            <w:r w:rsidR="008C2D0A">
              <w:rPr>
                <w:rFonts w:eastAsia="SimSun" w:cs="Arial"/>
                <w:sz w:val="18"/>
                <w:szCs w:val="18"/>
              </w:rPr>
              <w:t xml:space="preserve"> we interpretation 2. Then, we need to address the cases </w:t>
            </w:r>
            <w:r w:rsidR="00F814EA">
              <w:rPr>
                <w:rFonts w:eastAsia="SimSun" w:cs="Arial"/>
                <w:sz w:val="18"/>
                <w:szCs w:val="18"/>
              </w:rPr>
              <w:t xml:space="preserve">that we can not support more than 3 DL </w:t>
            </w:r>
            <w:proofErr w:type="gramStart"/>
            <w:r w:rsidR="00F814EA">
              <w:rPr>
                <w:rFonts w:eastAsia="SimSun" w:cs="Arial"/>
                <w:sz w:val="18"/>
                <w:szCs w:val="18"/>
              </w:rPr>
              <w:t>SPS..</w:t>
            </w:r>
            <w:proofErr w:type="gramEnd"/>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 xml:space="preserve">So, therefore to us, not only logically is a bit strange, but </w:t>
            </w:r>
            <w:proofErr w:type="gramStart"/>
            <w:r>
              <w:rPr>
                <w:rFonts w:eastAsia="SimSun" w:cs="Arial"/>
                <w:sz w:val="18"/>
                <w:szCs w:val="18"/>
              </w:rPr>
              <w:t>also</w:t>
            </w:r>
            <w:proofErr w:type="gramEnd"/>
            <w:r>
              <w:rPr>
                <w:rFonts w:eastAsia="SimSun" w:cs="Arial"/>
                <w:sz w:val="18"/>
                <w:szCs w:val="18"/>
              </w:rPr>
              <w:t xml:space="preserve">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BodyText"/>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BodyText"/>
              <w:spacing w:after="60"/>
              <w:rPr>
                <w:rFonts w:eastAsia="SimSun" w:cs="Arial"/>
                <w:sz w:val="18"/>
                <w:szCs w:val="18"/>
              </w:rPr>
            </w:pPr>
          </w:p>
          <w:p w14:paraId="26309B5C" w14:textId="06358F68" w:rsidR="003072F8" w:rsidRDefault="003072F8">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sidR="009909E2">
              <w:rPr>
                <w:rFonts w:eastAsia="Yu Mincho" w:hint="eastAsia"/>
                <w:sz w:val="18"/>
                <w:szCs w:val="18"/>
                <w:lang w:eastAsia="ja-JP"/>
              </w:rPr>
              <w:t>s</w:t>
            </w:r>
            <w:r w:rsidR="009909E2">
              <w:rPr>
                <w:rFonts w:eastAsia="Yu Mincho"/>
                <w:sz w:val="18"/>
                <w:szCs w:val="18"/>
                <w:lang w:eastAsia="ja-JP"/>
              </w:rPr>
              <w:t>hould discuss and clarify the consequence</w:t>
            </w:r>
            <w:r w:rsidR="00A065FD">
              <w:rPr>
                <w:rFonts w:eastAsia="Yu Mincho"/>
                <w:sz w:val="18"/>
                <w:szCs w:val="18"/>
                <w:lang w:eastAsia="ja-JP"/>
              </w:rPr>
              <w:t xml:space="preserve"> to approve the moderator’s </w:t>
            </w:r>
            <w:r w:rsidR="00657A74">
              <w:rPr>
                <w:rFonts w:eastAsia="Yu Mincho"/>
                <w:sz w:val="18"/>
                <w:szCs w:val="18"/>
                <w:lang w:eastAsia="ja-JP"/>
              </w:rPr>
              <w:t xml:space="preserve">proposal. </w:t>
            </w:r>
            <w:r w:rsidR="00972AAC">
              <w:rPr>
                <w:rFonts w:eastAsia="Yu Mincho"/>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BodyText"/>
              <w:spacing w:after="60"/>
              <w:rPr>
                <w:rFonts w:eastAsia="SimSun" w:cs="Arial"/>
                <w:sz w:val="18"/>
                <w:szCs w:val="18"/>
              </w:rPr>
            </w:pPr>
            <w:r>
              <w:rPr>
                <w:rFonts w:eastAsia="SimSun" w:cs="Arial"/>
                <w:sz w:val="18"/>
                <w:szCs w:val="18"/>
              </w:rPr>
              <w:t xml:space="preserve">As stated by Samsung and Ericsson, taking the majority </w:t>
            </w:r>
            <w:proofErr w:type="gramStart"/>
            <w:r>
              <w:rPr>
                <w:rFonts w:eastAsia="SimSun" w:cs="Arial"/>
                <w:sz w:val="18"/>
                <w:szCs w:val="18"/>
              </w:rPr>
              <w:t>view</w:t>
            </w:r>
            <w:proofErr w:type="gramEnd"/>
            <w:r>
              <w:rPr>
                <w:rFonts w:eastAsia="SimSun" w:cs="Arial"/>
                <w:sz w:val="18"/>
                <w:szCs w:val="18"/>
              </w:rPr>
              <w:t xml:space="preserve">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BodyText"/>
              <w:spacing w:after="60"/>
              <w:rPr>
                <w:rFonts w:eastAsia="SimSun" w:cs="Arial"/>
                <w:sz w:val="18"/>
                <w:szCs w:val="18"/>
              </w:rPr>
            </w:pPr>
            <w:r>
              <w:rPr>
                <w:rFonts w:eastAsia="SimSun" w:cs="Arial"/>
                <w:sz w:val="18"/>
                <w:szCs w:val="18"/>
              </w:rPr>
              <w:t xml:space="preserve">DOCOMO’s question on the release, it seems evident that as of today we don’t have a functioning standard, so this would quality as an essential correction to Rel-15 either way. Not correcting Rel-15 would mean that we should be transparent and obsolete the feature in Rel-15, </w:t>
            </w:r>
            <w:proofErr w:type="gramStart"/>
            <w:r>
              <w:rPr>
                <w:rFonts w:eastAsia="SimSun" w:cs="Arial"/>
                <w:sz w:val="18"/>
                <w:szCs w:val="18"/>
              </w:rPr>
              <w:t>e.g.</w:t>
            </w:r>
            <w:proofErr w:type="gramEnd"/>
            <w:r>
              <w:rPr>
                <w:rFonts w:eastAsia="SimSun" w:cs="Arial"/>
                <w:sz w:val="18"/>
                <w:szCs w:val="18"/>
              </w:rPr>
              <w:t xml:space="preserve"> by stating in the Rel-15 UE capability specifications that the DL SPS capability is not supported in Rel-15.</w:t>
            </w:r>
          </w:p>
          <w:p w14:paraId="17EC8AB3" w14:textId="24327052" w:rsidR="005F3AE8" w:rsidRPr="00E7769E" w:rsidRDefault="005F3AE8">
            <w:pPr>
              <w:pStyle w:val="BodyText"/>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w:t>
            </w:r>
            <w:proofErr w:type="gramStart"/>
            <w:r w:rsidR="00E7769E">
              <w:rPr>
                <w:rFonts w:eastAsia="SimSun" w:cs="Arial"/>
                <w:color w:val="FF0000"/>
                <w:sz w:val="18"/>
                <w:szCs w:val="18"/>
              </w:rPr>
              <w:t>more straight</w:t>
            </w:r>
            <w:proofErr w:type="gramEnd"/>
            <w:r w:rsidR="00E7769E">
              <w:rPr>
                <w:rFonts w:eastAsia="SimSun" w:cs="Arial"/>
                <w:color w:val="FF0000"/>
                <w:sz w:val="18"/>
                <w:szCs w:val="18"/>
              </w:rPr>
              <w:t xml:space="preserve">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411BD3D" w14:textId="31129E08"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w:t>
            </w:r>
            <w:r w:rsidR="00261ED4">
              <w:rPr>
                <w:rFonts w:eastAsia="Yu Mincho" w:cs="Arial"/>
                <w:sz w:val="18"/>
                <w:szCs w:val="18"/>
                <w:lang w:eastAsia="ja-JP"/>
              </w:rPr>
              <w:t>, and if there is no distinguish between activation DCI and dynamic DCI (</w:t>
            </w:r>
            <w:proofErr w:type="gramStart"/>
            <w:r w:rsidR="00261ED4">
              <w:rPr>
                <w:rFonts w:eastAsia="Yu Mincho" w:cs="Arial"/>
                <w:sz w:val="18"/>
                <w:szCs w:val="18"/>
                <w:lang w:eastAsia="ja-JP"/>
              </w:rPr>
              <w:t>e.g.</w:t>
            </w:r>
            <w:proofErr w:type="gramEnd"/>
            <w:r w:rsidR="00261ED4">
              <w:rPr>
                <w:rFonts w:eastAsia="Yu Mincho" w:cs="Arial"/>
                <w:sz w:val="18"/>
                <w:szCs w:val="18"/>
                <w:lang w:eastAsia="ja-JP"/>
              </w:rPr>
              <w:t xml:space="preserve"> no restriction of RNTI), the feature is applied to both</w:t>
            </w:r>
            <w:r>
              <w:rPr>
                <w:rFonts w:eastAsia="Yu Mincho" w:cs="Arial"/>
                <w:sz w:val="18"/>
                <w:szCs w:val="18"/>
                <w:lang w:eastAsia="ja-JP"/>
              </w:rPr>
              <w:t>. That’s all. If the terminology</w:t>
            </w:r>
            <w:r w:rsidR="00261ED4">
              <w:rPr>
                <w:rFonts w:eastAsia="Yu Mincho" w:cs="Arial"/>
                <w:sz w:val="18"/>
                <w:szCs w:val="18"/>
                <w:lang w:eastAsia="ja-JP"/>
              </w:rPr>
              <w:t xml:space="preserve"> of “PDSCH with corresponding PDCCH”</w:t>
            </w:r>
            <w:r>
              <w:rPr>
                <w:rFonts w:eastAsia="Yu Mincho" w:cs="Arial"/>
                <w:sz w:val="18"/>
                <w:szCs w:val="18"/>
                <w:lang w:eastAsia="ja-JP"/>
              </w:rPr>
              <w:t xml:space="preserve"> is used for some UE behavior, then the behavior is applied to the initial SPS PDSCH after SPS activation as well.</w:t>
            </w:r>
            <w:r w:rsidR="00DE7684">
              <w:rPr>
                <w:rFonts w:eastAsia="Yu Mincho" w:cs="Arial"/>
                <w:sz w:val="18"/>
                <w:szCs w:val="18"/>
                <w:lang w:eastAsia="ja-JP"/>
              </w:rPr>
              <w:t xml:space="preserve"> If “PDSCH without corresponding PDCCH” is used, the behavior is not applied to the initial SPS PDSCH after SPS activation.</w:t>
            </w:r>
            <w:r>
              <w:rPr>
                <w:rFonts w:eastAsia="Yu Mincho" w:cs="Arial"/>
                <w:sz w:val="18"/>
                <w:szCs w:val="18"/>
                <w:lang w:eastAsia="ja-JP"/>
              </w:rPr>
              <w:t xml:space="preserve"> But if we use “SPS PDSCH”, this still includes the initial SPS PDSCH after SPS activation as well.</w:t>
            </w:r>
          </w:p>
          <w:p w14:paraId="25B861A6" w14:textId="77777777"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74B07DB6" w14:textId="77777777" w:rsidR="0047031A" w:rsidRDefault="0047031A">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701B7D35" w14:textId="77777777"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943BEA1" w14:textId="5D82B44C"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Q3, </w:t>
            </w:r>
            <w:r w:rsidR="00DE7684">
              <w:rPr>
                <w:rFonts w:eastAsia="Yu Mincho" w:cs="Arial"/>
                <w:sz w:val="18"/>
                <w:szCs w:val="18"/>
                <w:lang w:eastAsia="ja-JP"/>
              </w:rPr>
              <w:t>with the above understanding, we do not see any issue on 38.321. But we are fine with small update for the spec as well if necessary.</w:t>
            </w:r>
          </w:p>
          <w:p w14:paraId="66BB5054" w14:textId="60A64BDD"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22E1F25E" w14:textId="77777777"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708FD773" w14:textId="77777777"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Q7, </w:t>
            </w:r>
            <w:r w:rsidR="00261ED4">
              <w:rPr>
                <w:rFonts w:eastAsia="Yu Mincho" w:cs="Arial"/>
                <w:sz w:val="18"/>
                <w:szCs w:val="18"/>
                <w:lang w:eastAsia="ja-JP"/>
              </w:rPr>
              <w:t xml:space="preserve">as commented for Q2, issue related to </w:t>
            </w:r>
            <w:r w:rsidR="00261ED4" w:rsidRPr="00261ED4">
              <w:rPr>
                <w:rFonts w:eastAsia="Yu Mincho" w:cs="Arial"/>
                <w:sz w:val="18"/>
                <w:szCs w:val="18"/>
                <w:lang w:eastAsia="ja-JP"/>
              </w:rPr>
              <w:t>SPS-PUCCH-AN-List</w:t>
            </w:r>
            <w:r w:rsidR="00261ED4">
              <w:rPr>
                <w:rFonts w:eastAsia="Yu Mincho" w:cs="Arial"/>
                <w:sz w:val="18"/>
                <w:szCs w:val="18"/>
                <w:lang w:eastAsia="ja-JP"/>
              </w:rPr>
              <w:t xml:space="preserve"> should be handled at Rel-16 URLLC guys in consideration of outcome of discussions in this thread, but we should not use this Rel-16 URLLC issue to discuss basic NR spec from Rel-15.</w:t>
            </w:r>
          </w:p>
          <w:p w14:paraId="7A37E37D" w14:textId="77777777" w:rsidR="00261ED4" w:rsidRDefault="00261ED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w:t>
            </w:r>
            <w:proofErr w:type="gramStart"/>
            <w:r>
              <w:rPr>
                <w:rFonts w:eastAsia="Yu Mincho" w:cs="Arial"/>
                <w:sz w:val="18"/>
                <w:szCs w:val="18"/>
                <w:lang w:eastAsia="ja-JP"/>
              </w:rPr>
              <w:t>e.g.</w:t>
            </w:r>
            <w:proofErr w:type="gramEnd"/>
            <w:r>
              <w:rPr>
                <w:rFonts w:eastAsia="Yu Mincho" w:cs="Arial"/>
                <w:sz w:val="18"/>
                <w:szCs w:val="18"/>
                <w:lang w:eastAsia="ja-JP"/>
              </w:rPr>
              <w:t xml:space="preserve"> no restriction of RNTI), other fields are used. This depends on the spec text for each feature.</w:t>
            </w:r>
          </w:p>
          <w:p w14:paraId="42163513" w14:textId="77777777" w:rsidR="00704258" w:rsidRDefault="00704258">
            <w:pPr>
              <w:pStyle w:val="BodyText"/>
              <w:spacing w:after="60"/>
              <w:rPr>
                <w:rFonts w:eastAsia="Yu Mincho" w:cs="Arial"/>
                <w:sz w:val="18"/>
                <w:szCs w:val="18"/>
                <w:lang w:eastAsia="ja-JP"/>
              </w:rPr>
            </w:pPr>
          </w:p>
          <w:p w14:paraId="754BCBEB" w14:textId="6E001F55" w:rsidR="00704258" w:rsidRDefault="00704258">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sidRPr="00704258">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w:t>
            </w:r>
            <w:r w:rsidR="007D1584">
              <w:rPr>
                <w:rFonts w:eastAsia="Yu Mincho" w:cs="Arial"/>
                <w:sz w:val="18"/>
                <w:szCs w:val="18"/>
                <w:lang w:eastAsia="ja-JP"/>
              </w:rPr>
              <w:t>“SPS PDSCH”</w:t>
            </w:r>
            <w:r>
              <w:rPr>
                <w:rFonts w:eastAsia="Yu Mincho" w:cs="Arial"/>
                <w:sz w:val="18"/>
                <w:szCs w:val="18"/>
                <w:lang w:eastAsia="ja-JP"/>
              </w:rPr>
              <w:t>.</w:t>
            </w:r>
            <w:r w:rsidR="007D1584">
              <w:rPr>
                <w:rFonts w:eastAsia="Yu Mincho" w:cs="Arial"/>
                <w:sz w:val="18"/>
                <w:szCs w:val="18"/>
                <w:lang w:eastAsia="ja-JP"/>
              </w:rPr>
              <w:t xml:space="preserve"> The bullet should be removed.</w:t>
            </w:r>
            <w:r>
              <w:rPr>
                <w:rFonts w:eastAsia="Yu Mincho" w:cs="Arial"/>
                <w:sz w:val="18"/>
                <w:szCs w:val="18"/>
                <w:lang w:eastAsia="ja-JP"/>
              </w:rPr>
              <w:t xml:space="preserve"> (Let me use ZTE’s version.)</w:t>
            </w:r>
          </w:p>
          <w:p w14:paraId="659CF37C" w14:textId="77777777" w:rsidR="00704258" w:rsidRDefault="00704258" w:rsidP="00704258">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135DA13" w14:textId="77777777" w:rsidR="00704258" w:rsidRDefault="00704258" w:rsidP="00704258">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7CFA5FA6" w14:textId="5E51B3F8" w:rsidR="00704258" w:rsidRPr="007D1584" w:rsidRDefault="00704258" w:rsidP="007D1584">
            <w:pPr>
              <w:pStyle w:val="BodyText"/>
              <w:numPr>
                <w:ilvl w:val="0"/>
                <w:numId w:val="19"/>
              </w:numPr>
              <w:rPr>
                <w:rFonts w:ascii="Times New Roman" w:eastAsia="SimSun" w:hAnsi="Times New Roman"/>
                <w:b/>
                <w:bCs/>
                <w:strike/>
                <w:color w:val="0070C0"/>
              </w:rPr>
            </w:pPr>
            <w:r w:rsidRPr="007D1584">
              <w:rPr>
                <w:rFonts w:ascii="Times New Roman" w:eastAsia="SimSun" w:hAnsi="Times New Roman"/>
                <w:b/>
                <w:bCs/>
                <w:strike/>
                <w:color w:val="0070C0"/>
              </w:rPr>
              <w:lastRenderedPageBreak/>
              <w:t>The HARQ-ACK CB construction for that</w:t>
            </w:r>
            <w:r w:rsidRPr="007D1584">
              <w:rPr>
                <w:rFonts w:ascii="Times New Roman" w:eastAsia="SimSun" w:hAnsi="Times New Roman" w:hint="eastAsia"/>
                <w:b/>
                <w:bCs/>
                <w:strike/>
                <w:color w:val="0070C0"/>
                <w:lang w:val="en-US"/>
              </w:rPr>
              <w:t xml:space="preserve"> </w:t>
            </w:r>
            <w:r w:rsidRPr="007D1584">
              <w:rPr>
                <w:rFonts w:ascii="Times New Roman" w:eastAsia="SimSun" w:hAnsi="Times New Roman"/>
                <w:b/>
                <w:bCs/>
                <w:strike/>
                <w:color w:val="0070C0"/>
                <w:u w:val="single"/>
              </w:rPr>
              <w:t>1</w:t>
            </w:r>
            <w:r w:rsidRPr="007D1584">
              <w:rPr>
                <w:rFonts w:ascii="Times New Roman" w:eastAsia="SimSun" w:hAnsi="Times New Roman"/>
                <w:b/>
                <w:bCs/>
                <w:strike/>
                <w:color w:val="0070C0"/>
                <w:u w:val="single"/>
                <w:vertAlign w:val="superscript"/>
              </w:rPr>
              <w:t>st</w:t>
            </w:r>
            <w:r w:rsidRPr="007D1584">
              <w:rPr>
                <w:rFonts w:ascii="Times New Roman" w:eastAsia="SimSun" w:hAnsi="Times New Roman"/>
                <w:b/>
                <w:bCs/>
                <w:strike/>
                <w:color w:val="0070C0"/>
                <w:u w:val="single"/>
              </w:rPr>
              <w:t xml:space="preserve"> </w:t>
            </w:r>
            <w:r w:rsidRPr="007D1584">
              <w:rPr>
                <w:rFonts w:ascii="Times New Roman" w:eastAsia="SimSun" w:hAnsi="Times New Roman" w:hint="eastAsia"/>
                <w:b/>
                <w:bCs/>
                <w:strike/>
                <w:color w:val="0070C0"/>
                <w:u w:val="single"/>
                <w:lang w:val="en-US"/>
              </w:rPr>
              <w:t>SPS</w:t>
            </w:r>
            <w:r w:rsidRPr="007D1584">
              <w:rPr>
                <w:rFonts w:ascii="Times New Roman" w:eastAsia="SimSun" w:hAnsi="Times New Roman"/>
                <w:b/>
                <w:bCs/>
                <w:strike/>
                <w:color w:val="0070C0"/>
              </w:rPr>
              <w:t xml:space="preserve"> PDSCH follows the DG-PDSCH construction </w:t>
            </w:r>
          </w:p>
        </w:tc>
      </w:tr>
      <w:tr w:rsidR="00380954"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0B991BEE" w:rsidR="00380954" w:rsidRDefault="00380954" w:rsidP="00380954">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D12F57" w14:textId="77777777" w:rsidR="00380954" w:rsidRDefault="00380954" w:rsidP="00380954">
            <w:pPr>
              <w:pStyle w:val="BodyText"/>
              <w:spacing w:after="60"/>
              <w:rPr>
                <w:rFonts w:eastAsia="SimSun" w:cs="Arial"/>
                <w:sz w:val="18"/>
                <w:szCs w:val="18"/>
              </w:rPr>
            </w:pPr>
            <w:r>
              <w:rPr>
                <w:rFonts w:eastAsia="SimSun" w:cs="Arial"/>
                <w:sz w:val="18"/>
                <w:szCs w:val="18"/>
              </w:rPr>
              <w:t>We are fine with the proposal with ZTE’s modification.</w:t>
            </w:r>
          </w:p>
          <w:p w14:paraId="7311C0B8" w14:textId="77777777" w:rsidR="00380954" w:rsidRDefault="00380954" w:rsidP="00380954">
            <w:pPr>
              <w:pStyle w:val="BodyText"/>
              <w:spacing w:after="60"/>
              <w:rPr>
                <w:rFonts w:eastAsia="SimSun" w:cs="Arial"/>
                <w:sz w:val="18"/>
                <w:szCs w:val="18"/>
              </w:rPr>
            </w:pPr>
            <w:r>
              <w:rPr>
                <w:rFonts w:eastAsia="SimSun" w:cs="Arial"/>
                <w:sz w:val="18"/>
                <w:szCs w:val="18"/>
              </w:rPr>
              <w:t xml:space="preserve">Our understanding is that regardless of which interpretation is selected, it is expected some issues need to be fixed in the spec, e.g., </w:t>
            </w:r>
            <w:r w:rsidRPr="00E431F5">
              <w:rPr>
                <w:rFonts w:eastAsia="SimSun" w:cs="Arial"/>
                <w:sz w:val="18"/>
                <w:szCs w:val="18"/>
              </w:rPr>
              <w:t>UCI multiplexing timeline in case when configured PUCCH resource for 1st SPS PDSCH overlapping with another PUCCH, etc.</w:t>
            </w:r>
          </w:p>
          <w:p w14:paraId="0B1B41D1" w14:textId="77777777" w:rsidR="00380954" w:rsidRDefault="00380954" w:rsidP="00380954">
            <w:pPr>
              <w:pStyle w:val="BodyText"/>
              <w:spacing w:after="60"/>
              <w:rPr>
                <w:rFonts w:eastAsia="SimSun" w:cs="Arial"/>
                <w:sz w:val="18"/>
                <w:szCs w:val="18"/>
              </w:rPr>
            </w:pPr>
            <w:r>
              <w:rPr>
                <w:rFonts w:eastAsia="SimSun" w:cs="Arial"/>
                <w:sz w:val="18"/>
                <w:szCs w:val="18"/>
              </w:rPr>
              <w:t xml:space="preserve">We suggest </w:t>
            </w:r>
            <w:proofErr w:type="gramStart"/>
            <w:r>
              <w:rPr>
                <w:rFonts w:eastAsia="SimSun" w:cs="Arial"/>
                <w:sz w:val="18"/>
                <w:szCs w:val="18"/>
              </w:rPr>
              <w:t>to fix</w:t>
            </w:r>
            <w:proofErr w:type="gramEnd"/>
            <w:r>
              <w:rPr>
                <w:rFonts w:eastAsia="SimSun" w:cs="Arial"/>
                <w:sz w:val="18"/>
                <w:szCs w:val="18"/>
              </w:rPr>
              <w:t xml:space="preserve"> this issue at least in Rel-16 given that the discussion in Rel-17 WIs including URLLC/CovEnh highly depends on the outcome of this issue. </w:t>
            </w:r>
          </w:p>
          <w:p w14:paraId="2FB8A2DA" w14:textId="77777777" w:rsidR="00380954" w:rsidRDefault="00380954" w:rsidP="00380954">
            <w:pPr>
              <w:pStyle w:val="BodyText"/>
              <w:spacing w:after="60"/>
              <w:rPr>
                <w:rFonts w:eastAsia="SimSun" w:cs="Arial"/>
                <w:sz w:val="18"/>
                <w:szCs w:val="18"/>
              </w:rPr>
            </w:pPr>
            <w:r>
              <w:rPr>
                <w:rFonts w:eastAsia="SimSun" w:cs="Arial"/>
                <w:sz w:val="18"/>
                <w:szCs w:val="18"/>
              </w:rPr>
              <w:t>Regarding Samsung’s questions, here is our understanding:</w:t>
            </w:r>
          </w:p>
          <w:p w14:paraId="594C5A50"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Q1: it may not be relevant.</w:t>
            </w:r>
          </w:p>
          <w:p w14:paraId="1F4FA730"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Q2: </w:t>
            </w:r>
            <w:r>
              <w:rPr>
                <w:rFonts w:eastAsia="SimSun" w:cs="Arial"/>
                <w:sz w:val="18"/>
                <w:szCs w:val="18"/>
              </w:rPr>
              <w:t xml:space="preserve">for multiple SPS PDSCH configurations as defined in Rel-16, the spec needs to be updated that the HARQ-ACK CB applies to </w:t>
            </w:r>
            <w:r w:rsidRPr="00380954">
              <w:rPr>
                <w:rFonts w:eastAsia="SimSun" w:cs="Arial"/>
                <w:sz w:val="18"/>
                <w:szCs w:val="18"/>
              </w:rPr>
              <w:t>SPS PDSCH except for the first PDSCH upon activation</w:t>
            </w:r>
          </w:p>
          <w:p w14:paraId="4E0B546D"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Q3: We do not see the issue for 321. </w:t>
            </w:r>
            <w:r w:rsidRPr="00380954">
              <w:rPr>
                <w:rFonts w:eastAsia="SimSun" w:cs="Arial"/>
                <w:sz w:val="18"/>
                <w:szCs w:val="18"/>
              </w:rPr>
              <w:t>The first PDSCH still follows certain parameters as in the SPS-PDSCH Configuration.</w:t>
            </w:r>
          </w:p>
          <w:p w14:paraId="508AF593" w14:textId="77777777" w:rsidR="00380954" w:rsidRP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 xml:space="preserve">Q4: </w:t>
            </w:r>
            <w:r w:rsidRPr="00380954">
              <w:rPr>
                <w:rFonts w:ascii="Arial" w:eastAsia="SimSun" w:hAnsi="Arial" w:cs="Arial"/>
                <w:sz w:val="18"/>
                <w:szCs w:val="18"/>
                <w:lang w:val="en-GB" w:eastAsia="zh-CN"/>
              </w:rPr>
              <w:t>No, the first PDSCH just follows the pseudocode for dynamic PDCCH.</w:t>
            </w:r>
          </w:p>
          <w:p w14:paraId="0B31F3FC" w14:textId="77777777" w:rsidR="00380954" w:rsidRP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 xml:space="preserve">Q5: </w:t>
            </w:r>
            <w:r w:rsidRPr="00380954">
              <w:rPr>
                <w:rFonts w:ascii="Arial" w:eastAsia="SimSun" w:hAnsi="Arial" w:cs="Arial"/>
                <w:sz w:val="18"/>
                <w:szCs w:val="18"/>
                <w:lang w:val="en-GB" w:eastAsia="zh-CN"/>
              </w:rPr>
              <w:t>No, the first PDSCH just follows the pseudocode for dynamic PDCCH.</w:t>
            </w:r>
          </w:p>
          <w:p w14:paraId="3BA5A27E"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Q6: the main critical point i</w:t>
            </w:r>
            <w:r w:rsidRPr="00380954">
              <w:rPr>
                <w:rFonts w:eastAsia="SimSun" w:cs="Arial"/>
                <w:sz w:val="18"/>
                <w:szCs w:val="18"/>
              </w:rPr>
              <w:t>s that for the HARQ-Ack in response to the first PDSCH, the PUCCH can be dynamically indicated in the activation DCI. For the subsequent PDSCHs, the PUCCH cannot be dynamically indicated/changed from that in the activation DCI.</w:t>
            </w:r>
          </w:p>
          <w:p w14:paraId="6D8E12B5"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Q7: same as Q6</w:t>
            </w:r>
          </w:p>
          <w:p w14:paraId="74771A7C" w14:textId="77777777" w:rsidR="00380954" w:rsidRP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 xml:space="preserve">Q8: </w:t>
            </w:r>
            <w:r w:rsidRPr="00380954">
              <w:rPr>
                <w:rFonts w:ascii="Arial" w:eastAsia="SimSun" w:hAnsi="Arial" w:cs="Arial"/>
                <w:sz w:val="18"/>
                <w:szCs w:val="18"/>
                <w:lang w:val="en-GB" w:eastAsia="zh-CN"/>
              </w:rPr>
              <w:t>At least resource assignment, MCS, etc., are indicated in activation DCI.</w:t>
            </w:r>
          </w:p>
          <w:p w14:paraId="08648F86" w14:textId="183FEED3" w:rsidR="00380954" w:rsidRDefault="00380954" w:rsidP="00380954">
            <w:pPr>
              <w:pStyle w:val="BodyText"/>
              <w:spacing w:after="60"/>
              <w:ind w:left="72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57790BE8" w14:textId="77777777" w:rsidR="00F37F5E" w:rsidRDefault="00F37F5E">
      <w:pPr>
        <w:pStyle w:val="BodyText"/>
        <w:rPr>
          <w:rFonts w:ascii="Times New Roman" w:eastAsia="SimSun" w:hAnsi="Times New Roman"/>
        </w:rPr>
      </w:pPr>
    </w:p>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39D3" w14:textId="77777777" w:rsidR="00DD2113" w:rsidRDefault="00DD2113">
      <w:pPr>
        <w:spacing w:after="0" w:line="240" w:lineRule="auto"/>
      </w:pPr>
      <w:r>
        <w:separator/>
      </w:r>
    </w:p>
  </w:endnote>
  <w:endnote w:type="continuationSeparator" w:id="0">
    <w:p w14:paraId="21304AA3" w14:textId="77777777" w:rsidR="00DD2113" w:rsidRDefault="00DD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EBC3" w14:textId="77777777" w:rsidR="00DD2113" w:rsidRDefault="00DD2113">
      <w:pPr>
        <w:spacing w:after="0" w:line="240" w:lineRule="auto"/>
      </w:pPr>
      <w:r>
        <w:separator/>
      </w:r>
    </w:p>
  </w:footnote>
  <w:footnote w:type="continuationSeparator" w:id="0">
    <w:p w14:paraId="01170CC9" w14:textId="77777777" w:rsidR="00DD2113" w:rsidRDefault="00DD2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hybridMultilevel"/>
    <w:tmpl w:val="762C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AAC"/>
    <w:rsid w:val="00972C4C"/>
    <w:rsid w:val="00973AF2"/>
    <w:rsid w:val="0097603D"/>
    <w:rsid w:val="00976949"/>
    <w:rsid w:val="009778FD"/>
    <w:rsid w:val="00980477"/>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319">
      <w:bodyDiv w:val="1"/>
      <w:marLeft w:val="0"/>
      <w:marRight w:val="0"/>
      <w:marTop w:val="0"/>
      <w:marBottom w:val="0"/>
      <w:divBdr>
        <w:top w:val="none" w:sz="0" w:space="0" w:color="auto"/>
        <w:left w:val="none" w:sz="0" w:space="0" w:color="auto"/>
        <w:bottom w:val="none" w:sz="0" w:space="0" w:color="auto"/>
        <w:right w:val="none" w:sz="0" w:space="0" w:color="auto"/>
      </w:divBdr>
    </w:div>
    <w:div w:id="1155759247">
      <w:bodyDiv w:val="1"/>
      <w:marLeft w:val="0"/>
      <w:marRight w:val="0"/>
      <w:marTop w:val="0"/>
      <w:marBottom w:val="0"/>
      <w:divBdr>
        <w:top w:val="none" w:sz="0" w:space="0" w:color="auto"/>
        <w:left w:val="none" w:sz="0" w:space="0" w:color="auto"/>
        <w:bottom w:val="none" w:sz="0" w:space="0" w:color="auto"/>
        <w:right w:val="none" w:sz="0" w:space="0" w:color="auto"/>
      </w:divBdr>
    </w:div>
    <w:div w:id="120848774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46</TotalTime>
  <Pages>9</Pages>
  <Words>4436</Words>
  <Characters>25288</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Xiong, Gang</cp:lastModifiedBy>
  <cp:revision>5</cp:revision>
  <cp:lastPrinted>2008-01-31T07:09:00Z</cp:lastPrinted>
  <dcterms:created xsi:type="dcterms:W3CDTF">2022-02-24T14:57:00Z</dcterms:created>
  <dcterms:modified xsi:type="dcterms:W3CDTF">2022-02-24T22:30:00Z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