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AF6422">
            <w:pPr>
              <w:pStyle w:val="BodyText"/>
              <w:spacing w:after="60"/>
              <w:rPr>
                <w:rFonts w:eastAsia="SimSun"/>
                <w:sz w:val="18"/>
                <w:szCs w:val="18"/>
              </w:rPr>
            </w:pPr>
            <w:hyperlink r:id="rId17" w:tgtFrame="_parent" w:history="1">
              <w:r w:rsidR="0074210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AF6422">
            <w:pPr>
              <w:pStyle w:val="BodyText"/>
              <w:spacing w:after="60"/>
              <w:rPr>
                <w:rFonts w:eastAsia="SimSun"/>
                <w:sz w:val="18"/>
                <w:szCs w:val="18"/>
              </w:rPr>
            </w:pPr>
            <w:hyperlink r:id="rId18" w:tgtFrame="_parent" w:history="1">
              <w:r w:rsidR="0074210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AF6422">
            <w:pPr>
              <w:pStyle w:val="BodyText"/>
              <w:spacing w:after="60"/>
              <w:rPr>
                <w:rFonts w:eastAsia="SimSun"/>
                <w:sz w:val="18"/>
                <w:szCs w:val="18"/>
              </w:rPr>
            </w:pPr>
            <w:hyperlink r:id="rId19" w:tgtFrame="_parent" w:history="1">
              <w:r w:rsidR="0074210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AF6422">
            <w:pPr>
              <w:pStyle w:val="BodyText"/>
              <w:spacing w:after="60"/>
              <w:rPr>
                <w:rFonts w:eastAsia="SimSun"/>
                <w:sz w:val="18"/>
                <w:szCs w:val="18"/>
              </w:rPr>
            </w:pPr>
            <w:hyperlink r:id="rId20" w:tgtFrame="_parent" w:history="1">
              <w:r w:rsidR="0074210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AF6422">
            <w:pPr>
              <w:pStyle w:val="BodyText"/>
              <w:spacing w:after="60"/>
              <w:rPr>
                <w:rFonts w:ascii="Calibri" w:hAnsi="Calibri" w:cs="Calibri"/>
                <w:color w:val="0563C1"/>
                <w:sz w:val="18"/>
                <w:szCs w:val="18"/>
                <w:u w:val="single"/>
              </w:rPr>
            </w:pPr>
            <w:hyperlink r:id="rId21" w:tgtFrame="_parent" w:history="1">
              <w:r w:rsidR="0074210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AF6422">
            <w:pPr>
              <w:pStyle w:val="BodyText"/>
              <w:spacing w:after="60"/>
              <w:rPr>
                <w:rFonts w:ascii="Calibri" w:hAnsi="Calibri" w:cs="Calibri"/>
                <w:color w:val="0563C1"/>
                <w:sz w:val="18"/>
                <w:szCs w:val="18"/>
                <w:u w:val="single"/>
              </w:rPr>
            </w:pPr>
            <w:hyperlink r:id="rId22" w:tgtFrame="_parent" w:history="1">
              <w:r w:rsidR="0074210D">
                <w:rPr>
                  <w:rStyle w:val="Hyperlink"/>
                  <w:rFonts w:ascii="Calibri" w:hAnsi="Calibri" w:cs="Calibri"/>
                  <w:sz w:val="18"/>
                  <w:szCs w:val="18"/>
                </w:rPr>
                <w:t>R1-2201027</w:t>
              </w:r>
            </w:hyperlink>
          </w:p>
          <w:p w14:paraId="2038CF41" w14:textId="77777777" w:rsidR="004B0F6E" w:rsidRDefault="00AF6422">
            <w:pPr>
              <w:pStyle w:val="BodyText"/>
              <w:spacing w:after="60"/>
              <w:rPr>
                <w:rFonts w:eastAsia="SimSun"/>
                <w:sz w:val="18"/>
                <w:szCs w:val="18"/>
              </w:rPr>
            </w:pPr>
            <w:hyperlink r:id="rId23" w:tgtFrame="_parent" w:history="1">
              <w:r w:rsidR="0074210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AF6422">
            <w:pPr>
              <w:pStyle w:val="BodyText"/>
              <w:spacing w:after="60"/>
              <w:rPr>
                <w:rFonts w:eastAsia="SimSun"/>
                <w:sz w:val="18"/>
                <w:szCs w:val="18"/>
              </w:rPr>
            </w:pPr>
            <w:hyperlink r:id="rId24" w:tgtFrame="_parent" w:history="1">
              <w:r w:rsidR="0074210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AF6422">
            <w:pPr>
              <w:pStyle w:val="BodyText"/>
              <w:spacing w:after="60"/>
              <w:rPr>
                <w:rFonts w:eastAsia="SimSun"/>
                <w:sz w:val="18"/>
                <w:szCs w:val="18"/>
              </w:rPr>
            </w:pPr>
            <w:hyperlink r:id="rId25" w:tgtFrame="_parent" w:history="1">
              <w:r w:rsidR="0074210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AF6422">
            <w:pPr>
              <w:pStyle w:val="TableofFigures"/>
              <w:tabs>
                <w:tab w:val="right" w:leader="dot" w:pos="9629"/>
              </w:tabs>
              <w:rPr>
                <w:rFonts w:asciiTheme="minorHAnsi" w:hAnsiTheme="minorHAnsi"/>
                <w:b w:val="0"/>
              </w:rPr>
            </w:pPr>
            <w:hyperlink r:id="rId27" w:anchor="_Toc95486079" w:history="1">
              <w:r w:rsidR="0074210D">
                <w:rPr>
                  <w:rStyle w:val="Hyperlink"/>
                </w:rPr>
                <w:t>Observation 2</w:t>
              </w:r>
              <w:r w:rsidR="0074210D">
                <w:rPr>
                  <w:rStyle w:val="Hyperlink"/>
                  <w:rFonts w:asciiTheme="minorHAnsi" w:hAnsiTheme="minorHAnsi"/>
                  <w:b w:val="0"/>
                </w:rPr>
                <w:tab/>
              </w:r>
              <w:r w:rsidR="0074210D">
                <w:rPr>
                  <w:rStyle w:val="Hyperlink"/>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0E42C5E9" w14:textId="5C2B8038" w:rsidR="004B0F6E" w:rsidRDefault="0074210D">
            <w:pPr>
              <w:pStyle w:val="BodyText"/>
              <w:spacing w:after="60"/>
              <w:rPr>
                <w:rFonts w:eastAsia="SimSun" w:cs="Arial"/>
                <w:sz w:val="18"/>
                <w:szCs w:val="18"/>
              </w:rPr>
            </w:pPr>
            <w:r>
              <w:rPr>
                <w:rFonts w:eastAsia="SimSun" w:cs="Arial"/>
                <w:sz w:val="18"/>
                <w:szCs w:val="18"/>
              </w:rPr>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w:t>
            </w:r>
            <w:r>
              <w:rPr>
                <w:rFonts w:eastAsia="SimSun" w:cs="Arial"/>
                <w:sz w:val="18"/>
                <w:szCs w:val="18"/>
              </w:rPr>
              <w:lastRenderedPageBreak/>
              <w:t xml:space="preserve">PDSCHs with respect to the corresponding HARQ-ACK, codebook construction and eventually PUCCH resource are treated the same (justifications available in our contribution). </w:t>
            </w: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Pr="00AF6422" w:rsidRDefault="0074210D">
                  <w:pPr>
                    <w:overflowPunct/>
                    <w:autoSpaceDE/>
                    <w:autoSpaceDN/>
                    <w:adjustRightInd/>
                    <w:textAlignment w:val="auto"/>
                    <w:rPr>
                      <w:rFonts w:eastAsia="Yu Mincho"/>
                      <w:sz w:val="16"/>
                      <w:szCs w:val="16"/>
                      <w:lang w:eastAsia="en-US"/>
                    </w:rPr>
                  </w:pPr>
                  <w:bookmarkStart w:id="7" w:name="_Hlk96452831"/>
                  <w:r w:rsidRPr="00AF6422">
                    <w:rPr>
                      <w:rFonts w:eastAsia="Yu Mincho"/>
                      <w:sz w:val="16"/>
                      <w:szCs w:val="16"/>
                      <w:lang w:eastAsia="en-US"/>
                    </w:rPr>
                    <w:t xml:space="preserve">For a PUCCH transmission with HARQ-ACK information, a UE determines a PUCCH resource after determining a set of PUCCH resources for </w:t>
                  </w:r>
                  <w:r w:rsidRPr="00AF6422">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7pt" o:ole="">
                        <v:imagedata r:id="rId28" o:title=""/>
                      </v:shape>
                      <o:OLEObject Type="Embed" ProgID="Equation.3" ShapeID="_x0000_i1025" DrawAspect="Content" ObjectID="_1707066779" r:id="rId29"/>
                    </w:object>
                  </w:r>
                  <w:r w:rsidRPr="00AF6422">
                    <w:rPr>
                      <w:rFonts w:eastAsia="Yu Mincho"/>
                      <w:sz w:val="16"/>
                      <w:szCs w:val="16"/>
                      <w:lang w:eastAsia="en-US"/>
                    </w:rPr>
                    <w:t xml:space="preserve"> HARQ-ACK information bits, as described in Clause 9.2.1. </w:t>
                  </w:r>
                  <w:r w:rsidRPr="00AF6422">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sidRPr="00AF6422">
                    <w:rPr>
                      <w:rFonts w:eastAsia="Yu Mincho"/>
                      <w:color w:val="FF0000"/>
                      <w:sz w:val="16"/>
                      <w:szCs w:val="16"/>
                      <w:lang w:eastAsia="en-US"/>
                    </w:rPr>
                    <w:t>HARQ_feedback</w:t>
                  </w:r>
                  <w:proofErr w:type="spellEnd"/>
                  <w:r w:rsidRPr="00AF6422">
                    <w:rPr>
                      <w:rFonts w:eastAsia="Yu Mincho"/>
                      <w:color w:val="FF0000"/>
                      <w:sz w:val="16"/>
                      <w:szCs w:val="16"/>
                      <w:lang w:eastAsia="en-US"/>
                    </w:rPr>
                    <w:t xml:space="preserve"> timing indicator field indicating a same slot for the PUCCH transmission</w:t>
                  </w:r>
                  <w:r w:rsidRPr="00AF6422">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t>
            </w:r>
            <w:r>
              <w:rPr>
                <w:rFonts w:ascii="Times New Roman" w:eastAsia="Malgun Gothic" w:hAnsi="Times New Roman"/>
                <w:lang w:eastAsia="ko-KR"/>
              </w:rPr>
              <w:lastRenderedPageBreak/>
              <w:t>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BodyText"/>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20A5C76B" w14:textId="77777777" w:rsidR="007B1D8E" w:rsidRDefault="007B1D8E" w:rsidP="007B1D8E">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12E01908" w14:textId="77777777" w:rsidR="007B1D8E" w:rsidRDefault="007B1D8E" w:rsidP="007B1D8E">
            <w:pPr>
              <w:pStyle w:val="BodyText"/>
              <w:spacing w:after="60"/>
              <w:jc w:val="left"/>
              <w:rPr>
                <w:rFonts w:eastAsia="SimSun" w:cs="Arial"/>
                <w:sz w:val="18"/>
                <w:szCs w:val="18"/>
              </w:rPr>
            </w:pPr>
          </w:p>
          <w:p w14:paraId="40844AE2" w14:textId="3A2D147C" w:rsidR="007B1D8E" w:rsidRDefault="007B1D8E" w:rsidP="007B1D8E">
            <w:pPr>
              <w:pStyle w:val="BodyText"/>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BodyText"/>
              <w:spacing w:after="60"/>
              <w:jc w:val="left"/>
              <w:rPr>
                <w:rFonts w:eastAsia="Malgun Gothic" w:cs="Arial"/>
                <w:sz w:val="18"/>
                <w:szCs w:val="18"/>
                <w:lang w:eastAsia="ko-KR"/>
              </w:rPr>
            </w:pPr>
          </w:p>
          <w:p w14:paraId="7EC807DA" w14:textId="4CEA032E" w:rsidR="004403D1" w:rsidRPr="004403D1"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3D134405" w14:textId="02DE2AE5" w:rsidR="00513D4F" w:rsidRDefault="00513D4F" w:rsidP="00513D4F">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sidRPr="00E254EE">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BodyText"/>
              <w:spacing w:after="60"/>
              <w:jc w:val="left"/>
              <w:rPr>
                <w:rFonts w:eastAsia="SimSun" w:cs="Arial"/>
                <w:sz w:val="18"/>
                <w:szCs w:val="18"/>
              </w:rPr>
            </w:pPr>
            <w:r>
              <w:rPr>
                <w:rFonts w:eastAsia="SimSun" w:cs="Arial" w:hint="eastAsia"/>
                <w:sz w:val="18"/>
                <w:szCs w:val="18"/>
              </w:rPr>
              <w:t>We are fine with the two-step approach.</w:t>
            </w:r>
          </w:p>
          <w:p w14:paraId="7527A867" w14:textId="6BAA516A" w:rsidR="00C005B8" w:rsidRDefault="00C005B8">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2DF903F8" w14:textId="75AC58CA" w:rsidR="00AB5A91" w:rsidRDefault="00AB5A91" w:rsidP="00AB5A91">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AF6422" w14:paraId="039DF6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D2A7354" w14:textId="40BB6311" w:rsidR="00AF6422" w:rsidRDefault="00AF6422" w:rsidP="00AB5A91">
            <w:pPr>
              <w:pStyle w:val="BodyText"/>
              <w:spacing w:after="60"/>
              <w:rPr>
                <w:rFonts w:eastAsia="Yu Mincho" w:cs="Arial" w:hint="eastAsia"/>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C1869" w14:textId="0181B4B6" w:rsid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40973375" w14:textId="7A95D276" w:rsidR="00AF6422" w:rsidRPr="00AF6422" w:rsidRDefault="00AF6422" w:rsidP="00AB5A91">
            <w:pPr>
              <w:pStyle w:val="BodyText"/>
              <w:spacing w:after="60"/>
              <w:jc w:val="left"/>
              <w:rPr>
                <w:rFonts w:eastAsia="Yu Mincho" w:cs="Arial" w:hint="eastAsia"/>
                <w:sz w:val="18"/>
                <w:szCs w:val="18"/>
                <w:lang w:eastAsia="ja-JP"/>
              </w:rPr>
            </w:pPr>
            <w:r>
              <w:rPr>
                <w:rFonts w:eastAsia="Yu Mincho" w:cs="Arial"/>
                <w:sz w:val="18"/>
                <w:szCs w:val="18"/>
                <w:lang w:eastAsia="ja-JP"/>
              </w:rPr>
              <w:t xml:space="preserve">@NTT DOCOMO, the specification text you quote (from the Qualcomm </w:t>
            </w:r>
            <w:proofErr w:type="spellStart"/>
            <w:r>
              <w:rPr>
                <w:rFonts w:eastAsia="Yu Mincho" w:cs="Arial"/>
                <w:sz w:val="18"/>
                <w:szCs w:val="18"/>
                <w:lang w:eastAsia="ja-JP"/>
              </w:rPr>
              <w:t>Tdoc</w:t>
            </w:r>
            <w:proofErr w:type="spellEnd"/>
            <w:r>
              <w:rPr>
                <w:rFonts w:eastAsia="Yu Mincho" w:cs="Arial"/>
                <w:sz w:val="18"/>
                <w:szCs w:val="18"/>
                <w:lang w:eastAsia="ja-JP"/>
              </w:rPr>
              <w:t xml:space="preserve">?) leads to interpretation 2 </w:t>
            </w:r>
            <w:r>
              <w:rPr>
                <w:rFonts w:eastAsia="Yu Mincho" w:cs="Arial"/>
                <w:sz w:val="18"/>
                <w:szCs w:val="18"/>
                <w:u w:val="single"/>
                <w:lang w:eastAsia="ja-JP"/>
              </w:rPr>
              <w:t>only if you assume that the 1</w:t>
            </w:r>
            <w:r w:rsidRPr="00AF6422">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bl>
    <w:p w14:paraId="45C51B9D" w14:textId="5EE754BA"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4E34231C" w14:textId="77777777" w:rsidR="004B0F6E" w:rsidRDefault="004B0F6E">
      <w:pPr>
        <w:pStyle w:val="BodyText"/>
        <w:spacing w:after="60"/>
        <w:rPr>
          <w:rFonts w:ascii="Times New Roman" w:eastAsia="SimSun"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D884C" w14:textId="77777777" w:rsidR="00820C9C" w:rsidRDefault="00820C9C">
      <w:pPr>
        <w:spacing w:after="0" w:line="240" w:lineRule="auto"/>
      </w:pPr>
      <w:r>
        <w:separator/>
      </w:r>
    </w:p>
  </w:endnote>
  <w:endnote w:type="continuationSeparator" w:id="0">
    <w:p w14:paraId="41210BD8" w14:textId="77777777" w:rsidR="00820C9C" w:rsidRDefault="0082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C9FD" w14:textId="77777777"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5B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5B8">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07A17" w14:textId="77777777" w:rsidR="00820C9C" w:rsidRDefault="00820C9C">
      <w:pPr>
        <w:spacing w:after="0" w:line="240" w:lineRule="auto"/>
      </w:pPr>
      <w:r>
        <w:separator/>
      </w:r>
    </w:p>
  </w:footnote>
  <w:footnote w:type="continuationSeparator" w:id="0">
    <w:p w14:paraId="49861785" w14:textId="77777777" w:rsidR="00820C9C" w:rsidRDefault="0082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3B8B0A-B8D0-4728-B5C6-45425515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TotalTime>
  <Pages>4</Pages>
  <Words>2063</Words>
  <Characters>11763</Characters>
  <Application>Microsoft Office Word</Application>
  <DocSecurity>0</DocSecurity>
  <Lines>98</Lines>
  <Paragraphs>27</Paragraphs>
  <ScaleCrop>false</ScaleCrop>
  <Company>Ericsson</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2</cp:revision>
  <cp:lastPrinted>2008-01-31T07:09:00Z</cp:lastPrinted>
  <dcterms:created xsi:type="dcterms:W3CDTF">2022-02-22T18:11:00Z</dcterms:created>
  <dcterms:modified xsi:type="dcterms:W3CDTF">2022-02-22T18:11:00Z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