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030B9" w14:textId="77777777" w:rsidR="004B0F6E" w:rsidRDefault="0074210D">
      <w:pPr>
        <w:pStyle w:val="ae"/>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ae"/>
        <w:rPr>
          <w:bCs/>
          <w:sz w:val="24"/>
          <w:szCs w:val="24"/>
        </w:rPr>
      </w:pPr>
      <w:r>
        <w:rPr>
          <w:bCs/>
          <w:sz w:val="24"/>
          <w:szCs w:val="24"/>
        </w:rPr>
        <w:t>e-Meeting, February 21 – March 3, 2022</w:t>
      </w:r>
    </w:p>
    <w:p w14:paraId="5B5D59B4" w14:textId="77777777" w:rsidR="004B0F6E" w:rsidRDefault="004B0F6E">
      <w:pPr>
        <w:pStyle w:val="ae"/>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9"/>
            <w:bCs/>
            <w:highlight w:val="cyan"/>
            <w:lang w:eastAsia="zh-CN"/>
          </w:rPr>
          <w:t>R1-2201027</w:t>
        </w:r>
      </w:hyperlink>
      <w:r>
        <w:rPr>
          <w:bCs/>
          <w:highlight w:val="cyan"/>
          <w:lang w:eastAsia="zh-CN"/>
        </w:rPr>
        <w:t xml:space="preserve">, </w:t>
      </w:r>
      <w:hyperlink r:id="rId13" w:history="1">
        <w:r>
          <w:rPr>
            <w:rStyle w:val="af9"/>
            <w:bCs/>
            <w:highlight w:val="cyan"/>
            <w:lang w:eastAsia="zh-CN"/>
          </w:rPr>
          <w:t>R1-2201028</w:t>
        </w:r>
      </w:hyperlink>
      <w:r>
        <w:rPr>
          <w:bCs/>
          <w:highlight w:val="cyan"/>
          <w:lang w:eastAsia="zh-CN"/>
        </w:rPr>
        <w:t xml:space="preserve">, </w:t>
      </w:r>
      <w:hyperlink r:id="rId14" w:history="1">
        <w:r>
          <w:rPr>
            <w:rStyle w:val="af9"/>
            <w:bCs/>
            <w:highlight w:val="cyan"/>
            <w:lang w:eastAsia="zh-CN"/>
          </w:rPr>
          <w:t>R1-2201385</w:t>
        </w:r>
      </w:hyperlink>
      <w:r>
        <w:rPr>
          <w:bCs/>
          <w:highlight w:val="cyan"/>
          <w:lang w:eastAsia="zh-CN"/>
        </w:rPr>
        <w:t xml:space="preserve">, </w:t>
      </w:r>
      <w:hyperlink r:id="rId15" w:history="1">
        <w:r>
          <w:rPr>
            <w:rStyle w:val="af9"/>
            <w:bCs/>
            <w:highlight w:val="cyan"/>
            <w:lang w:eastAsia="zh-CN"/>
          </w:rPr>
          <w:t>R1-2202116</w:t>
        </w:r>
      </w:hyperlink>
      <w:r>
        <w:rPr>
          <w:bCs/>
          <w:highlight w:val="cyan"/>
          <w:lang w:eastAsia="zh-CN"/>
        </w:rPr>
        <w:t>,</w:t>
      </w:r>
      <w:r>
        <w:rPr>
          <w:highlight w:val="cyan"/>
          <w:lang w:eastAsia="zh-CN"/>
        </w:rPr>
        <w:t xml:space="preserve"> </w:t>
      </w:r>
      <w:hyperlink r:id="rId16" w:history="1">
        <w:r>
          <w:rPr>
            <w:rStyle w:val="af9"/>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9B2F50">
            <w:pPr>
              <w:pStyle w:val="a6"/>
              <w:spacing w:after="60"/>
              <w:rPr>
                <w:rFonts w:eastAsia="SimSun"/>
                <w:sz w:val="18"/>
                <w:szCs w:val="18"/>
              </w:rPr>
            </w:pPr>
            <w:hyperlink r:id="rId17" w:tgtFrame="_parent" w:history="1">
              <w:r w:rsidR="0074210D">
                <w:rPr>
                  <w:rStyle w:val="af9"/>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a6"/>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9B2F50">
            <w:pPr>
              <w:pStyle w:val="a6"/>
              <w:spacing w:after="60"/>
              <w:rPr>
                <w:rFonts w:eastAsia="SimSun"/>
                <w:sz w:val="18"/>
                <w:szCs w:val="18"/>
              </w:rPr>
            </w:pPr>
            <w:hyperlink r:id="rId18" w:tgtFrame="_parent" w:history="1">
              <w:r w:rsidR="0074210D">
                <w:rPr>
                  <w:rStyle w:val="af9"/>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a6"/>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9B2F50">
            <w:pPr>
              <w:pStyle w:val="a6"/>
              <w:spacing w:after="60"/>
              <w:rPr>
                <w:rFonts w:eastAsia="SimSun"/>
                <w:sz w:val="18"/>
                <w:szCs w:val="18"/>
              </w:rPr>
            </w:pPr>
            <w:hyperlink r:id="rId19" w:tgtFrame="_parent" w:history="1">
              <w:r w:rsidR="0074210D">
                <w:rPr>
                  <w:rStyle w:val="af9"/>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a6"/>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9B2F50">
            <w:pPr>
              <w:pStyle w:val="a6"/>
              <w:spacing w:after="60"/>
              <w:rPr>
                <w:rFonts w:eastAsia="SimSun"/>
                <w:sz w:val="18"/>
                <w:szCs w:val="18"/>
              </w:rPr>
            </w:pPr>
            <w:hyperlink r:id="rId20" w:tgtFrame="_parent" w:history="1">
              <w:r w:rsidR="0074210D">
                <w:rPr>
                  <w:rStyle w:val="af9"/>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a6"/>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9B2F50">
            <w:pPr>
              <w:pStyle w:val="a6"/>
              <w:spacing w:after="60"/>
              <w:rPr>
                <w:rFonts w:ascii="Calibri" w:hAnsi="Calibri" w:cs="Calibri"/>
                <w:color w:val="0563C1"/>
                <w:sz w:val="18"/>
                <w:szCs w:val="18"/>
                <w:u w:val="single"/>
              </w:rPr>
            </w:pPr>
            <w:hyperlink r:id="rId21" w:tgtFrame="_parent" w:history="1">
              <w:r w:rsidR="0074210D">
                <w:rPr>
                  <w:rStyle w:val="af9"/>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a6"/>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1"/>
        <w:rPr>
          <w:rStyle w:val="1Char"/>
        </w:rPr>
      </w:pPr>
      <w:bookmarkStart w:id="4" w:name="_Toc68698317"/>
      <w:r>
        <w:rPr>
          <w:rStyle w:val="1Char"/>
        </w:rPr>
        <w:t>2</w:t>
      </w:r>
      <w:r>
        <w:rPr>
          <w:rStyle w:val="1Char"/>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9B2F50">
            <w:pPr>
              <w:pStyle w:val="a6"/>
              <w:spacing w:after="60"/>
              <w:rPr>
                <w:rFonts w:ascii="Calibri" w:hAnsi="Calibri" w:cs="Calibri"/>
                <w:color w:val="0563C1"/>
                <w:sz w:val="18"/>
                <w:szCs w:val="18"/>
                <w:u w:val="single"/>
              </w:rPr>
            </w:pPr>
            <w:hyperlink r:id="rId22" w:tgtFrame="_parent" w:history="1">
              <w:r w:rsidR="0074210D">
                <w:rPr>
                  <w:rStyle w:val="af9"/>
                  <w:rFonts w:ascii="Calibri" w:hAnsi="Calibri" w:cs="Calibri"/>
                  <w:sz w:val="18"/>
                  <w:szCs w:val="18"/>
                </w:rPr>
                <w:t>R1-2201027</w:t>
              </w:r>
            </w:hyperlink>
          </w:p>
          <w:p w14:paraId="2038CF41" w14:textId="77777777" w:rsidR="004B0F6E" w:rsidRDefault="009B2F50">
            <w:pPr>
              <w:pStyle w:val="a6"/>
              <w:spacing w:after="60"/>
              <w:rPr>
                <w:rFonts w:eastAsia="SimSun"/>
                <w:sz w:val="18"/>
                <w:szCs w:val="18"/>
              </w:rPr>
            </w:pPr>
            <w:hyperlink r:id="rId23" w:tgtFrame="_parent" w:history="1">
              <w:r w:rsidR="0074210D">
                <w:rPr>
                  <w:rStyle w:val="af9"/>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9B2F50">
            <w:pPr>
              <w:pStyle w:val="a6"/>
              <w:spacing w:after="60"/>
              <w:rPr>
                <w:rFonts w:eastAsia="SimSun"/>
                <w:sz w:val="18"/>
                <w:szCs w:val="18"/>
              </w:rPr>
            </w:pPr>
            <w:hyperlink r:id="rId24" w:tgtFrame="_parent" w:history="1">
              <w:r w:rsidR="0074210D">
                <w:rPr>
                  <w:rStyle w:val="af9"/>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9B2F50">
            <w:pPr>
              <w:pStyle w:val="a6"/>
              <w:spacing w:after="60"/>
              <w:rPr>
                <w:rFonts w:eastAsia="SimSun"/>
                <w:sz w:val="18"/>
                <w:szCs w:val="18"/>
              </w:rPr>
            </w:pPr>
            <w:hyperlink r:id="rId25" w:tgtFrame="_parent" w:history="1">
              <w:r w:rsidR="0074210D">
                <w:rPr>
                  <w:rStyle w:val="af9"/>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afc"/>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9"/>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af1"/>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9"/>
                </w:rPr>
                <w:t>Observation 1</w:t>
              </w:r>
              <w:r>
                <w:rPr>
                  <w:rStyle w:val="af9"/>
                  <w:rFonts w:asciiTheme="minorHAnsi" w:hAnsiTheme="minorHAnsi"/>
                  <w:b w:val="0"/>
                </w:rPr>
                <w:tab/>
              </w:r>
              <w:r>
                <w:rPr>
                  <w:rStyle w:val="af9"/>
                  <w:b w:val="0"/>
                  <w:bCs/>
                </w:rPr>
                <w:t>For HARQ-ACK codebook construction and PUCCH resource determination of Case (A), there is no differentiation of first SPS PDSCH after activation DCI and subsequent SPS PDSCH</w:t>
              </w:r>
              <w:r>
                <w:rPr>
                  <w:rStyle w:val="af9"/>
                </w:rPr>
                <w:t>.</w:t>
              </w:r>
            </w:hyperlink>
          </w:p>
          <w:p w14:paraId="03412BCC" w14:textId="77777777" w:rsidR="004B0F6E" w:rsidRDefault="009B2F50">
            <w:pPr>
              <w:pStyle w:val="af1"/>
              <w:tabs>
                <w:tab w:val="right" w:leader="dot" w:pos="9629"/>
              </w:tabs>
              <w:rPr>
                <w:rFonts w:asciiTheme="minorHAnsi" w:hAnsiTheme="minorHAnsi"/>
                <w:b w:val="0"/>
              </w:rPr>
            </w:pPr>
            <w:hyperlink r:id="rId27" w:anchor="_Toc95486079" w:history="1">
              <w:r w:rsidR="0074210D">
                <w:rPr>
                  <w:rStyle w:val="af9"/>
                </w:rPr>
                <w:t>Observation 2</w:t>
              </w:r>
              <w:r w:rsidR="0074210D">
                <w:rPr>
                  <w:rStyle w:val="af9"/>
                  <w:rFonts w:asciiTheme="minorHAnsi" w:hAnsiTheme="minorHAnsi"/>
                  <w:b w:val="0"/>
                </w:rPr>
                <w:tab/>
              </w:r>
              <w:r w:rsidR="0074210D">
                <w:rPr>
                  <w:rStyle w:val="af9"/>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a6"/>
            </w:pPr>
            <w:r>
              <w:rPr>
                <w:b/>
                <w:bCs/>
              </w:rPr>
              <w:fldChar w:fldCharType="end"/>
            </w:r>
            <w:r>
              <w:t>Correspondingly, we propose that RAN1 endorses the following conclusion for avoid future confusion.</w:t>
            </w:r>
          </w:p>
          <w:p w14:paraId="28870333" w14:textId="77777777" w:rsidR="004B0F6E" w:rsidRDefault="0074210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1"/>
        <w:rPr>
          <w:rStyle w:val="1Char"/>
        </w:rPr>
      </w:pPr>
      <w:r>
        <w:rPr>
          <w:rStyle w:val="1Char"/>
        </w:rPr>
        <w:t>3</w:t>
      </w:r>
      <w:r>
        <w:rPr>
          <w:rStyle w:val="1Char"/>
        </w:rPr>
        <w:tab/>
        <w:t>Discussion</w:t>
      </w:r>
    </w:p>
    <w:p w14:paraId="1A11C55F" w14:textId="77777777" w:rsidR="004B0F6E" w:rsidRDefault="0074210D">
      <w:pPr>
        <w:pStyle w:val="1"/>
        <w:rPr>
          <w:rStyle w:val="1Char"/>
        </w:rPr>
      </w:pPr>
      <w:r>
        <w:rPr>
          <w:rStyle w:val="1Char"/>
        </w:rPr>
        <w:t>3.1</w:t>
      </w:r>
      <w:r>
        <w:rPr>
          <w:rStyle w:val="1Char"/>
        </w:rPr>
        <w:tab/>
        <w:t>Round 1</w:t>
      </w:r>
    </w:p>
    <w:p w14:paraId="36CD7B25" w14:textId="77777777" w:rsidR="004B0F6E" w:rsidRDefault="0074210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03FA05AC" w14:textId="77777777" w:rsidR="004B0F6E" w:rsidRDefault="0074210D">
      <w:pPr>
        <w:pStyle w:val="afc"/>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afc"/>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afc"/>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afc"/>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afc"/>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afc"/>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7" w:name="_GoBack"/>
            <w:r>
              <w:rPr>
                <w:rFonts w:ascii="Arial" w:eastAsia="Times New Roman" w:hAnsi="Arial" w:cs="Arial"/>
                <w:b/>
                <w:bCs/>
                <w:color w:val="FFFFFF"/>
                <w:sz w:val="18"/>
                <w:szCs w:val="18"/>
                <w:lang w:val="en-US" w:eastAsia="en-US"/>
              </w:rPr>
              <w:t>Company</w:t>
            </w:r>
            <w:bookmarkEnd w:id="7"/>
            <w:r>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a6"/>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a6"/>
              <w:spacing w:after="60"/>
              <w:rPr>
                <w:rFonts w:eastAsia="SimSun" w:cs="Arial"/>
                <w:sz w:val="18"/>
                <w:szCs w:val="18"/>
              </w:rPr>
            </w:pPr>
          </w:p>
          <w:p w14:paraId="692D69DA" w14:textId="77777777" w:rsidR="004B0F6E" w:rsidRDefault="0074210D">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p w14:paraId="0E42C5E9" w14:textId="77777777" w:rsidR="004B0F6E" w:rsidRDefault="004B0F6E">
            <w:pPr>
              <w:pStyle w:val="a6"/>
              <w:spacing w:after="60"/>
              <w:rPr>
                <w:rFonts w:eastAsia="SimSun"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408E38E1"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1954ABAE"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4"/>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Yu Mincho"/>
                      <w:sz w:val="16"/>
                      <w:szCs w:val="16"/>
                      <w:lang w:val="de-DE" w:eastAsia="en-US"/>
                    </w:rPr>
                  </w:pPr>
                  <w:r>
                    <w:rPr>
                      <w:rFonts w:eastAsia="Yu Mincho"/>
                      <w:sz w:val="16"/>
                      <w:szCs w:val="16"/>
                      <w:lang w:val="en-US"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65pt" o:ole="">
                        <v:imagedata r:id="rId28" o:title=""/>
                      </v:shape>
                      <o:OLEObject Type="Embed" ProgID="Equation.3" ShapeID="_x0000_i1025" DrawAspect="Content" ObjectID="_1707047725" r:id="rId29"/>
                    </w:object>
                  </w:r>
                  <w:r>
                    <w:rPr>
                      <w:rFonts w:eastAsia="Yu Mincho"/>
                      <w:sz w:val="16"/>
                      <w:szCs w:val="16"/>
                      <w:lang w:val="de-DE" w:eastAsia="en-US"/>
                    </w:rPr>
                    <w:t xml:space="preserve"> HARQ-ACK information bits</w:t>
                  </w:r>
                  <w:r>
                    <w:rPr>
                      <w:rFonts w:eastAsia="Yu Mincho"/>
                      <w:sz w:val="16"/>
                      <w:szCs w:val="16"/>
                      <w:lang w:val="en-US" w:eastAsia="en-US"/>
                    </w:rPr>
                    <w:t xml:space="preserve">, as described in Clause 9.2.1. </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val="de-DE"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376F1F01" w14:textId="77777777" w:rsidR="004B0F6E" w:rsidRDefault="004B0F6E">
            <w:pPr>
              <w:pStyle w:val="a6"/>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a6"/>
              <w:spacing w:after="60"/>
              <w:rPr>
                <w:rFonts w:eastAsia="맑은 고딕" w:cs="Arial"/>
                <w:sz w:val="18"/>
                <w:szCs w:val="18"/>
                <w:lang w:eastAsia="ko-KR"/>
              </w:rPr>
            </w:pPr>
            <w:r>
              <w:rPr>
                <w:rFonts w:eastAsia="맑은 고딕"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a6"/>
              <w:spacing w:after="0"/>
              <w:rPr>
                <w:rFonts w:ascii="Times New Roman" w:eastAsia="맑은 고딕" w:hAnsi="Times New Roman"/>
                <w:szCs w:val="18"/>
                <w:lang w:eastAsia="ko-KR"/>
              </w:rPr>
            </w:pPr>
            <w:r>
              <w:rPr>
                <w:rFonts w:ascii="Times New Roman" w:eastAsia="맑은 고딕" w:hAnsi="Times New Roman"/>
                <w:szCs w:val="18"/>
                <w:lang w:eastAsia="ko-KR"/>
              </w:rPr>
              <w:t xml:space="preserve">We are OK with the two-step approach.  </w:t>
            </w:r>
          </w:p>
          <w:p w14:paraId="0D4EB48F" w14:textId="77777777" w:rsidR="004B0F6E" w:rsidRDefault="004B0F6E">
            <w:pPr>
              <w:pStyle w:val="a6"/>
              <w:spacing w:after="0"/>
              <w:rPr>
                <w:rFonts w:eastAsia="맑은 고딕" w:cs="Arial"/>
                <w:sz w:val="18"/>
                <w:szCs w:val="18"/>
                <w:lang w:eastAsia="ko-KR"/>
              </w:rPr>
            </w:pPr>
          </w:p>
          <w:p w14:paraId="1F71928A" w14:textId="77777777" w:rsidR="004B0F6E" w:rsidRDefault="0074210D">
            <w:pPr>
              <w:spacing w:after="0"/>
              <w:jc w:val="both"/>
            </w:pPr>
            <w:r>
              <w:rPr>
                <w:rFonts w:eastAsia="맑은 고딕"/>
                <w:lang w:eastAsia="ko-KR"/>
              </w:rPr>
              <w:t xml:space="preserve">When </w:t>
            </w:r>
            <w:r>
              <w:rPr>
                <w:rFonts w:eastAsia="맑은 고딕"/>
                <w:i/>
                <w:lang w:eastAsia="ko-KR"/>
              </w:rPr>
              <w:t>SPS-PUCCH-AN-List</w:t>
            </w:r>
            <w:r>
              <w:rPr>
                <w:rFonts w:eastAsia="맑은 고딕"/>
                <w:lang w:eastAsia="ko-KR"/>
              </w:rPr>
              <w:t xml:space="preserve"> is provided, clause 9.2.1 of 38.213 is clear and interpretation 1 applies – e.g. “</w:t>
            </w:r>
            <w:r>
              <w:rPr>
                <w:highlight w:val="yellow"/>
              </w:rPr>
              <w:t xml:space="preserve">If the UE is provided </w:t>
            </w:r>
            <w:r>
              <w:rPr>
                <w:rFonts w:eastAsia="굴림"/>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a6"/>
              <w:spacing w:after="0"/>
              <w:rPr>
                <w:rFonts w:ascii="Times New Roman" w:eastAsia="맑은 고딕" w:hAnsi="Times New Roman"/>
                <w:lang w:eastAsia="ko-KR"/>
              </w:rPr>
            </w:pPr>
          </w:p>
          <w:p w14:paraId="64ED2B52" w14:textId="77777777" w:rsidR="004B0F6E" w:rsidRDefault="0074210D">
            <w:pPr>
              <w:jc w:val="both"/>
            </w:pPr>
            <w:r>
              <w:rPr>
                <w:rFonts w:eastAsia="맑은 고딕"/>
                <w:lang w:eastAsia="ko-KR"/>
              </w:rPr>
              <w:t xml:space="preserve">When </w:t>
            </w:r>
            <w:r>
              <w:rPr>
                <w:rFonts w:eastAsia="맑은 고딕"/>
                <w:i/>
                <w:lang w:eastAsia="ko-KR"/>
              </w:rPr>
              <w:t>SPS-PUCCH-AN-List</w:t>
            </w:r>
            <w:r>
              <w:rPr>
                <w:rFonts w:eastAsia="맑은 고딕"/>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굴림"/>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a6"/>
              <w:spacing w:after="0"/>
              <w:rPr>
                <w:rFonts w:ascii="Times New Roman" w:hAnsi="Times New Roman"/>
              </w:rPr>
            </w:pPr>
            <w:r>
              <w:rPr>
                <w:rFonts w:ascii="Times New Roman" w:eastAsia="맑은 고딕"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a6"/>
              <w:spacing w:after="0"/>
              <w:rPr>
                <w:rFonts w:ascii="Times New Roman" w:eastAsia="맑은 고딕"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맑은 고딕" w:hAnsi="Times New Roman"/>
                <w:lang w:eastAsia="ko-KR"/>
              </w:rPr>
              <w:t xml:space="preserve"> </w:t>
            </w:r>
          </w:p>
          <w:p w14:paraId="4B27BAA9" w14:textId="77777777" w:rsidR="004B0F6E" w:rsidRDefault="004B0F6E">
            <w:pPr>
              <w:pStyle w:val="a6"/>
              <w:spacing w:after="0"/>
              <w:rPr>
                <w:rFonts w:ascii="Times New Roman" w:eastAsia="맑은 고딕" w:hAnsi="Times New Roman"/>
                <w:lang w:eastAsia="ko-KR"/>
              </w:rPr>
            </w:pPr>
          </w:p>
          <w:p w14:paraId="4E30CBAC" w14:textId="77777777" w:rsidR="004B0F6E" w:rsidRDefault="0074210D">
            <w:pPr>
              <w:pStyle w:val="a6"/>
              <w:spacing w:after="60"/>
              <w:rPr>
                <w:rFonts w:eastAsia="SimSun" w:cs="Arial"/>
                <w:sz w:val="18"/>
                <w:szCs w:val="18"/>
              </w:rPr>
            </w:pPr>
            <w:r>
              <w:rPr>
                <w:rFonts w:ascii="Times New Roman" w:eastAsia="맑은 고딕"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맑은 고딕"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맑은 고딕"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a6"/>
              <w:spacing w:after="60"/>
              <w:rPr>
                <w:rFonts w:ascii="Times New Roman" w:eastAsia="SimSun" w:hAnsi="Times New Roman"/>
                <w:lang w:val="en-US"/>
              </w:rPr>
            </w:pPr>
          </w:p>
          <w:p w14:paraId="36047206" w14:textId="77777777" w:rsidR="004B0F6E" w:rsidRDefault="0074210D">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a6"/>
              <w:spacing w:after="60"/>
              <w:rPr>
                <w:rFonts w:ascii="Times New Roman" w:eastAsia="SimSun" w:hAnsi="Times New Roman"/>
                <w:lang w:val="en-US"/>
              </w:rPr>
            </w:pPr>
          </w:p>
          <w:p w14:paraId="351D8290" w14:textId="77777777" w:rsidR="004B0F6E" w:rsidRDefault="0074210D">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a6"/>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맑은 고딕"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a6"/>
              <w:spacing w:after="60"/>
              <w:rPr>
                <w:rFonts w:ascii="Times New Roman" w:eastAsia="SimSun" w:hAnsi="Times New Roman"/>
                <w:lang w:val="en-US"/>
              </w:rPr>
            </w:pPr>
          </w:p>
          <w:p w14:paraId="3A105AE5" w14:textId="2CA941A0" w:rsidR="005C003D" w:rsidRPr="00D766C2" w:rsidRDefault="005C003D" w:rsidP="005C003D">
            <w:pPr>
              <w:pStyle w:val="a6"/>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a6"/>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a6"/>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20A5C76B" w14:textId="77777777" w:rsidR="007B1D8E" w:rsidRDefault="007B1D8E" w:rsidP="007B1D8E">
            <w:pPr>
              <w:pStyle w:val="a6"/>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12E01908" w14:textId="77777777" w:rsidR="007B1D8E" w:rsidRDefault="007B1D8E" w:rsidP="007B1D8E">
            <w:pPr>
              <w:pStyle w:val="a6"/>
              <w:spacing w:after="60"/>
              <w:jc w:val="left"/>
              <w:rPr>
                <w:rFonts w:eastAsia="SimSun" w:cs="Arial"/>
                <w:sz w:val="18"/>
                <w:szCs w:val="18"/>
              </w:rPr>
            </w:pPr>
          </w:p>
          <w:p w14:paraId="40844AE2" w14:textId="3A2D147C" w:rsidR="007B1D8E" w:rsidRDefault="007B1D8E" w:rsidP="007B1D8E">
            <w:pPr>
              <w:pStyle w:val="a6"/>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a6"/>
              <w:spacing w:after="60"/>
              <w:rPr>
                <w:rFonts w:eastAsia="맑은 고딕" w:cs="Arial" w:hint="eastAsia"/>
                <w:sz w:val="18"/>
                <w:szCs w:val="18"/>
                <w:lang w:eastAsia="ko-KR"/>
              </w:rPr>
            </w:pPr>
            <w:r>
              <w:rPr>
                <w:rFonts w:eastAsia="맑은 고딕" w:cs="Arial" w:hint="eastAsia"/>
                <w:sz w:val="18"/>
                <w:szCs w:val="18"/>
                <w:lang w:eastAsia="ko-KR"/>
              </w:rPr>
              <w:t>L</w:t>
            </w:r>
            <w:r>
              <w:rPr>
                <w:rFonts w:eastAsia="맑은 고딕"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a6"/>
              <w:spacing w:after="60"/>
              <w:jc w:val="left"/>
              <w:rPr>
                <w:rFonts w:eastAsia="맑은 고딕" w:cs="Arial"/>
                <w:sz w:val="18"/>
                <w:szCs w:val="18"/>
                <w:lang w:eastAsia="ko-KR"/>
              </w:rPr>
            </w:pPr>
            <w:r>
              <w:rPr>
                <w:rFonts w:eastAsia="맑은 고딕" w:cs="Arial"/>
                <w:sz w:val="18"/>
                <w:szCs w:val="18"/>
                <w:lang w:eastAsia="ko-KR"/>
              </w:rPr>
              <w:t>W</w:t>
            </w:r>
            <w:r>
              <w:rPr>
                <w:rFonts w:eastAsia="맑은 고딕" w:cs="Arial" w:hint="eastAsia"/>
                <w:sz w:val="18"/>
                <w:szCs w:val="18"/>
                <w:lang w:eastAsia="ko-KR"/>
              </w:rPr>
              <w:t xml:space="preserve">e </w:t>
            </w:r>
            <w:r>
              <w:rPr>
                <w:rFonts w:eastAsia="맑은 고딕" w:cs="Arial"/>
                <w:sz w:val="18"/>
                <w:szCs w:val="18"/>
                <w:lang w:eastAsia="ko-KR"/>
              </w:rPr>
              <w:t>are also fine with the two-step approach. For Step 1, our understanding is also Interpretation 2.</w:t>
            </w:r>
          </w:p>
          <w:p w14:paraId="42894DBD" w14:textId="77777777" w:rsidR="004403D1" w:rsidRDefault="004403D1" w:rsidP="004403D1">
            <w:pPr>
              <w:pStyle w:val="a6"/>
              <w:spacing w:after="60"/>
              <w:jc w:val="left"/>
              <w:rPr>
                <w:rFonts w:eastAsia="맑은 고딕" w:cs="Arial"/>
                <w:sz w:val="18"/>
                <w:szCs w:val="18"/>
                <w:lang w:eastAsia="ko-KR"/>
              </w:rPr>
            </w:pPr>
          </w:p>
          <w:p w14:paraId="7EC807DA" w14:textId="4CEA032E" w:rsidR="004403D1" w:rsidRPr="004403D1" w:rsidRDefault="004403D1" w:rsidP="004403D1">
            <w:pPr>
              <w:pStyle w:val="a6"/>
              <w:spacing w:after="60"/>
              <w:jc w:val="left"/>
              <w:rPr>
                <w:rFonts w:eastAsia="맑은 고딕" w:cs="Arial" w:hint="eastAsia"/>
                <w:sz w:val="18"/>
                <w:szCs w:val="18"/>
                <w:lang w:eastAsia="ko-KR"/>
              </w:rPr>
            </w:pPr>
            <w:r>
              <w:rPr>
                <w:rFonts w:eastAsia="맑은 고딕"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4B0F6E"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77777777" w:rsidR="004B0F6E" w:rsidRDefault="004B0F6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9C2663" w14:textId="77777777" w:rsidR="004B0F6E" w:rsidRDefault="004B0F6E">
            <w:pPr>
              <w:pStyle w:val="a6"/>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77777777" w:rsidR="004B0F6E" w:rsidRDefault="004B0F6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527A867" w14:textId="77777777" w:rsidR="004B0F6E" w:rsidRDefault="004B0F6E">
            <w:pPr>
              <w:pStyle w:val="a6"/>
              <w:spacing w:after="60"/>
              <w:jc w:val="left"/>
              <w:rPr>
                <w:rFonts w:eastAsia="SimSun" w:cs="Arial"/>
                <w:sz w:val="18"/>
                <w:szCs w:val="18"/>
              </w:rPr>
            </w:pPr>
          </w:p>
        </w:tc>
      </w:tr>
    </w:tbl>
    <w:p w14:paraId="45C51B9D" w14:textId="77777777" w:rsidR="004B0F6E" w:rsidRDefault="004B0F6E">
      <w:pPr>
        <w:pStyle w:val="a6"/>
        <w:spacing w:after="60"/>
        <w:rPr>
          <w:rFonts w:eastAsia="SimSun" w:cs="Arial"/>
          <w:sz w:val="18"/>
          <w:szCs w:val="18"/>
        </w:rPr>
      </w:pPr>
    </w:p>
    <w:p w14:paraId="35C1284F" w14:textId="77777777" w:rsidR="004B0F6E" w:rsidRDefault="004B0F6E">
      <w:pPr>
        <w:pStyle w:val="a6"/>
        <w:spacing w:after="60"/>
        <w:rPr>
          <w:rFonts w:eastAsia="SimSun" w:cs="Arial"/>
          <w:sz w:val="18"/>
          <w:szCs w:val="18"/>
        </w:rPr>
      </w:pPr>
    </w:p>
    <w:p w14:paraId="4E34231C" w14:textId="77777777" w:rsidR="004B0F6E" w:rsidRDefault="004B0F6E">
      <w:pPr>
        <w:pStyle w:val="a6"/>
        <w:spacing w:after="60"/>
        <w:rPr>
          <w:rFonts w:ascii="Times New Roman" w:eastAsia="SimSun"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F17A" w14:textId="77777777" w:rsidR="009B2F50" w:rsidRDefault="009B2F50">
      <w:pPr>
        <w:spacing w:after="0" w:line="240" w:lineRule="auto"/>
      </w:pPr>
      <w:r>
        <w:separator/>
      </w:r>
    </w:p>
  </w:endnote>
  <w:endnote w:type="continuationSeparator" w:id="0">
    <w:p w14:paraId="3B632E69" w14:textId="77777777" w:rsidR="009B2F50" w:rsidRDefault="009B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AC9FD" w14:textId="77777777" w:rsidR="004B0F6E" w:rsidRDefault="0074210D">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403D1">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403D1">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02E3A" w14:textId="77777777" w:rsidR="009B2F50" w:rsidRDefault="009B2F50">
      <w:pPr>
        <w:spacing w:after="0" w:line="240" w:lineRule="auto"/>
      </w:pPr>
      <w:r>
        <w:separator/>
      </w:r>
    </w:p>
  </w:footnote>
  <w:footnote w:type="continuationSeparator" w:id="0">
    <w:p w14:paraId="5E0D365E" w14:textId="77777777" w:rsidR="009B2F50" w:rsidRDefault="009B2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CE9DC"/>
  <w15:docId w15:val="{5E0AA1AD-9B4F-44AC-86A4-6130179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캡션 Char"/>
    <w:basedOn w:val="a2"/>
    <w:link w:val="a7"/>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A1A1D9-5B1E-4ED3-8F42-B586F4CF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11</TotalTime>
  <Pages>4</Pages>
  <Words>1892</Words>
  <Characters>10787</Characters>
  <Application>Microsoft Office Word</Application>
  <DocSecurity>0</DocSecurity>
  <Lines>89</Lines>
  <Paragraphs>25</Paragraphs>
  <ScaleCrop>false</ScaleCrop>
  <Company>Ericsson</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양석철/책임연구원/미래기술센터 C&amp;M표준(연)5G무선통신표준Task(suckchel.yang@lge.com)</cp:lastModifiedBy>
  <cp:revision>6</cp:revision>
  <cp:lastPrinted>2008-01-31T07:09:00Z</cp:lastPrinted>
  <dcterms:created xsi:type="dcterms:W3CDTF">2022-02-22T02:34:00Z</dcterms:created>
  <dcterms:modified xsi:type="dcterms:W3CDTF">2022-02-22T05:49:00Z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