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F571F" w14:textId="77777777" w:rsidR="007B4939" w:rsidRDefault="00DA461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#107-e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04FE2019" w14:textId="77777777" w:rsidR="007B4939" w:rsidRDefault="00DA461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November 11th – 19th, 2021</w:t>
      </w:r>
    </w:p>
    <w:p w14:paraId="24221EC6" w14:textId="77777777" w:rsidR="007B4939" w:rsidRDefault="007B4939">
      <w:pPr>
        <w:pStyle w:val="CRCoverPage"/>
        <w:tabs>
          <w:tab w:val="left" w:pos="1980"/>
        </w:tabs>
        <w:spacing w:after="0"/>
        <w:jc w:val="both"/>
        <w:rPr>
          <w:rFonts w:ascii="Times New Roman" w:eastAsiaTheme="minorHAnsi" w:hAnsi="Times New Roman" w:cstheme="minorBidi"/>
          <w:b/>
          <w:bCs/>
          <w:sz w:val="24"/>
          <w:szCs w:val="28"/>
          <w:lang w:val="en-US"/>
        </w:rPr>
      </w:pPr>
    </w:p>
    <w:p w14:paraId="4C03548A" w14:textId="77777777" w:rsidR="007B4939" w:rsidRDefault="007B4939">
      <w:pPr>
        <w:pStyle w:val="CRCoverPage"/>
        <w:tabs>
          <w:tab w:val="left" w:pos="1980"/>
        </w:tabs>
        <w:jc w:val="both"/>
        <w:rPr>
          <w:rFonts w:ascii="Times New Roman" w:hAnsi="Times New Roman"/>
          <w:b/>
          <w:bCs/>
          <w:sz w:val="24"/>
          <w:lang w:val="en-US"/>
        </w:rPr>
      </w:pPr>
    </w:p>
    <w:p w14:paraId="36CF1E55" w14:textId="77777777" w:rsidR="007B4939" w:rsidRDefault="00DA461D">
      <w:pPr>
        <w:pStyle w:val="CRCoverPage"/>
        <w:tabs>
          <w:tab w:val="left" w:pos="1980"/>
        </w:tabs>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8.3.4</w:t>
      </w:r>
    </w:p>
    <w:p w14:paraId="42CB6172" w14:textId="77777777" w:rsidR="007B4939" w:rsidRDefault="00DA461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661F98" w14:textId="77777777" w:rsidR="007B4939" w:rsidRDefault="00DA461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Summary #1 of [107-e-NR-R17-IIoT-URLLC-06] on remaining issues on CSI feedback enhancement</w:t>
      </w:r>
    </w:p>
    <w:p w14:paraId="5BD6C124" w14:textId="77777777" w:rsidR="007B4939" w:rsidRDefault="00DA461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8BC6163" w14:textId="77777777" w:rsidR="007B4939" w:rsidRDefault="00DA461D">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DF0EE9A" w14:textId="77777777" w:rsidR="007B4939" w:rsidRDefault="00DA461D">
      <w:pPr>
        <w:spacing w:before="240"/>
        <w:rPr>
          <w:rFonts w:ascii="Times New Roman" w:hAnsi="Times New Roman" w:cs="Times New Roman"/>
          <w:szCs w:val="20"/>
        </w:rPr>
      </w:pPr>
      <w:r>
        <w:rPr>
          <w:rFonts w:ascii="Times New Roman" w:hAnsi="Times New Roman" w:cs="Times New Roman"/>
          <w:szCs w:val="20"/>
        </w:rPr>
        <w:t xml:space="preserve">This contribution is to summarize email discussion [107-e-NR-R17-IIoT-URLLC-06] on remaining issue on CSI feedback enhancement. The discussion centers on proposals from one contribution submitted under AI 8.3.4 (Others) related to assumptions on CSI reference resource bandwidth and TBS for subband and wideband CQI calculations, when subband CQI reporting is configured ([2], section 5). </w:t>
      </w:r>
    </w:p>
    <w:p w14:paraId="2EFE6968" w14:textId="77777777" w:rsidR="007B4939" w:rsidRDefault="00DA461D">
      <w:pPr>
        <w:spacing w:before="240"/>
        <w:rPr>
          <w:rFonts w:ascii="Times New Roman" w:hAnsi="Times New Roman" w:cs="Times New Roman"/>
          <w:szCs w:val="20"/>
        </w:rPr>
      </w:pPr>
      <w:r>
        <w:rPr>
          <w:rFonts w:ascii="Times New Roman" w:hAnsi="Times New Roman" w:cs="Times New Roman"/>
          <w:szCs w:val="20"/>
        </w:rPr>
        <w:t>In RAN1#106-e, RAN1 agreed to support 4-bits subband CQI reporting and that RRC can configure use of legacy 2-bits D-CQI or 4-bits CQI for each CSI report configuration, for a UE capable of this feature. In RAN1#106b-e, RAN1 further agreed that wideband CQI is transmitted in a 4-bits subband CQI report. During discussions leading to this agreement, it was clarified that precoder assumptions for wideband CQI and subband CQI are the same [3].</w:t>
      </w:r>
    </w:p>
    <w:p w14:paraId="711E7DFD" w14:textId="77777777" w:rsidR="007B4939" w:rsidRDefault="00DA461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9D4507E" w14:textId="77777777" w:rsidR="007B4939" w:rsidRDefault="00DA461D">
      <w:pPr>
        <w:pStyle w:val="af9"/>
        <w:numPr>
          <w:ilvl w:val="0"/>
          <w:numId w:val="12"/>
        </w:numPr>
        <w:rPr>
          <w:rFonts w:ascii="Times New Roman" w:hAnsi="Times New Roman" w:cs="Times New Roman"/>
          <w:szCs w:val="20"/>
        </w:rPr>
      </w:pPr>
      <w:r>
        <w:rPr>
          <w:rFonts w:ascii="Times New Roman" w:hAnsi="Times New Roman" w:cs="Times New Roman"/>
          <w:szCs w:val="20"/>
          <w:highlight w:val="magenta"/>
        </w:rPr>
        <w:t>FL’s proposals</w:t>
      </w:r>
    </w:p>
    <w:p w14:paraId="2120B5BC" w14:textId="77777777" w:rsidR="007B4939" w:rsidRDefault="00DA461D">
      <w:pPr>
        <w:pStyle w:val="af9"/>
        <w:numPr>
          <w:ilvl w:val="0"/>
          <w:numId w:val="12"/>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EE8BD77" w14:textId="77777777" w:rsidR="007B4939" w:rsidRDefault="00DA461D">
      <w:pPr>
        <w:pStyle w:val="af9"/>
        <w:numPr>
          <w:ilvl w:val="0"/>
          <w:numId w:val="12"/>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41B98C12" w14:textId="77777777" w:rsidR="007B4939" w:rsidRDefault="00DA461D">
      <w:pPr>
        <w:pStyle w:val="af9"/>
        <w:numPr>
          <w:ilvl w:val="0"/>
          <w:numId w:val="12"/>
        </w:numPr>
        <w:rPr>
          <w:rFonts w:ascii="Times New Roman" w:hAnsi="Times New Roman" w:cs="Times New Roman"/>
          <w:szCs w:val="20"/>
        </w:rPr>
      </w:pPr>
      <w:r>
        <w:rPr>
          <w:rFonts w:ascii="Times New Roman" w:hAnsi="Times New Roman" w:cs="Times New Roman"/>
          <w:szCs w:val="20"/>
          <w:highlight w:val="green"/>
        </w:rPr>
        <w:t>RAN1 agreements</w:t>
      </w:r>
    </w:p>
    <w:p w14:paraId="063F628A" w14:textId="77777777" w:rsidR="007B4939" w:rsidRDefault="00DA461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#107-e</w:t>
      </w:r>
    </w:p>
    <w:p w14:paraId="48B3ECFF" w14:textId="77777777" w:rsidR="007B4939" w:rsidRDefault="00DA461D">
      <w:pPr>
        <w:spacing w:before="240"/>
        <w:rPr>
          <w:rFonts w:ascii="Times New Roman" w:hAnsi="Times New Roman" w:cs="Times New Roman"/>
          <w:szCs w:val="20"/>
          <w:lang w:val="en-GB"/>
        </w:rPr>
      </w:pPr>
      <w:r>
        <w:rPr>
          <w:rFonts w:ascii="Times New Roman" w:hAnsi="Times New Roman" w:cs="Times New Roman"/>
          <w:szCs w:val="20"/>
          <w:lang w:val="en-GB"/>
        </w:rPr>
        <w:t>To be captured once agreement is made during this meeting.</w:t>
      </w:r>
    </w:p>
    <w:p w14:paraId="3997DA90" w14:textId="77777777" w:rsidR="007B4939" w:rsidRDefault="00DA461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1A89DAF" w14:textId="77777777" w:rsidR="007B4939" w:rsidRDefault="00DA461D">
      <w:pPr>
        <w:rPr>
          <w:rFonts w:ascii="Times New Roman" w:hAnsi="Times New Roman" w:cs="Times New Roman"/>
          <w:szCs w:val="20"/>
        </w:rPr>
      </w:pPr>
      <w:r>
        <w:rPr>
          <w:rFonts w:ascii="Times New Roman" w:hAnsi="Times New Roman" w:cs="Times New Roman"/>
          <w:szCs w:val="20"/>
        </w:rPr>
        <w:t>TBD</w:t>
      </w:r>
    </w:p>
    <w:p w14:paraId="0CB5EE1C" w14:textId="77777777" w:rsidR="007B4939" w:rsidRDefault="00DA461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final check point</w:t>
      </w:r>
    </w:p>
    <w:p w14:paraId="3A7C701B" w14:textId="77777777" w:rsidR="007B4939" w:rsidRDefault="00DA461D">
      <w:pPr>
        <w:spacing w:before="240"/>
        <w:rPr>
          <w:rFonts w:ascii="Times New Roman" w:hAnsi="Times New Roman" w:cs="Times New Roman"/>
          <w:szCs w:val="20"/>
          <w:lang w:val="en-GB"/>
        </w:rPr>
      </w:pPr>
      <w:r>
        <w:rPr>
          <w:rFonts w:ascii="Times New Roman" w:hAnsi="Times New Roman" w:cs="Times New Roman"/>
          <w:szCs w:val="20"/>
          <w:lang w:val="en-GB"/>
        </w:rPr>
        <w:t>TBD</w:t>
      </w:r>
    </w:p>
    <w:p w14:paraId="52E57DAB" w14:textId="77777777" w:rsidR="007B4939" w:rsidRDefault="00DA461D">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Bandwidth of CSI reference resource</w:t>
      </w:r>
    </w:p>
    <w:p w14:paraId="4912FC5C" w14:textId="77777777" w:rsidR="007B4939" w:rsidRDefault="00DA461D">
      <w:pPr>
        <w:pStyle w:val="20"/>
        <w:framePr w:wrap="around"/>
        <w:rPr>
          <w:rFonts w:ascii="Times New Roman" w:eastAsiaTheme="minorEastAsia" w:hAnsi="Times New Roman" w:cstheme="minorBidi"/>
          <w:szCs w:val="28"/>
          <w:lang w:eastAsia="ko-KR"/>
        </w:rPr>
      </w:pPr>
      <w:r>
        <w:rPr>
          <w:rFonts w:ascii="Times New Roman" w:eastAsiaTheme="minorEastAsia" w:hAnsi="Times New Roman" w:cstheme="minorBidi"/>
          <w:szCs w:val="28"/>
          <w:lang w:eastAsia="ko-KR"/>
        </w:rPr>
        <w:t>Summary of issues for Topic #1</w:t>
      </w:r>
    </w:p>
    <w:p w14:paraId="78683D32" w14:textId="77777777" w:rsidR="007B4939" w:rsidRDefault="00DA461D">
      <w:pPr>
        <w:rPr>
          <w:rFonts w:ascii="Times New Roman" w:hAnsi="Times New Roman" w:cs="Times New Roman"/>
          <w:szCs w:val="20"/>
          <w:lang w:val="en-GB"/>
        </w:rPr>
      </w:pPr>
      <w:r>
        <w:rPr>
          <w:rFonts w:ascii="Times New Roman" w:hAnsi="Times New Roman" w:cs="Times New Roman"/>
          <w:szCs w:val="20"/>
          <w:lang w:val="en-GB"/>
        </w:rPr>
        <w:t>Contribution [2] quotes the following sections of 38.214:</w:t>
      </w:r>
    </w:p>
    <w:p w14:paraId="520096F5" w14:textId="77777777" w:rsidR="007B4939" w:rsidRDefault="00DA461D">
      <w:pPr>
        <w:overflowPunct w:val="0"/>
        <w:adjustRightInd w:val="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 xml:space="preserve">38.214 section 5.2.2.5 : CSI reference resource </w:t>
      </w:r>
    </w:p>
    <w:p w14:paraId="7BAC0F24" w14:textId="77777777" w:rsidR="007B4939" w:rsidRDefault="007B4939">
      <w:pPr>
        <w:overflowPunct w:val="0"/>
        <w:adjustRightInd w:val="0"/>
        <w:textAlignment w:val="baseline"/>
        <w:rPr>
          <w:rFonts w:ascii="Times New Roman" w:eastAsia="SimSun" w:hAnsi="Times New Roman" w:cs="Times New Roman"/>
          <w:szCs w:val="20"/>
          <w:lang w:val="en-GB"/>
        </w:rPr>
      </w:pPr>
    </w:p>
    <w:tbl>
      <w:tblPr>
        <w:tblStyle w:val="TableGrid10"/>
        <w:tblW w:w="0" w:type="auto"/>
        <w:tblLook w:val="04A0" w:firstRow="1" w:lastRow="0" w:firstColumn="1" w:lastColumn="0" w:noHBand="0" w:noVBand="1"/>
      </w:tblPr>
      <w:tblGrid>
        <w:gridCol w:w="9629"/>
      </w:tblGrid>
      <w:tr w:rsidR="007B4939" w14:paraId="1702B8A3" w14:textId="77777777">
        <w:tc>
          <w:tcPr>
            <w:tcW w:w="9629" w:type="dxa"/>
          </w:tcPr>
          <w:p w14:paraId="12CDC5A0" w14:textId="77777777" w:rsidR="007B4939" w:rsidRDefault="00DA461D">
            <w:pPr>
              <w:overflowPunct w:val="0"/>
              <w:adjustRightInd w:val="0"/>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lastRenderedPageBreak/>
              <w:t>The CSI reference resource for a serving cell is defined as follows:</w:t>
            </w:r>
          </w:p>
          <w:p w14:paraId="7B23542D" w14:textId="77777777" w:rsidR="007B4939" w:rsidRDefault="00DA461D">
            <w:pPr>
              <w:overflowPunct w:val="0"/>
              <w:adjustRightInd w:val="0"/>
              <w:ind w:left="568"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 xml:space="preserve">In the frequency domain, </w:t>
            </w:r>
            <w:r>
              <w:rPr>
                <w:rFonts w:ascii="Times New Roman" w:eastAsia="SimSun" w:hAnsi="Times New Roman" w:cs="Times New Roman"/>
                <w:szCs w:val="20"/>
                <w:highlight w:val="yellow"/>
                <w:lang w:val="en-GB"/>
              </w:rPr>
              <w:t>the CSI reference resource is defined by the group of downlink physical resource blocks corresponding to the band to which the derived CSI relates</w:t>
            </w:r>
            <w:r>
              <w:rPr>
                <w:rFonts w:ascii="Times New Roman" w:eastAsia="SimSun" w:hAnsi="Times New Roman" w:cs="Times New Roman"/>
                <w:szCs w:val="20"/>
                <w:lang w:val="en-GB"/>
              </w:rPr>
              <w:t>.</w:t>
            </w:r>
          </w:p>
          <w:p w14:paraId="15614660" w14:textId="77777777" w:rsidR="007B4939" w:rsidRDefault="00DA461D">
            <w:pPr>
              <w:overflowPunct w:val="0"/>
              <w:adjustRightInd w:val="0"/>
              <w:ind w:left="568"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 xml:space="preserve">In the time domain, the CSI reference resource for a CSI reporting in uplink slot </w:t>
            </w:r>
            <w:r>
              <w:rPr>
                <w:rFonts w:ascii="Times New Roman" w:eastAsia="SimSun" w:hAnsi="Times New Roman" w:cs="Times New Roman"/>
                <w:i/>
                <w:szCs w:val="20"/>
                <w:lang w:val="en-GB"/>
              </w:rPr>
              <w:t>n'</w:t>
            </w:r>
            <w:r>
              <w:rPr>
                <w:rFonts w:ascii="Times New Roman" w:eastAsia="SimSun" w:hAnsi="Times New Roman" w:cs="Times New Roman"/>
                <w:szCs w:val="20"/>
                <w:lang w:val="en-GB"/>
              </w:rPr>
              <w:t xml:space="preserve"> is defined by a single downlink slot</w:t>
            </w:r>
            <w:r>
              <w:rPr>
                <w:rFonts w:ascii="Times New Roman" w:eastAsia="SimSun" w:hAnsi="Times New Roman" w:cs="Times New Roman"/>
                <w:i/>
                <w:szCs w:val="20"/>
                <w:lang w:val="en-GB"/>
              </w:rPr>
              <w:t xml:space="preserve"> n</w:t>
            </w:r>
            <w:r>
              <w:rPr>
                <w:rFonts w:ascii="Times New Roman" w:eastAsia="SimSun" w:hAnsi="Times New Roman" w:cs="Times New Roman"/>
                <w:szCs w:val="20"/>
                <w:lang w:val="en-GB"/>
              </w:rPr>
              <w:t>-</w:t>
            </w:r>
            <w:r>
              <w:rPr>
                <w:rFonts w:ascii="Times New Roman" w:eastAsia="SimSun" w:hAnsi="Times New Roman" w:cs="Times New Roman"/>
                <w:i/>
                <w:szCs w:val="20"/>
                <w:lang w:val="en-GB"/>
              </w:rPr>
              <w:t>n</w:t>
            </w:r>
            <w:r>
              <w:rPr>
                <w:rFonts w:ascii="Times New Roman" w:eastAsia="SimSun" w:hAnsi="Times New Roman" w:cs="Times New Roman"/>
                <w:i/>
                <w:szCs w:val="20"/>
                <w:vertAlign w:val="subscript"/>
                <w:lang w:val="en-GB"/>
              </w:rPr>
              <w:t>CSI_ref</w:t>
            </w:r>
            <w:r>
              <w:rPr>
                <w:rFonts w:ascii="Times New Roman" w:eastAsia="SimSun" w:hAnsi="Times New Roman" w:cs="Times New Roman"/>
                <w:szCs w:val="20"/>
                <w:lang w:val="en-GB"/>
              </w:rPr>
              <w:t>,</w:t>
            </w:r>
          </w:p>
          <w:p w14:paraId="4FD58673" w14:textId="77777777" w:rsidR="007B4939" w:rsidRDefault="00DA461D">
            <w:pPr>
              <w:overflowPunct w:val="0"/>
              <w:adjustRightInd w:val="0"/>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w:t>
            </w:r>
          </w:p>
          <w:p w14:paraId="4D93BEBF" w14:textId="77777777" w:rsidR="007B4939" w:rsidRDefault="007B4939">
            <w:pPr>
              <w:overflowPunct w:val="0"/>
              <w:adjustRightInd w:val="0"/>
              <w:textAlignment w:val="baseline"/>
              <w:rPr>
                <w:rFonts w:ascii="Times New Roman" w:eastAsia="SimSun" w:hAnsi="Times New Roman" w:cs="Times New Roman"/>
                <w:color w:val="000000"/>
                <w:szCs w:val="18"/>
                <w:highlight w:val="yellow"/>
                <w:lang w:val="en-GB"/>
              </w:rPr>
            </w:pPr>
          </w:p>
          <w:p w14:paraId="38097E7A" w14:textId="77777777" w:rsidR="007B4939" w:rsidRDefault="00DA461D">
            <w:pPr>
              <w:overflowPunct w:val="0"/>
              <w:adjustRightInd w:val="0"/>
              <w:textAlignment w:val="baseline"/>
              <w:rPr>
                <w:rFonts w:ascii="Times New Roman" w:eastAsia="SimSun" w:hAnsi="Times New Roman" w:cs="Times New Roman"/>
                <w:szCs w:val="18"/>
                <w:lang w:val="en-GB"/>
              </w:rPr>
            </w:pPr>
            <w:r>
              <w:rPr>
                <w:rFonts w:ascii="Times New Roman" w:eastAsia="SimSun" w:hAnsi="Times New Roman" w:cs="Times New Roman"/>
                <w:szCs w:val="18"/>
                <w:lang w:val="en-GB"/>
              </w:rPr>
              <w:t>If configured to report CQI index, in the CSI reference resource, the UE shall assume the following for the purpose of deriving the CQI index, and if also configured, for deriving PMI and RI:</w:t>
            </w:r>
          </w:p>
          <w:p w14:paraId="5F45E709" w14:textId="77777777" w:rsidR="007B4939" w:rsidRDefault="00DA461D">
            <w:pPr>
              <w:overflowPunct w:val="0"/>
              <w:adjustRightInd w:val="0"/>
              <w:ind w:left="568" w:hanging="284"/>
              <w:textAlignment w:val="baseline"/>
              <w:rPr>
                <w:rFonts w:ascii="Times New Roman" w:eastAsia="SimSun" w:hAnsi="Times New Roman" w:cs="Times New Roman"/>
                <w:color w:val="000000"/>
                <w:szCs w:val="18"/>
                <w:lang w:val="en-GB"/>
              </w:rPr>
            </w:pPr>
            <w:r>
              <w:rPr>
                <w:rFonts w:ascii="Times New Roman" w:eastAsia="SimSun" w:hAnsi="Times New Roman" w:cs="Times New Roman"/>
                <w:color w:val="000000"/>
                <w:szCs w:val="18"/>
                <w:lang w:val="en-GB"/>
              </w:rPr>
              <w:t>-</w:t>
            </w:r>
            <w:r>
              <w:rPr>
                <w:rFonts w:ascii="Times New Roman" w:eastAsia="SimSun" w:hAnsi="Times New Roman" w:cs="Times New Roman"/>
                <w:color w:val="000000"/>
                <w:szCs w:val="18"/>
                <w:lang w:val="en-GB"/>
              </w:rPr>
              <w:tab/>
              <w:t>The first 2 OFDM symbols are occupied by control signaling.</w:t>
            </w:r>
          </w:p>
          <w:p w14:paraId="17BD2082" w14:textId="77777777" w:rsidR="007B4939" w:rsidRDefault="00DA461D">
            <w:pPr>
              <w:overflowPunct w:val="0"/>
              <w:adjustRightInd w:val="0"/>
              <w:ind w:left="568" w:hanging="284"/>
              <w:textAlignment w:val="baseline"/>
              <w:rPr>
                <w:rFonts w:ascii="Times New Roman" w:eastAsia="SimSun" w:hAnsi="Times New Roman" w:cs="Times New Roman"/>
                <w:color w:val="000000"/>
                <w:szCs w:val="18"/>
                <w:lang w:val="en-GB"/>
              </w:rPr>
            </w:pPr>
            <w:r>
              <w:rPr>
                <w:rFonts w:ascii="Times New Roman" w:eastAsia="SimSun" w:hAnsi="Times New Roman" w:cs="Times New Roman"/>
                <w:color w:val="000000"/>
                <w:szCs w:val="18"/>
                <w:lang w:val="en-GB"/>
              </w:rPr>
              <w:t>-</w:t>
            </w:r>
            <w:r>
              <w:rPr>
                <w:rFonts w:ascii="Times New Roman" w:eastAsia="SimSun" w:hAnsi="Times New Roman" w:cs="Times New Roman"/>
                <w:color w:val="000000"/>
                <w:szCs w:val="18"/>
                <w:lang w:val="en-GB"/>
              </w:rPr>
              <w:tab/>
              <w:t>The number of PDSCH and DM-RS symbols is equal to 12.</w:t>
            </w:r>
          </w:p>
          <w:p w14:paraId="4D94E5B4" w14:textId="77777777" w:rsidR="007B4939" w:rsidRDefault="00DA461D">
            <w:pPr>
              <w:overflowPunct w:val="0"/>
              <w:adjustRightInd w:val="0"/>
              <w:ind w:left="568" w:hanging="284"/>
              <w:textAlignment w:val="baseline"/>
              <w:rPr>
                <w:rFonts w:ascii="Times New Roman" w:eastAsia="SimSun" w:hAnsi="Times New Roman" w:cs="Times New Roman"/>
                <w:color w:val="000000"/>
                <w:szCs w:val="18"/>
                <w:lang w:val="en-GB"/>
              </w:rPr>
            </w:pPr>
            <w:r>
              <w:rPr>
                <w:rFonts w:ascii="Times New Roman" w:eastAsia="SimSun" w:hAnsi="Times New Roman" w:cs="Times New Roman"/>
                <w:color w:val="000000"/>
                <w:szCs w:val="18"/>
                <w:lang w:val="en-GB"/>
              </w:rPr>
              <w:t>-</w:t>
            </w:r>
            <w:r>
              <w:rPr>
                <w:rFonts w:ascii="Times New Roman" w:eastAsia="SimSun" w:hAnsi="Times New Roman" w:cs="Times New Roman"/>
                <w:color w:val="000000"/>
                <w:szCs w:val="18"/>
                <w:lang w:val="en-GB"/>
              </w:rPr>
              <w:tab/>
              <w:t>The same bandwidth part subcarrier spacing configured as for the PDSCH reception</w:t>
            </w:r>
          </w:p>
          <w:p w14:paraId="643D195C" w14:textId="77777777" w:rsidR="007B4939" w:rsidRDefault="00DA461D">
            <w:pPr>
              <w:overflowPunct w:val="0"/>
              <w:adjustRightInd w:val="0"/>
              <w:ind w:left="568" w:hanging="284"/>
              <w:textAlignment w:val="baseline"/>
              <w:rPr>
                <w:rFonts w:ascii="Times New Roman" w:eastAsia="SimSun" w:hAnsi="Times New Roman" w:cs="Times New Roman"/>
                <w:color w:val="000000"/>
                <w:szCs w:val="18"/>
                <w:lang w:val="en-GB"/>
              </w:rPr>
            </w:pPr>
            <w:r>
              <w:rPr>
                <w:rFonts w:ascii="Times New Roman" w:eastAsia="SimSun" w:hAnsi="Times New Roman" w:cs="Times New Roman"/>
                <w:color w:val="000000"/>
                <w:szCs w:val="18"/>
                <w:lang w:val="en-GB"/>
              </w:rPr>
              <w:t>-</w:t>
            </w:r>
            <w:r>
              <w:rPr>
                <w:rFonts w:ascii="Times New Roman" w:eastAsia="SimSun" w:hAnsi="Times New Roman" w:cs="Times New Roman"/>
                <w:color w:val="000000"/>
                <w:szCs w:val="18"/>
                <w:lang w:val="en-GB"/>
              </w:rPr>
              <w:tab/>
            </w:r>
            <w:r>
              <w:rPr>
                <w:rFonts w:ascii="Times New Roman" w:eastAsia="SimSun" w:hAnsi="Times New Roman" w:cs="Times New Roman"/>
                <w:color w:val="000000"/>
                <w:szCs w:val="18"/>
                <w:highlight w:val="cyan"/>
                <w:lang w:val="en-GB"/>
              </w:rPr>
              <w:t>The bandwidth as configured for the corresponding CQI report.</w:t>
            </w:r>
          </w:p>
        </w:tc>
      </w:tr>
    </w:tbl>
    <w:p w14:paraId="5E72135D" w14:textId="77777777" w:rsidR="007B4939" w:rsidRDefault="00DA461D">
      <w:pPr>
        <w:keepNext/>
        <w:overflowPunct w:val="0"/>
        <w:adjustRightInd w:val="0"/>
        <w:spacing w:before="240" w:after="18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 xml:space="preserve">38.214 section </w:t>
      </w:r>
      <w:r>
        <w:rPr>
          <w:rFonts w:ascii="Times New Roman" w:eastAsia="SimSun" w:hAnsi="Times New Roman" w:cs="Times New Roman"/>
          <w:color w:val="000000"/>
          <w:szCs w:val="20"/>
          <w:lang w:val="en-GB"/>
        </w:rPr>
        <w:t>5.2.2.1: CQI calculation assumes the CSI reference resource</w:t>
      </w:r>
    </w:p>
    <w:tbl>
      <w:tblPr>
        <w:tblStyle w:val="TableGrid10"/>
        <w:tblW w:w="0" w:type="auto"/>
        <w:tblLook w:val="04A0" w:firstRow="1" w:lastRow="0" w:firstColumn="1" w:lastColumn="0" w:noHBand="0" w:noVBand="1"/>
      </w:tblPr>
      <w:tblGrid>
        <w:gridCol w:w="9629"/>
      </w:tblGrid>
      <w:tr w:rsidR="007B4939" w14:paraId="78165BD3" w14:textId="77777777">
        <w:tc>
          <w:tcPr>
            <w:tcW w:w="9629" w:type="dxa"/>
          </w:tcPr>
          <w:p w14:paraId="595DC1EE" w14:textId="77777777" w:rsidR="007B4939" w:rsidRDefault="00DA461D">
            <w:pPr>
              <w:overflowPunct w:val="0"/>
              <w:adjustRightInd w:val="0"/>
              <w:ind w:left="568"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CE5BDEB" w14:textId="77777777" w:rsidR="007B4939" w:rsidRDefault="00DA461D">
            <w:pPr>
              <w:overflowPunct w:val="0"/>
              <w:adjustRightInd w:val="0"/>
              <w:ind w:left="851"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 xml:space="preserve">0.1, if the higher layer parameter </w:t>
            </w:r>
            <w:r>
              <w:rPr>
                <w:rFonts w:ascii="Times New Roman" w:eastAsia="SimSun" w:hAnsi="Times New Roman" w:cs="Times New Roman"/>
                <w:i/>
                <w:szCs w:val="20"/>
                <w:lang w:val="en-GB"/>
              </w:rPr>
              <w:t>cqi-Table</w:t>
            </w:r>
            <w:r>
              <w:rPr>
                <w:rFonts w:ascii="Times New Roman" w:eastAsia="SimSun" w:hAnsi="Times New Roman" w:cs="Times New Roman"/>
                <w:szCs w:val="20"/>
                <w:lang w:val="en-GB"/>
              </w:rPr>
              <w:t xml:space="preserve"> in </w:t>
            </w:r>
            <w:r>
              <w:rPr>
                <w:rFonts w:ascii="Times New Roman" w:eastAsia="SimSun" w:hAnsi="Times New Roman" w:cs="Times New Roman"/>
                <w:i/>
                <w:szCs w:val="20"/>
                <w:lang w:val="en-GB"/>
              </w:rPr>
              <w:t>CSI-ReportConfig</w:t>
            </w:r>
            <w:r>
              <w:rPr>
                <w:rFonts w:ascii="Times New Roman" w:eastAsia="SimSun" w:hAnsi="Times New Roman" w:cs="Times New Roman"/>
                <w:szCs w:val="20"/>
                <w:lang w:val="en-GB"/>
              </w:rPr>
              <w:t xml:space="preserve"> configures 'table1' (corresponding to Table 5.2.2.1-2), or 'table2' (corresponding to Table 5.2.2.1-3), or</w:t>
            </w:r>
          </w:p>
          <w:p w14:paraId="14B3E73F" w14:textId="77777777" w:rsidR="007B4939" w:rsidRDefault="00DA461D">
            <w:pPr>
              <w:overflowPunct w:val="0"/>
              <w:adjustRightInd w:val="0"/>
              <w:ind w:left="851"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 xml:space="preserve">0.00001, if the higher layer parameter </w:t>
            </w:r>
            <w:r>
              <w:rPr>
                <w:rFonts w:ascii="Times New Roman" w:eastAsia="SimSun" w:hAnsi="Times New Roman" w:cs="Times New Roman"/>
                <w:i/>
                <w:szCs w:val="20"/>
                <w:lang w:val="en-GB"/>
              </w:rPr>
              <w:t>cqi-Table</w:t>
            </w:r>
            <w:r>
              <w:rPr>
                <w:rFonts w:ascii="Times New Roman" w:eastAsia="SimSun" w:hAnsi="Times New Roman" w:cs="Times New Roman"/>
                <w:szCs w:val="20"/>
                <w:lang w:val="en-GB"/>
              </w:rPr>
              <w:t xml:space="preserve"> in </w:t>
            </w:r>
            <w:r>
              <w:rPr>
                <w:rFonts w:ascii="Times New Roman" w:eastAsia="SimSun" w:hAnsi="Times New Roman" w:cs="Times New Roman"/>
                <w:i/>
                <w:szCs w:val="20"/>
                <w:lang w:val="en-GB"/>
              </w:rPr>
              <w:t>CSI-ReportConfig</w:t>
            </w:r>
            <w:r>
              <w:rPr>
                <w:rFonts w:ascii="Times New Roman" w:eastAsia="SimSun" w:hAnsi="Times New Roman" w:cs="Times New Roman"/>
                <w:szCs w:val="20"/>
                <w:lang w:val="en-GB"/>
              </w:rPr>
              <w:t xml:space="preserve"> configures 'table3' (corresponding to Table 5.2.2.1-4).</w:t>
            </w:r>
          </w:p>
          <w:p w14:paraId="54BB0D90" w14:textId="77777777" w:rsidR="007B4939" w:rsidRDefault="00DA461D">
            <w:pPr>
              <w:overflowPunct w:val="0"/>
              <w:adjustRightInd w:val="0"/>
              <w:ind w:left="851"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p>
          <w:p w14:paraId="27043790" w14:textId="77777777" w:rsidR="007B4939" w:rsidRDefault="00DA461D">
            <w:pPr>
              <w:overflowPunct w:val="0"/>
              <w:adjustRightInd w:val="0"/>
              <w:ind w:left="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 xml:space="preserve">For each sub-band index </w:t>
            </w:r>
            <w:r>
              <w:rPr>
                <w:rFonts w:ascii="Times New Roman" w:eastAsia="SimSun" w:hAnsi="Times New Roman" w:cs="Times New Roman"/>
                <w:i/>
                <w:szCs w:val="20"/>
                <w:lang w:val="en-GB"/>
              </w:rPr>
              <w:t>s,</w:t>
            </w:r>
            <w:r>
              <w:rPr>
                <w:rFonts w:ascii="Times New Roman" w:eastAsia="SimSun" w:hAnsi="Times New Roman" w:cs="Times New Roman"/>
                <w:szCs w:val="20"/>
                <w:lang w:val="en-GB"/>
              </w:rPr>
              <w:t xml:space="preserve"> a 2-bit sub-band differential CQI is defined as:</w:t>
            </w:r>
          </w:p>
          <w:p w14:paraId="67D45884" w14:textId="77777777" w:rsidR="007B4939" w:rsidRDefault="00DA461D">
            <w:pPr>
              <w:overflowPunct w:val="0"/>
              <w:adjustRightInd w:val="0"/>
              <w:ind w:left="852"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Sub-band Offset level (</w:t>
            </w:r>
            <w:r>
              <w:rPr>
                <w:rFonts w:ascii="Times New Roman" w:eastAsia="SimSun" w:hAnsi="Times New Roman" w:cs="Times New Roman"/>
                <w:i/>
                <w:szCs w:val="20"/>
                <w:lang w:val="en-GB"/>
              </w:rPr>
              <w:t>s</w:t>
            </w:r>
            <w:r>
              <w:rPr>
                <w:rFonts w:ascii="Times New Roman" w:eastAsia="SimSun" w:hAnsi="Times New Roman" w:cs="Times New Roman"/>
                <w:szCs w:val="20"/>
                <w:lang w:val="en-GB"/>
              </w:rPr>
              <w:t>) = sub-band CQI index (</w:t>
            </w:r>
            <w:r>
              <w:rPr>
                <w:rFonts w:ascii="Times New Roman" w:eastAsia="SimSun" w:hAnsi="Times New Roman" w:cs="Times New Roman"/>
                <w:i/>
                <w:szCs w:val="20"/>
                <w:lang w:val="en-GB"/>
              </w:rPr>
              <w:t>s</w:t>
            </w:r>
            <w:r>
              <w:rPr>
                <w:rFonts w:ascii="Times New Roman" w:eastAsia="SimSun" w:hAnsi="Times New Roman" w:cs="Times New Roman"/>
                <w:szCs w:val="20"/>
                <w:lang w:val="en-GB"/>
              </w:rPr>
              <w:t>) - wideband CQI index.</w:t>
            </w:r>
          </w:p>
          <w:p w14:paraId="5854AB8D" w14:textId="77777777" w:rsidR="007B4939" w:rsidRDefault="00DA461D">
            <w:pPr>
              <w:overflowPunct w:val="0"/>
              <w:adjustRightInd w:val="0"/>
              <w:ind w:left="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The mapping from the 2-bit sub-band differential CQI values to the offset level is shown in Table 5.2.2.1-1</w:t>
            </w:r>
          </w:p>
          <w:p w14:paraId="434613C5" w14:textId="77777777" w:rsidR="007B4939" w:rsidRDefault="007B4939">
            <w:pPr>
              <w:overflowPunct w:val="0"/>
              <w:adjustRightInd w:val="0"/>
              <w:textAlignment w:val="baseline"/>
              <w:rPr>
                <w:rFonts w:ascii="Times New Roman" w:eastAsia="SimSun" w:hAnsi="Times New Roman" w:cs="Times New Roman"/>
                <w:szCs w:val="20"/>
                <w:lang w:val="en-GB"/>
              </w:rPr>
            </w:pPr>
          </w:p>
          <w:p w14:paraId="72713458" w14:textId="77777777" w:rsidR="007B4939" w:rsidRDefault="00DA461D">
            <w:pPr>
              <w:keepNext/>
              <w:keepLines/>
              <w:numPr>
                <w:ilvl w:val="0"/>
                <w:numId w:val="13"/>
              </w:numPr>
              <w:overflowPunct w:val="0"/>
              <w:adjustRightInd w:val="0"/>
              <w:spacing w:before="60"/>
              <w:ind w:left="0" w:firstLine="0"/>
              <w:jc w:val="center"/>
              <w:textAlignment w:val="baseline"/>
              <w:rPr>
                <w:rFonts w:ascii="Times New Roman" w:eastAsia="SimSun" w:hAnsi="Times New Roman" w:cs="Times New Roman"/>
                <w:b/>
                <w:color w:val="000000"/>
                <w:szCs w:val="20"/>
                <w:lang w:val="en-GB"/>
              </w:rPr>
            </w:pPr>
            <w:r>
              <w:rPr>
                <w:rFonts w:ascii="Times New Roman" w:eastAsia="SimSun" w:hAnsi="Times New Roman" w:cs="Times New Roman"/>
                <w:b/>
                <w:color w:val="00000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7B4939" w14:paraId="5E483AB5" w14:textId="77777777">
              <w:trPr>
                <w:trHeight w:val="175"/>
              </w:trPr>
              <w:tc>
                <w:tcPr>
                  <w:tcW w:w="3276" w:type="dxa"/>
                  <w:shd w:val="clear" w:color="auto" w:fill="auto"/>
                </w:tcPr>
                <w:p w14:paraId="7BF2149E" w14:textId="77777777" w:rsidR="007B4939" w:rsidRDefault="00DA461D">
                  <w:pPr>
                    <w:keepNext/>
                    <w:keepLines/>
                    <w:overflowPunct w:val="0"/>
                    <w:adjustRightInd w:val="0"/>
                    <w:jc w:val="center"/>
                    <w:textAlignment w:val="baseline"/>
                    <w:rPr>
                      <w:rFonts w:ascii="Times New Roman" w:eastAsia="SimSun" w:hAnsi="Times New Roman" w:cs="Times New Roman"/>
                      <w:b/>
                      <w:szCs w:val="20"/>
                      <w:lang w:val="en-GB" w:eastAsia="en-GB"/>
                    </w:rPr>
                  </w:pPr>
                  <w:r>
                    <w:rPr>
                      <w:rFonts w:ascii="Times New Roman" w:eastAsia="SimSun" w:hAnsi="Times New Roman" w:cs="Times New Roman"/>
                      <w:b/>
                      <w:szCs w:val="20"/>
                      <w:lang w:val="en-GB" w:eastAsia="en-GB"/>
                    </w:rPr>
                    <w:t>Sub-band differential CQI value</w:t>
                  </w:r>
                </w:p>
              </w:tc>
              <w:tc>
                <w:tcPr>
                  <w:tcW w:w="3134" w:type="dxa"/>
                  <w:shd w:val="clear" w:color="auto" w:fill="auto"/>
                </w:tcPr>
                <w:p w14:paraId="110DECF5" w14:textId="77777777" w:rsidR="007B4939" w:rsidRDefault="00DA461D">
                  <w:pPr>
                    <w:keepNext/>
                    <w:keepLines/>
                    <w:overflowPunct w:val="0"/>
                    <w:adjustRightInd w:val="0"/>
                    <w:jc w:val="center"/>
                    <w:textAlignment w:val="baseline"/>
                    <w:rPr>
                      <w:rFonts w:ascii="Times New Roman" w:eastAsia="SimSun" w:hAnsi="Times New Roman" w:cs="Times New Roman"/>
                      <w:b/>
                      <w:szCs w:val="20"/>
                      <w:lang w:val="en-GB" w:eastAsia="en-GB"/>
                    </w:rPr>
                  </w:pPr>
                  <w:r>
                    <w:rPr>
                      <w:rFonts w:ascii="Times New Roman" w:eastAsia="SimSun" w:hAnsi="Times New Roman" w:cs="Times New Roman"/>
                      <w:b/>
                      <w:szCs w:val="20"/>
                      <w:lang w:val="en-GB" w:eastAsia="en-GB"/>
                    </w:rPr>
                    <w:t>Offset level</w:t>
                  </w:r>
                </w:p>
              </w:tc>
            </w:tr>
            <w:tr w:rsidR="007B4939" w14:paraId="0183AAC1" w14:textId="77777777">
              <w:trPr>
                <w:trHeight w:val="175"/>
              </w:trPr>
              <w:tc>
                <w:tcPr>
                  <w:tcW w:w="3276" w:type="dxa"/>
                  <w:shd w:val="clear" w:color="auto" w:fill="auto"/>
                </w:tcPr>
                <w:p w14:paraId="14012B71"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0</w:t>
                  </w:r>
                </w:p>
              </w:tc>
              <w:tc>
                <w:tcPr>
                  <w:tcW w:w="3134" w:type="dxa"/>
                  <w:shd w:val="clear" w:color="auto" w:fill="auto"/>
                </w:tcPr>
                <w:p w14:paraId="0BEC40EE"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0</w:t>
                  </w:r>
                </w:p>
              </w:tc>
            </w:tr>
            <w:tr w:rsidR="007B4939" w14:paraId="51EC6F76" w14:textId="77777777">
              <w:trPr>
                <w:trHeight w:val="175"/>
              </w:trPr>
              <w:tc>
                <w:tcPr>
                  <w:tcW w:w="3276" w:type="dxa"/>
                  <w:shd w:val="clear" w:color="auto" w:fill="auto"/>
                </w:tcPr>
                <w:p w14:paraId="333A5BBF"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c>
                <w:tcPr>
                  <w:tcW w:w="3134" w:type="dxa"/>
                  <w:shd w:val="clear" w:color="auto" w:fill="auto"/>
                </w:tcPr>
                <w:p w14:paraId="60DE799D"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r>
            <w:tr w:rsidR="007B4939" w14:paraId="37F21B3E" w14:textId="77777777">
              <w:trPr>
                <w:trHeight w:val="175"/>
              </w:trPr>
              <w:tc>
                <w:tcPr>
                  <w:tcW w:w="3276" w:type="dxa"/>
                  <w:shd w:val="clear" w:color="auto" w:fill="auto"/>
                </w:tcPr>
                <w:p w14:paraId="767CE7EB"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2</w:t>
                  </w:r>
                </w:p>
              </w:tc>
              <w:tc>
                <w:tcPr>
                  <w:tcW w:w="3134" w:type="dxa"/>
                  <w:shd w:val="clear" w:color="auto" w:fill="auto"/>
                </w:tcPr>
                <w:p w14:paraId="30DA0B59"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2</w:t>
                  </w:r>
                </w:p>
              </w:tc>
            </w:tr>
            <w:tr w:rsidR="007B4939" w14:paraId="26BB3187" w14:textId="77777777">
              <w:trPr>
                <w:trHeight w:val="182"/>
              </w:trPr>
              <w:tc>
                <w:tcPr>
                  <w:tcW w:w="3276" w:type="dxa"/>
                  <w:shd w:val="clear" w:color="auto" w:fill="auto"/>
                </w:tcPr>
                <w:p w14:paraId="5E0BDF0E"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3</w:t>
                  </w:r>
                </w:p>
              </w:tc>
              <w:tc>
                <w:tcPr>
                  <w:tcW w:w="3134" w:type="dxa"/>
                  <w:shd w:val="clear" w:color="auto" w:fill="auto"/>
                </w:tcPr>
                <w:p w14:paraId="08790B82"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r>
          </w:tbl>
          <w:p w14:paraId="7667BD77" w14:textId="77777777" w:rsidR="007B4939" w:rsidRDefault="007B4939">
            <w:pPr>
              <w:overflowPunct w:val="0"/>
              <w:adjustRightInd w:val="0"/>
              <w:ind w:left="851" w:hanging="284"/>
              <w:textAlignment w:val="baseline"/>
              <w:rPr>
                <w:rFonts w:ascii="Times New Roman" w:eastAsia="SimSun" w:hAnsi="Times New Roman" w:cs="Times New Roman"/>
                <w:szCs w:val="20"/>
                <w:lang w:val="en-GB"/>
              </w:rPr>
            </w:pPr>
          </w:p>
          <w:p w14:paraId="04DC6BA1" w14:textId="77777777" w:rsidR="007B4939" w:rsidRDefault="00DA461D">
            <w:pPr>
              <w:overflowPunct w:val="0"/>
              <w:adjustRightInd w:val="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 xml:space="preserve">     For each sub-band index </w:t>
            </w:r>
            <w:r>
              <w:rPr>
                <w:rFonts w:ascii="Times New Roman" w:eastAsia="SimSun" w:hAnsi="Times New Roman" w:cs="Times New Roman"/>
                <w:i/>
                <w:szCs w:val="20"/>
                <w:lang w:val="en-GB"/>
              </w:rPr>
              <w:t>s,</w:t>
            </w:r>
            <w:r>
              <w:rPr>
                <w:rFonts w:ascii="Times New Roman" w:eastAsia="SimSun" w:hAnsi="Times New Roman" w:cs="Times New Roman"/>
                <w:szCs w:val="20"/>
                <w:lang w:val="en-GB"/>
              </w:rPr>
              <w:t xml:space="preserve"> a 2-bit sub-band differential CQI is defined as:</w:t>
            </w:r>
          </w:p>
          <w:p w14:paraId="1719BA76" w14:textId="77777777" w:rsidR="007B4939" w:rsidRDefault="00DA461D">
            <w:pPr>
              <w:overflowPunct w:val="0"/>
              <w:adjustRightInd w:val="0"/>
              <w:ind w:left="568" w:hanging="284"/>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w:t>
            </w:r>
            <w:r>
              <w:rPr>
                <w:rFonts w:ascii="Times New Roman" w:eastAsia="SimSun" w:hAnsi="Times New Roman" w:cs="Times New Roman"/>
                <w:szCs w:val="20"/>
                <w:lang w:val="en-GB"/>
              </w:rPr>
              <w:tab/>
              <w:t>Sub-band Offset level (</w:t>
            </w:r>
            <w:r>
              <w:rPr>
                <w:rFonts w:ascii="Times New Roman" w:eastAsia="SimSun" w:hAnsi="Times New Roman" w:cs="Times New Roman"/>
                <w:i/>
                <w:szCs w:val="20"/>
                <w:lang w:val="en-GB"/>
              </w:rPr>
              <w:t>s</w:t>
            </w:r>
            <w:r>
              <w:rPr>
                <w:rFonts w:ascii="Times New Roman" w:eastAsia="SimSun" w:hAnsi="Times New Roman" w:cs="Times New Roman"/>
                <w:szCs w:val="20"/>
                <w:lang w:val="en-GB"/>
              </w:rPr>
              <w:t>) = sub-band CQI index (</w:t>
            </w:r>
            <w:r>
              <w:rPr>
                <w:rFonts w:ascii="Times New Roman" w:eastAsia="SimSun" w:hAnsi="Times New Roman" w:cs="Times New Roman"/>
                <w:i/>
                <w:szCs w:val="20"/>
                <w:lang w:val="en-GB"/>
              </w:rPr>
              <w:t>s</w:t>
            </w:r>
            <w:r>
              <w:rPr>
                <w:rFonts w:ascii="Times New Roman" w:eastAsia="SimSun" w:hAnsi="Times New Roman" w:cs="Times New Roman"/>
                <w:szCs w:val="20"/>
                <w:lang w:val="en-GB"/>
              </w:rPr>
              <w:t>) - wideband CQI index.</w:t>
            </w:r>
          </w:p>
          <w:p w14:paraId="5112F278" w14:textId="77777777" w:rsidR="007B4939" w:rsidRDefault="007B4939">
            <w:pPr>
              <w:overflowPunct w:val="0"/>
              <w:adjustRightInd w:val="0"/>
              <w:ind w:left="568" w:hanging="284"/>
              <w:textAlignment w:val="baseline"/>
              <w:rPr>
                <w:rFonts w:ascii="Times New Roman" w:eastAsia="SimSun" w:hAnsi="Times New Roman" w:cs="Times New Roman"/>
                <w:szCs w:val="20"/>
                <w:lang w:val="en-GB"/>
              </w:rPr>
            </w:pPr>
          </w:p>
          <w:p w14:paraId="5EECC8DF" w14:textId="77777777" w:rsidR="007B4939" w:rsidRDefault="00DA461D">
            <w:pPr>
              <w:overflowPunct w:val="0"/>
              <w:adjustRightInd w:val="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lastRenderedPageBreak/>
              <w:t xml:space="preserve">     The mapping from the 2-bit sub-band differential CQI values to the offset level is shown in Table 5.2.2.1-1</w:t>
            </w:r>
          </w:p>
          <w:p w14:paraId="3CE306B4" w14:textId="77777777" w:rsidR="007B4939" w:rsidRDefault="007B4939">
            <w:pPr>
              <w:overflowPunct w:val="0"/>
              <w:adjustRightInd w:val="0"/>
              <w:textAlignment w:val="baseline"/>
              <w:rPr>
                <w:rFonts w:ascii="Times New Roman" w:eastAsia="SimSun" w:hAnsi="Times New Roman" w:cs="Times New Roman"/>
                <w:szCs w:val="20"/>
                <w:lang w:val="en-GB"/>
              </w:rPr>
            </w:pPr>
          </w:p>
          <w:p w14:paraId="6C84EC3F" w14:textId="77777777" w:rsidR="007B4939" w:rsidRDefault="00DA461D">
            <w:pPr>
              <w:keepNext/>
              <w:keepLines/>
              <w:numPr>
                <w:ilvl w:val="0"/>
                <w:numId w:val="13"/>
              </w:numPr>
              <w:overflowPunct w:val="0"/>
              <w:adjustRightInd w:val="0"/>
              <w:spacing w:before="60"/>
              <w:ind w:left="0" w:firstLine="0"/>
              <w:jc w:val="center"/>
              <w:textAlignment w:val="baseline"/>
              <w:rPr>
                <w:rFonts w:ascii="Times New Roman" w:eastAsia="SimSun" w:hAnsi="Times New Roman" w:cs="Times New Roman"/>
                <w:b/>
                <w:color w:val="000000"/>
                <w:szCs w:val="20"/>
                <w:lang w:val="en-GB"/>
              </w:rPr>
            </w:pPr>
            <w:r>
              <w:rPr>
                <w:rFonts w:ascii="Times New Roman" w:eastAsia="SimSun" w:hAnsi="Times New Roman" w:cs="Times New Roman"/>
                <w:b/>
                <w:color w:val="000000"/>
                <w:szCs w:val="20"/>
                <w:lang w:val="en-GB"/>
              </w:rPr>
              <w:t>Table 5.2.2.1-1: Mapping sub-band differential CQI value to offset level</w:t>
            </w:r>
          </w:p>
          <w:tbl>
            <w:tblPr>
              <w:tblW w:w="0" w:type="auto"/>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134"/>
            </w:tblGrid>
            <w:tr w:rsidR="007B4939" w14:paraId="09EB60B9" w14:textId="77777777">
              <w:trPr>
                <w:trHeight w:val="175"/>
              </w:trPr>
              <w:tc>
                <w:tcPr>
                  <w:tcW w:w="3276" w:type="dxa"/>
                  <w:shd w:val="clear" w:color="auto" w:fill="auto"/>
                </w:tcPr>
                <w:p w14:paraId="42682A51" w14:textId="77777777" w:rsidR="007B4939" w:rsidRDefault="00DA461D">
                  <w:pPr>
                    <w:keepNext/>
                    <w:keepLines/>
                    <w:overflowPunct w:val="0"/>
                    <w:adjustRightInd w:val="0"/>
                    <w:jc w:val="center"/>
                    <w:textAlignment w:val="baseline"/>
                    <w:rPr>
                      <w:rFonts w:ascii="Times New Roman" w:eastAsia="SimSun" w:hAnsi="Times New Roman" w:cs="Times New Roman"/>
                      <w:b/>
                      <w:szCs w:val="20"/>
                      <w:lang w:val="en-GB" w:eastAsia="en-GB"/>
                    </w:rPr>
                  </w:pPr>
                  <w:r>
                    <w:rPr>
                      <w:rFonts w:ascii="Times New Roman" w:eastAsia="SimSun" w:hAnsi="Times New Roman" w:cs="Times New Roman"/>
                      <w:b/>
                      <w:szCs w:val="20"/>
                      <w:lang w:val="en-GB" w:eastAsia="en-GB"/>
                    </w:rPr>
                    <w:t>Sub-band differential CQI value</w:t>
                  </w:r>
                </w:p>
              </w:tc>
              <w:tc>
                <w:tcPr>
                  <w:tcW w:w="3134" w:type="dxa"/>
                  <w:shd w:val="clear" w:color="auto" w:fill="auto"/>
                </w:tcPr>
                <w:p w14:paraId="312C41F7" w14:textId="77777777" w:rsidR="007B4939" w:rsidRDefault="00DA461D">
                  <w:pPr>
                    <w:keepNext/>
                    <w:keepLines/>
                    <w:overflowPunct w:val="0"/>
                    <w:adjustRightInd w:val="0"/>
                    <w:jc w:val="center"/>
                    <w:textAlignment w:val="baseline"/>
                    <w:rPr>
                      <w:rFonts w:ascii="Times New Roman" w:eastAsia="SimSun" w:hAnsi="Times New Roman" w:cs="Times New Roman"/>
                      <w:b/>
                      <w:szCs w:val="20"/>
                      <w:lang w:val="en-GB" w:eastAsia="en-GB"/>
                    </w:rPr>
                  </w:pPr>
                  <w:r>
                    <w:rPr>
                      <w:rFonts w:ascii="Times New Roman" w:eastAsia="SimSun" w:hAnsi="Times New Roman" w:cs="Times New Roman"/>
                      <w:b/>
                      <w:szCs w:val="20"/>
                      <w:lang w:val="en-GB" w:eastAsia="en-GB"/>
                    </w:rPr>
                    <w:t>Offset level</w:t>
                  </w:r>
                </w:p>
              </w:tc>
            </w:tr>
            <w:tr w:rsidR="007B4939" w14:paraId="6C069A7F" w14:textId="77777777">
              <w:trPr>
                <w:trHeight w:val="175"/>
              </w:trPr>
              <w:tc>
                <w:tcPr>
                  <w:tcW w:w="3276" w:type="dxa"/>
                  <w:shd w:val="clear" w:color="auto" w:fill="auto"/>
                </w:tcPr>
                <w:p w14:paraId="25EA5155"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0</w:t>
                  </w:r>
                </w:p>
              </w:tc>
              <w:tc>
                <w:tcPr>
                  <w:tcW w:w="3134" w:type="dxa"/>
                  <w:shd w:val="clear" w:color="auto" w:fill="auto"/>
                </w:tcPr>
                <w:p w14:paraId="293EDF3B"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0</w:t>
                  </w:r>
                </w:p>
              </w:tc>
            </w:tr>
            <w:tr w:rsidR="007B4939" w14:paraId="1E516AF6" w14:textId="77777777">
              <w:trPr>
                <w:trHeight w:val="175"/>
              </w:trPr>
              <w:tc>
                <w:tcPr>
                  <w:tcW w:w="3276" w:type="dxa"/>
                  <w:shd w:val="clear" w:color="auto" w:fill="auto"/>
                </w:tcPr>
                <w:p w14:paraId="5461DF97"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c>
                <w:tcPr>
                  <w:tcW w:w="3134" w:type="dxa"/>
                  <w:shd w:val="clear" w:color="auto" w:fill="auto"/>
                </w:tcPr>
                <w:p w14:paraId="49CB7B99"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r>
            <w:tr w:rsidR="007B4939" w14:paraId="44B0FCB0" w14:textId="77777777">
              <w:trPr>
                <w:trHeight w:val="175"/>
              </w:trPr>
              <w:tc>
                <w:tcPr>
                  <w:tcW w:w="3276" w:type="dxa"/>
                  <w:shd w:val="clear" w:color="auto" w:fill="auto"/>
                </w:tcPr>
                <w:p w14:paraId="348112B2"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2</w:t>
                  </w:r>
                </w:p>
              </w:tc>
              <w:tc>
                <w:tcPr>
                  <w:tcW w:w="3134" w:type="dxa"/>
                  <w:shd w:val="clear" w:color="auto" w:fill="auto"/>
                </w:tcPr>
                <w:p w14:paraId="56B6FA66"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 2</w:t>
                  </w:r>
                </w:p>
              </w:tc>
            </w:tr>
            <w:tr w:rsidR="007B4939" w14:paraId="58B48129" w14:textId="77777777">
              <w:trPr>
                <w:trHeight w:val="182"/>
              </w:trPr>
              <w:tc>
                <w:tcPr>
                  <w:tcW w:w="3276" w:type="dxa"/>
                  <w:shd w:val="clear" w:color="auto" w:fill="auto"/>
                </w:tcPr>
                <w:p w14:paraId="54DAB96A"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3</w:t>
                  </w:r>
                </w:p>
              </w:tc>
              <w:tc>
                <w:tcPr>
                  <w:tcW w:w="3134" w:type="dxa"/>
                  <w:shd w:val="clear" w:color="auto" w:fill="auto"/>
                </w:tcPr>
                <w:p w14:paraId="6607EA4D" w14:textId="77777777" w:rsidR="007B4939" w:rsidRDefault="00DA461D">
                  <w:pPr>
                    <w:keepNext/>
                    <w:keepLines/>
                    <w:overflowPunct w:val="0"/>
                    <w:adjustRightInd w:val="0"/>
                    <w:jc w:val="center"/>
                    <w:textAlignment w:val="baseline"/>
                    <w:rPr>
                      <w:rFonts w:ascii="Times New Roman" w:eastAsia="SimSun" w:hAnsi="Times New Roman" w:cs="Times New Roman"/>
                      <w:szCs w:val="20"/>
                      <w:lang w:val="en-GB" w:eastAsia="en-GB"/>
                    </w:rPr>
                  </w:pPr>
                  <w:r>
                    <w:rPr>
                      <w:rFonts w:ascii="Times New Roman" w:eastAsia="SimSun" w:hAnsi="Times New Roman" w:cs="Times New Roman"/>
                      <w:szCs w:val="20"/>
                      <w:lang w:val="en-GB" w:eastAsia="en-GB"/>
                    </w:rPr>
                    <w:t>≤-1</w:t>
                  </w:r>
                </w:p>
              </w:tc>
            </w:tr>
          </w:tbl>
          <w:p w14:paraId="1FCBDF08" w14:textId="77777777" w:rsidR="007B4939" w:rsidRDefault="007B4939">
            <w:pPr>
              <w:overflowPunct w:val="0"/>
              <w:adjustRightInd w:val="0"/>
              <w:ind w:left="851" w:hanging="284"/>
              <w:textAlignment w:val="baseline"/>
              <w:rPr>
                <w:rFonts w:ascii="Times New Roman" w:eastAsia="SimSun" w:hAnsi="Times New Roman" w:cs="Times New Roman"/>
                <w:szCs w:val="20"/>
                <w:lang w:val="en-GB"/>
              </w:rPr>
            </w:pPr>
          </w:p>
          <w:p w14:paraId="6B380747" w14:textId="77777777" w:rsidR="007B4939" w:rsidRDefault="00DA461D">
            <w:pPr>
              <w:overflowPunct w:val="0"/>
              <w:adjustRightInd w:val="0"/>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 xml:space="preserve">    A combination of modulation scheme and transport block size corresponds to a CQI index if:</w:t>
            </w:r>
          </w:p>
          <w:p w14:paraId="5F7C12AC" w14:textId="77777777" w:rsidR="007B4939" w:rsidRDefault="00DA461D">
            <w:pPr>
              <w:overflowPunct w:val="0"/>
              <w:adjustRightInd w:val="0"/>
              <w:ind w:left="568" w:hanging="284"/>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w:t>
            </w:r>
            <w:r>
              <w:rPr>
                <w:rFonts w:ascii="Times New Roman" w:eastAsia="SimSun" w:hAnsi="Times New Roman" w:cs="Times New Roman"/>
                <w:color w:val="000000"/>
                <w:szCs w:val="20"/>
                <w:lang w:val="en-GB"/>
              </w:rPr>
              <w:tab/>
              <w:t xml:space="preserve">the combination could be signaled for transmission on the PDSCH in the CSI reference resource according to the Transport Block Size determination described in Clause 5.1.3.2, and </w:t>
            </w:r>
          </w:p>
          <w:p w14:paraId="35E52F45" w14:textId="77777777" w:rsidR="007B4939" w:rsidRDefault="00DA461D">
            <w:pPr>
              <w:overflowPunct w:val="0"/>
              <w:adjustRightInd w:val="0"/>
              <w:ind w:left="568" w:hanging="284"/>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w:t>
            </w:r>
            <w:r>
              <w:rPr>
                <w:rFonts w:ascii="Times New Roman" w:eastAsia="SimSun" w:hAnsi="Times New Roman" w:cs="Times New Roman"/>
                <w:color w:val="000000"/>
                <w:szCs w:val="20"/>
                <w:lang w:val="en-GB"/>
              </w:rPr>
              <w:tab/>
              <w:t xml:space="preserve">the modulation scheme is indicated by the CQI index, and </w:t>
            </w:r>
          </w:p>
          <w:p w14:paraId="34533B4A" w14:textId="77777777" w:rsidR="007B4939" w:rsidRDefault="00DA461D">
            <w:pPr>
              <w:overflowPunct w:val="0"/>
              <w:adjustRightInd w:val="0"/>
              <w:ind w:left="568" w:hanging="284"/>
              <w:textAlignment w:val="baseline"/>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w:t>
            </w:r>
            <w:r>
              <w:rPr>
                <w:rFonts w:ascii="Times New Roman" w:eastAsia="SimSun" w:hAnsi="Times New Roman" w:cs="Times New Roman"/>
                <w:color w:val="000000"/>
                <w:szCs w:val="20"/>
                <w:lang w:val="en-GB"/>
              </w:rPr>
              <w:tab/>
              <w:t>the combination of transport block size and modulation scheme when applied to the reference resource results in the effective channel code rate which is the closest possible to the code rate indicated by the CQI index. If more than one combination of transport block size and modulation scheme results in an effective channel code rate equally close to the code rate indicated by the CQI index, only the combination with the smallest of such transport block sizes is relevant.</w:t>
            </w:r>
          </w:p>
        </w:tc>
      </w:tr>
    </w:tbl>
    <w:p w14:paraId="0CCD949B" w14:textId="77777777" w:rsidR="007B4939" w:rsidRDefault="007B4939">
      <w:pPr>
        <w:rPr>
          <w:rFonts w:ascii="Times New Roman" w:hAnsi="Times New Roman" w:cs="Times New Roman"/>
          <w:szCs w:val="20"/>
        </w:rPr>
      </w:pPr>
    </w:p>
    <w:p w14:paraId="45CAC7F7" w14:textId="77777777" w:rsidR="007B4939" w:rsidRDefault="00DA461D">
      <w:pPr>
        <w:rPr>
          <w:rFonts w:ascii="Times New Roman" w:hAnsi="Times New Roman" w:cs="Times New Roman"/>
          <w:szCs w:val="20"/>
        </w:rPr>
      </w:pPr>
      <w:r>
        <w:rPr>
          <w:rFonts w:ascii="Times New Roman" w:hAnsi="Times New Roman" w:cs="Times New Roman"/>
          <w:szCs w:val="20"/>
        </w:rPr>
        <w:t xml:space="preserve">According to [2], the specification text highlighted </w:t>
      </w:r>
      <w:r>
        <w:rPr>
          <w:rFonts w:ascii="Times New Roman" w:hAnsi="Times New Roman" w:cs="Times New Roman"/>
          <w:szCs w:val="20"/>
          <w:highlight w:val="cyan"/>
        </w:rPr>
        <w:t>above</w:t>
      </w:r>
      <w:r>
        <w:rPr>
          <w:rFonts w:ascii="Times New Roman" w:hAnsi="Times New Roman" w:cs="Times New Roman"/>
          <w:szCs w:val="20"/>
        </w:rPr>
        <w:t xml:space="preserve"> on “the bandwidth as configured for the corresponding CQI report” could be interpreted in two ways in case the network configures subband CQI reporting:</w:t>
      </w:r>
    </w:p>
    <w:tbl>
      <w:tblPr>
        <w:tblStyle w:val="af7"/>
        <w:tblW w:w="0" w:type="auto"/>
        <w:tblLook w:val="04A0" w:firstRow="1" w:lastRow="0" w:firstColumn="1" w:lastColumn="0" w:noHBand="0" w:noVBand="1"/>
      </w:tblPr>
      <w:tblGrid>
        <w:gridCol w:w="9629"/>
      </w:tblGrid>
      <w:tr w:rsidR="007B4939" w14:paraId="000DBB23" w14:textId="77777777">
        <w:tc>
          <w:tcPr>
            <w:tcW w:w="9629" w:type="dxa"/>
          </w:tcPr>
          <w:p w14:paraId="0F66176A" w14:textId="77777777" w:rsidR="007B4939" w:rsidRDefault="00DA461D">
            <w:pPr>
              <w:overflowPunct w:val="0"/>
              <w:adjustRightInd w:val="0"/>
              <w:spacing w:before="240" w:after="18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Case 2: gNB has configured SB CQI reporting</w:t>
            </w:r>
          </w:p>
          <w:p w14:paraId="5A9CF853" w14:textId="77777777" w:rsidR="007B4939" w:rsidRDefault="00DA461D">
            <w:pPr>
              <w:spacing w:before="240"/>
              <w:ind w:left="720"/>
              <w:contextualSpacing/>
              <w:rPr>
                <w:rFonts w:ascii="Times New Roman" w:eastAsia="SimSun" w:hAnsi="Times New Roman" w:cs="Times New Roman"/>
                <w:szCs w:val="20"/>
                <w:lang w:val="en-GB"/>
              </w:rPr>
            </w:pPr>
            <w:r>
              <w:rPr>
                <w:rFonts w:ascii="Times New Roman" w:eastAsia="SimSun" w:hAnsi="Times New Roman" w:cs="Times New Roman"/>
                <w:szCs w:val="20"/>
                <w:u w:val="single"/>
                <w:lang w:val="en-GB"/>
              </w:rPr>
              <w:t xml:space="preserve">Interpretation 1: </w:t>
            </w:r>
            <w:r>
              <w:rPr>
                <w:rFonts w:ascii="Times New Roman" w:eastAsia="SimSun" w:hAnsi="Times New Roman" w:cs="Times New Roman"/>
                <w:i/>
                <w:iCs/>
                <w:szCs w:val="20"/>
                <w:lang w:val="en-GB"/>
              </w:rPr>
              <w:t>bandwidth of SB is used for WB-CQI calculation</w:t>
            </w:r>
          </w:p>
          <w:p w14:paraId="52EF788B" w14:textId="77777777" w:rsidR="007B4939" w:rsidRDefault="00DA461D">
            <w:pPr>
              <w:spacing w:before="240"/>
              <w:ind w:left="720"/>
              <w:contextualSpacing/>
              <w:rPr>
                <w:rFonts w:ascii="Times New Roman" w:eastAsia="SimSun" w:hAnsi="Times New Roman" w:cs="Times New Roman"/>
                <w:szCs w:val="20"/>
                <w:lang w:val="en-GB"/>
              </w:rPr>
            </w:pPr>
            <w:r>
              <w:rPr>
                <w:rFonts w:ascii="Times New Roman" w:eastAsia="SimSun" w:hAnsi="Times New Roman" w:cs="Times New Roman"/>
                <w:szCs w:val="20"/>
                <w:lang w:val="en-GB"/>
              </w:rPr>
              <w:t>In this interpretation, “</w:t>
            </w:r>
            <w:r>
              <w:rPr>
                <w:rFonts w:ascii="Times New Roman" w:eastAsia="SimSun" w:hAnsi="Times New Roman" w:cs="Times New Roman"/>
                <w:i/>
                <w:iCs/>
                <w:szCs w:val="20"/>
                <w:highlight w:val="cyan"/>
                <w:lang w:val="en-GB"/>
              </w:rPr>
              <w:t>bandwidth as configured for the corresponding CQI report</w:t>
            </w:r>
            <w:r>
              <w:rPr>
                <w:rFonts w:ascii="Times New Roman" w:eastAsia="SimSun" w:hAnsi="Times New Roman" w:cs="Times New Roman"/>
                <w:szCs w:val="20"/>
                <w:lang w:val="en-GB"/>
              </w:rPr>
              <w:t xml:space="preserve">” refers to the bandwidth of SB as corresponding CQI report is SB-CQI reporting (configured CQI reporting mode). Also, as the WB-CQI reported together with SB-CQI reporting, the bandwidth assumption for WB-CQI may assume the same bandwidth of SB.  This means that the assumed TBS for both WB-CQI and SB-CQI calculation is derived from the SB bandwidth, based on the fact that the highlighted section 5.2.2.5 bullet point text refers to a single bandwidth value. </w:t>
            </w:r>
            <w:r>
              <w:rPr>
                <w:rFonts w:ascii="Times New Roman" w:eastAsia="SimSun" w:hAnsi="Times New Roman" w:cs="Times New Roman"/>
                <w:i/>
                <w:iCs/>
                <w:szCs w:val="20"/>
                <w:lang w:val="en-GB"/>
              </w:rPr>
              <w:t>However</w:t>
            </w:r>
            <w:r>
              <w:rPr>
                <w:rFonts w:ascii="Times New Roman" w:eastAsia="SimSun" w:hAnsi="Times New Roman" w:cs="Times New Roman"/>
                <w:szCs w:val="20"/>
                <w:lang w:val="en-GB"/>
              </w:rPr>
              <w:t xml:space="preserve">, </w:t>
            </w:r>
            <w:r>
              <w:rPr>
                <w:rFonts w:ascii="Times New Roman" w:eastAsia="SimSun" w:hAnsi="Times New Roman" w:cs="Times New Roman"/>
                <w:i/>
                <w:iCs/>
                <w:szCs w:val="20"/>
                <w:lang w:val="en-GB"/>
              </w:rPr>
              <w:t>there is no explicit text in the RAN1 specification to properly support this interpretation</w:t>
            </w:r>
            <w:r>
              <w:rPr>
                <w:rFonts w:ascii="Times New Roman" w:eastAsia="SimSun" w:hAnsi="Times New Roman" w:cs="Times New Roman"/>
                <w:szCs w:val="20"/>
                <w:lang w:val="en-GB"/>
              </w:rPr>
              <w:t>.</w:t>
            </w:r>
          </w:p>
          <w:p w14:paraId="47F05805" w14:textId="77777777" w:rsidR="007B4939" w:rsidRDefault="007B4939">
            <w:pPr>
              <w:spacing w:before="240"/>
              <w:ind w:left="720"/>
              <w:contextualSpacing/>
              <w:rPr>
                <w:rFonts w:ascii="Times New Roman" w:eastAsia="SimSun" w:hAnsi="Times New Roman" w:cs="Times New Roman"/>
                <w:lang w:val="en-GB"/>
              </w:rPr>
            </w:pPr>
          </w:p>
          <w:p w14:paraId="6A6D8464" w14:textId="77777777" w:rsidR="007B4939" w:rsidRDefault="00DA461D">
            <w:pPr>
              <w:spacing w:before="240"/>
              <w:ind w:left="720"/>
              <w:contextualSpacing/>
              <w:rPr>
                <w:rFonts w:ascii="Times New Roman" w:eastAsia="SimSun" w:hAnsi="Times New Roman" w:cs="Times New Roman"/>
                <w:szCs w:val="20"/>
                <w:u w:val="single"/>
                <w:lang w:val="en-GB"/>
              </w:rPr>
            </w:pPr>
            <w:r>
              <w:rPr>
                <w:rFonts w:ascii="Times New Roman" w:eastAsia="SimSun" w:hAnsi="Times New Roman" w:cs="Times New Roman"/>
                <w:szCs w:val="20"/>
                <w:u w:val="single"/>
                <w:lang w:val="en-GB"/>
              </w:rPr>
              <w:t xml:space="preserve">Interpretation 2: </w:t>
            </w:r>
            <w:r>
              <w:rPr>
                <w:rFonts w:ascii="Times New Roman" w:eastAsia="SimSun" w:hAnsi="Times New Roman" w:cs="Times New Roman"/>
                <w:i/>
                <w:iCs/>
                <w:szCs w:val="20"/>
                <w:lang w:val="en-GB"/>
              </w:rPr>
              <w:t>entire CSI reporting band for WB-CQI calculation</w:t>
            </w:r>
          </w:p>
          <w:p w14:paraId="067CE299" w14:textId="77777777" w:rsidR="007B4939" w:rsidRDefault="00DA461D">
            <w:pPr>
              <w:spacing w:before="240"/>
              <w:ind w:left="720"/>
              <w:contextualSpacing/>
              <w:rPr>
                <w:rFonts w:ascii="Times New Roman" w:eastAsia="SimSun" w:hAnsi="Times New Roman" w:cs="Times New Roman"/>
                <w:szCs w:val="20"/>
                <w:u w:val="single"/>
                <w:lang w:val="en-GB"/>
              </w:rPr>
            </w:pPr>
            <w:r>
              <w:rPr>
                <w:rFonts w:ascii="Times New Roman" w:eastAsia="SimSun" w:hAnsi="Times New Roman" w:cs="Times New Roman"/>
                <w:szCs w:val="20"/>
                <w:lang w:val="en-GB"/>
              </w:rPr>
              <w:t>In this interpretation, “</w:t>
            </w:r>
            <w:r>
              <w:rPr>
                <w:rFonts w:ascii="Times New Roman" w:eastAsia="SimSun" w:hAnsi="Times New Roman" w:cs="Times New Roman"/>
                <w:i/>
                <w:iCs/>
                <w:szCs w:val="20"/>
                <w:highlight w:val="cyan"/>
                <w:lang w:val="en-GB"/>
              </w:rPr>
              <w:t>bandwidth as configured for the corresponding CQI report</w:t>
            </w:r>
            <w:r>
              <w:rPr>
                <w:rFonts w:ascii="Times New Roman" w:eastAsia="SimSun" w:hAnsi="Times New Roman" w:cs="Times New Roman"/>
                <w:szCs w:val="20"/>
                <w:lang w:val="en-GB"/>
              </w:rPr>
              <w:t>” refers to the bandwidth of SB for SB-CQI and entire CSI reporting band for WB-CQI which is reported with SB-CQI. This may be further clarified as 38.214 has “</w:t>
            </w:r>
            <w:r>
              <w:rPr>
                <w:rFonts w:ascii="Times New Roman" w:eastAsia="SimSun" w:hAnsi="Times New Roman" w:cs="Times New Roman"/>
                <w:szCs w:val="20"/>
                <w:highlight w:val="yellow"/>
                <w:lang w:val="en-GB"/>
              </w:rPr>
              <w:t>the CSI reference resource is defined by the group of downlink physical resource blocks corresponding to the band to which the derived CSI relates</w:t>
            </w:r>
            <w:r>
              <w:rPr>
                <w:rFonts w:ascii="Times New Roman" w:eastAsia="SimSun" w:hAnsi="Times New Roman" w:cs="Times New Roman"/>
                <w:szCs w:val="20"/>
                <w:lang w:val="en-GB"/>
              </w:rPr>
              <w:t xml:space="preserve">” where we can interpret that cases of derived CSI = WB-CQI (BW relates to the entire CSI reporting band) and derived CSI = SB-CQI (BW relates to the sub-band). </w:t>
            </w:r>
          </w:p>
        </w:tc>
      </w:tr>
    </w:tbl>
    <w:p w14:paraId="29D0DFFE" w14:textId="77777777" w:rsidR="007B4939" w:rsidRDefault="007B4939">
      <w:pPr>
        <w:rPr>
          <w:rFonts w:ascii="Times New Roman" w:hAnsi="Times New Roman" w:cs="Times New Roman"/>
          <w:szCs w:val="20"/>
          <w:lang w:val="en-GB"/>
        </w:rPr>
      </w:pPr>
    </w:p>
    <w:p w14:paraId="4D2DE88B" w14:textId="77777777" w:rsidR="007B4939" w:rsidRDefault="00DA461D">
      <w:pPr>
        <w:rPr>
          <w:rFonts w:ascii="Times New Roman" w:hAnsi="Times New Roman" w:cs="Times New Roman"/>
          <w:szCs w:val="20"/>
          <w:lang w:val="en-GB"/>
        </w:rPr>
      </w:pPr>
      <w:r>
        <w:rPr>
          <w:rFonts w:ascii="Times New Roman" w:hAnsi="Times New Roman" w:cs="Times New Roman"/>
          <w:szCs w:val="20"/>
          <w:lang w:val="en-GB"/>
        </w:rPr>
        <w:t>According to [2], the proper understanding is Interpretation 2 and [2] proposes that RAN1 confirms this:</w:t>
      </w:r>
    </w:p>
    <w:tbl>
      <w:tblPr>
        <w:tblStyle w:val="af7"/>
        <w:tblW w:w="0" w:type="auto"/>
        <w:tblLook w:val="04A0" w:firstRow="1" w:lastRow="0" w:firstColumn="1" w:lastColumn="0" w:noHBand="0" w:noVBand="1"/>
      </w:tblPr>
      <w:tblGrid>
        <w:gridCol w:w="9629"/>
      </w:tblGrid>
      <w:tr w:rsidR="007B4939" w14:paraId="2118B10D" w14:textId="77777777">
        <w:tc>
          <w:tcPr>
            <w:tcW w:w="9629" w:type="dxa"/>
          </w:tcPr>
          <w:p w14:paraId="753EF8BB" w14:textId="77777777" w:rsidR="007B4939" w:rsidRDefault="00DA461D">
            <w:pPr>
              <w:overflowPunct w:val="0"/>
              <w:adjustRightInd w:val="0"/>
              <w:textAlignment w:val="baseline"/>
              <w:rPr>
                <w:rFonts w:ascii="Times New Roman" w:eastAsia="SimSun" w:hAnsi="Times New Roman" w:cs="Times New Roman"/>
                <w:b/>
                <w:bCs/>
                <w:szCs w:val="20"/>
                <w:lang w:val="en-GB"/>
              </w:rPr>
            </w:pPr>
            <w:r>
              <w:rPr>
                <w:rFonts w:ascii="Times New Roman" w:eastAsia="SimSun" w:hAnsi="Times New Roman" w:cs="Times New Roman"/>
                <w:b/>
                <w:bCs/>
                <w:szCs w:val="20"/>
                <w:lang w:val="en-GB"/>
              </w:rPr>
              <w:t>Proposal 3.1.1: RAN1 may further confirm/clarify the assumed CSI reference resource bandwidth for SB/WB CQI calculations when SB-CQI reporting has been configured:</w:t>
            </w:r>
          </w:p>
          <w:p w14:paraId="0BD90EC7" w14:textId="77777777" w:rsidR="007B4939" w:rsidRDefault="00DA461D">
            <w:pPr>
              <w:numPr>
                <w:ilvl w:val="0"/>
                <w:numId w:val="14"/>
              </w:numPr>
              <w:overflowPunct w:val="0"/>
              <w:adjustRightInd w:val="0"/>
              <w:contextualSpacing/>
              <w:textAlignment w:val="baseline"/>
              <w:rPr>
                <w:rFonts w:ascii="Times New Roman" w:eastAsia="SimSun" w:hAnsi="Times New Roman" w:cs="Times New Roman"/>
                <w:b/>
                <w:bCs/>
                <w:szCs w:val="20"/>
                <w:lang w:val="en-GB"/>
              </w:rPr>
            </w:pPr>
            <w:r>
              <w:rPr>
                <w:rFonts w:ascii="Times New Roman" w:eastAsia="SimSun" w:hAnsi="Times New Roman" w:cs="Times New Roman"/>
                <w:b/>
                <w:bCs/>
                <w:szCs w:val="20"/>
                <w:lang w:val="en-GB"/>
              </w:rPr>
              <w:t xml:space="preserve">the UE uses two different bandwidth assumptions, one (sub-band bandwidth) for deriving SB CQI </w:t>
            </w:r>
            <w:r>
              <w:rPr>
                <w:rFonts w:ascii="Times New Roman" w:eastAsia="SimSun" w:hAnsi="Times New Roman" w:cs="Times New Roman"/>
                <w:b/>
                <w:bCs/>
                <w:szCs w:val="20"/>
                <w:lang w:val="en-GB"/>
              </w:rPr>
              <w:lastRenderedPageBreak/>
              <w:t>indexes and another (entire CSI reporting band) for deriving WB CQI index as part of SB CQI report.</w:t>
            </w:r>
          </w:p>
        </w:tc>
      </w:tr>
    </w:tbl>
    <w:p w14:paraId="4B4D0182" w14:textId="77777777" w:rsidR="007B4939" w:rsidRDefault="00DA461D">
      <w:pPr>
        <w:rPr>
          <w:rFonts w:ascii="Times New Roman" w:hAnsi="Times New Roman" w:cs="Times New Roman"/>
          <w:szCs w:val="20"/>
          <w:lang w:val="en-GB"/>
        </w:rPr>
      </w:pPr>
      <w:r>
        <w:rPr>
          <w:rFonts w:ascii="Times New Roman" w:hAnsi="Times New Roman" w:cs="Times New Roman"/>
          <w:szCs w:val="20"/>
          <w:lang w:val="en-GB"/>
        </w:rPr>
        <w:lastRenderedPageBreak/>
        <w:t xml:space="preserve"> </w:t>
      </w:r>
    </w:p>
    <w:p w14:paraId="643FC47F" w14:textId="77777777" w:rsidR="007B4939" w:rsidRDefault="00DA461D">
      <w:pPr>
        <w:rPr>
          <w:rFonts w:ascii="Times New Roman" w:hAnsi="Times New Roman" w:cs="Times New Roman"/>
          <w:szCs w:val="20"/>
          <w:lang w:val="en-GB"/>
        </w:rPr>
      </w:pPr>
      <w:r>
        <w:rPr>
          <w:rFonts w:ascii="Times New Roman" w:hAnsi="Times New Roman" w:cs="Times New Roman"/>
          <w:szCs w:val="20"/>
          <w:lang w:val="en-GB"/>
        </w:rPr>
        <w:t>Assuming that the above is agreeable, [2] proposes to a modification to the specification to force the same TBS assumption for both subband and wideband CQI indexes, at least for the 2-bits D-CQI case.</w:t>
      </w:r>
    </w:p>
    <w:tbl>
      <w:tblPr>
        <w:tblStyle w:val="af7"/>
        <w:tblW w:w="0" w:type="auto"/>
        <w:tblLook w:val="04A0" w:firstRow="1" w:lastRow="0" w:firstColumn="1" w:lastColumn="0" w:noHBand="0" w:noVBand="1"/>
      </w:tblPr>
      <w:tblGrid>
        <w:gridCol w:w="9629"/>
      </w:tblGrid>
      <w:tr w:rsidR="007B4939" w14:paraId="5A2B5A38" w14:textId="77777777">
        <w:tc>
          <w:tcPr>
            <w:tcW w:w="9629" w:type="dxa"/>
          </w:tcPr>
          <w:p w14:paraId="7D622808" w14:textId="77777777" w:rsidR="007B4939" w:rsidRDefault="00DA461D">
            <w:pPr>
              <w:overflowPunct w:val="0"/>
              <w:adjustRightInd w:val="0"/>
              <w:spacing w:before="240" w:after="180"/>
              <w:textAlignment w:val="baseline"/>
              <w:rPr>
                <w:rFonts w:ascii="Times New Roman" w:eastAsia="SimSun" w:hAnsi="Times New Roman" w:cs="Times New Roman"/>
                <w:b/>
                <w:bCs/>
                <w:szCs w:val="20"/>
                <w:lang w:val="en-GB"/>
              </w:rPr>
            </w:pPr>
            <w:r>
              <w:rPr>
                <w:rFonts w:ascii="Times New Roman" w:eastAsia="SimSun" w:hAnsi="Times New Roman" w:cs="Times New Roman"/>
                <w:b/>
                <w:bCs/>
                <w:szCs w:val="20"/>
                <w:lang w:val="en-GB"/>
              </w:rPr>
              <w:t>Proposal 3.1.2: In sub-band offset level computation, the TBS assumption used for SB CQI index computation shall be used also for WB CQI index computation.</w:t>
            </w:r>
          </w:p>
          <w:p w14:paraId="39A6AA53" w14:textId="77777777" w:rsidR="007B4939" w:rsidRDefault="00DA461D">
            <w:pPr>
              <w:overflowPunct w:val="0"/>
              <w:adjustRightInd w:val="0"/>
              <w:spacing w:before="240" w:after="180"/>
              <w:textAlignment w:val="baseline"/>
              <w:rPr>
                <w:rFonts w:ascii="Times New Roman" w:eastAsia="SimSun" w:hAnsi="Times New Roman" w:cs="Times New Roman"/>
                <w:szCs w:val="20"/>
                <w:lang w:val="en-GB"/>
              </w:rPr>
            </w:pPr>
            <w:r>
              <w:rPr>
                <w:rFonts w:ascii="Times New Roman" w:eastAsia="SimSun" w:hAnsi="Times New Roman" w:cs="Times New Roman"/>
                <w:szCs w:val="20"/>
                <w:lang w:val="en-GB"/>
              </w:rPr>
              <w:t>The specification can be easily enhanced further by letting gNB configure the TBS that UE should use in CQI index computation. To be on the safe side, UE could use the derived TBS assumption (derived according to existing specification) or the gNB configured TBS assumption, whichever is smaller.</w:t>
            </w:r>
          </w:p>
          <w:p w14:paraId="49E10FE3" w14:textId="77777777" w:rsidR="007B4939" w:rsidRDefault="00DA461D">
            <w:pPr>
              <w:overflowPunct w:val="0"/>
              <w:adjustRightInd w:val="0"/>
              <w:spacing w:before="240" w:after="180"/>
              <w:textAlignment w:val="baseline"/>
              <w:rPr>
                <w:rFonts w:ascii="Times New Roman" w:eastAsia="SimSun" w:hAnsi="Times New Roman" w:cs="Times New Roman"/>
                <w:b/>
                <w:bCs/>
                <w:szCs w:val="20"/>
                <w:lang w:val="en-GB"/>
              </w:rPr>
            </w:pPr>
            <w:r>
              <w:rPr>
                <w:rFonts w:ascii="Times New Roman" w:eastAsia="SimSun" w:hAnsi="Times New Roman" w:cs="Times New Roman"/>
                <w:b/>
                <w:bCs/>
                <w:szCs w:val="20"/>
                <w:lang w:val="en-GB"/>
              </w:rPr>
              <w:t>Proposal 3.1.3: gNB can configure the TBS assumption that UE shall use in CQI index computation. UE shall use the derived TBS assumption (derived according to existing specification) or the gNB configured TBS assumption, whichever is smaller.</w:t>
            </w:r>
          </w:p>
        </w:tc>
      </w:tr>
    </w:tbl>
    <w:p w14:paraId="4C30FF9E" w14:textId="77777777" w:rsidR="007B4939" w:rsidRDefault="007B4939">
      <w:pPr>
        <w:rPr>
          <w:rFonts w:ascii="Times New Roman" w:hAnsi="Times New Roman" w:cs="Times New Roman"/>
          <w:szCs w:val="20"/>
          <w:lang w:val="en-GB"/>
        </w:rPr>
      </w:pPr>
    </w:p>
    <w:p w14:paraId="0ECB321C" w14:textId="77777777" w:rsidR="007B4939" w:rsidRDefault="00DA461D">
      <w:pPr>
        <w:pStyle w:val="20"/>
        <w:framePr w:wrap="around"/>
        <w:rPr>
          <w:rFonts w:ascii="Times New Roman" w:hAnsi="Times New Roman"/>
          <w:szCs w:val="28"/>
        </w:rPr>
      </w:pPr>
      <w:r>
        <w:rPr>
          <w:rFonts w:ascii="Times New Roman" w:eastAsiaTheme="minorEastAsia" w:hAnsi="Times New Roman" w:cstheme="minorBidi"/>
          <w:szCs w:val="28"/>
          <w:lang w:eastAsia="ko-KR"/>
        </w:rPr>
        <w:t>E-mail discussion (1</w:t>
      </w:r>
      <w:r>
        <w:rPr>
          <w:rFonts w:ascii="Times New Roman" w:eastAsiaTheme="minorEastAsia" w:hAnsi="Times New Roman" w:cstheme="minorBidi"/>
          <w:szCs w:val="28"/>
          <w:vertAlign w:val="superscript"/>
          <w:lang w:eastAsia="ko-KR"/>
        </w:rPr>
        <w:t>st</w:t>
      </w:r>
      <w:r>
        <w:rPr>
          <w:rFonts w:ascii="Times New Roman" w:eastAsiaTheme="minorEastAsia" w:hAnsi="Times New Roman" w:cstheme="minorBidi"/>
          <w:szCs w:val="28"/>
          <w:lang w:eastAsia="ko-KR"/>
        </w:rPr>
        <w:t xml:space="preserve"> round) for Topic #1</w:t>
      </w:r>
    </w:p>
    <w:p w14:paraId="00BCA0D3" w14:textId="77777777" w:rsidR="00DA461D" w:rsidRDefault="00DA461D">
      <w:pPr>
        <w:rPr>
          <w:rFonts w:ascii="Times New Roman" w:hAnsi="Times New Roman" w:cs="Times New Roman"/>
          <w:b/>
          <w:bCs/>
          <w:szCs w:val="20"/>
          <w:highlight w:val="yellow"/>
        </w:rPr>
      </w:pPr>
    </w:p>
    <w:p w14:paraId="43A85823" w14:textId="77777777" w:rsidR="00DA461D" w:rsidRDefault="00DA461D">
      <w:pPr>
        <w:rPr>
          <w:rFonts w:ascii="Times New Roman" w:hAnsi="Times New Roman" w:cs="Times New Roman"/>
          <w:b/>
          <w:bCs/>
          <w:szCs w:val="20"/>
          <w:highlight w:val="yellow"/>
        </w:rPr>
      </w:pPr>
    </w:p>
    <w:p w14:paraId="244E0A41" w14:textId="5F726C0F" w:rsidR="007B4939" w:rsidRDefault="00DA461D">
      <w:pPr>
        <w:rPr>
          <w:rFonts w:ascii="Times New Roman" w:hAnsi="Times New Roman" w:cs="Times New Roman"/>
        </w:rPr>
      </w:pPr>
      <w:r>
        <w:rPr>
          <w:rFonts w:ascii="Times New Roman" w:hAnsi="Times New Roman" w:cs="Times New Roman"/>
          <w:b/>
          <w:bCs/>
          <w:szCs w:val="20"/>
          <w:highlight w:val="yellow"/>
        </w:rPr>
        <w:t>Question 1-1</w:t>
      </w:r>
      <w:r>
        <w:rPr>
          <w:rFonts w:ascii="Times New Roman" w:hAnsi="Times New Roman" w:cs="Times New Roman"/>
          <w:szCs w:val="20"/>
        </w:rPr>
        <w:t xml:space="preserve">: </w:t>
      </w:r>
      <w:r>
        <w:rPr>
          <w:rFonts w:ascii="Times New Roman" w:hAnsi="Times New Roman" w:cs="Times New Roman"/>
        </w:rPr>
        <w:t xml:space="preserve">Please indicate your interpretation of </w:t>
      </w:r>
      <w:r>
        <w:rPr>
          <w:rFonts w:ascii="Times New Roman" w:eastAsia="SimSun" w:hAnsi="Times New Roman" w:cs="Times New Roman"/>
          <w:i/>
          <w:iCs/>
          <w:highlight w:val="cyan"/>
          <w:lang w:val="en-GB"/>
        </w:rPr>
        <w:t>bandwidth as configured for the corresponding CQI report</w:t>
      </w:r>
      <w:r>
        <w:rPr>
          <w:rFonts w:ascii="Times New Roman" w:eastAsia="SimSun" w:hAnsi="Times New Roman" w:cs="Times New Roman"/>
          <w:lang w:val="en-GB"/>
        </w:rPr>
        <w:t xml:space="preserve"> for the wideband CQI, in case the network configures subband CQI reporting. Please also indicate if you think there should be a difference between 2-bits subband D-CQI and 4-bits subband CQI.</w:t>
      </w:r>
    </w:p>
    <w:tbl>
      <w:tblPr>
        <w:tblStyle w:val="af7"/>
        <w:tblW w:w="0" w:type="auto"/>
        <w:tblLook w:val="04A0" w:firstRow="1" w:lastRow="0" w:firstColumn="1" w:lastColumn="0" w:noHBand="0" w:noVBand="1"/>
      </w:tblPr>
      <w:tblGrid>
        <w:gridCol w:w="1597"/>
        <w:gridCol w:w="1414"/>
        <w:gridCol w:w="6618"/>
      </w:tblGrid>
      <w:tr w:rsidR="007B4939" w14:paraId="26DE4CA8" w14:textId="77777777">
        <w:tc>
          <w:tcPr>
            <w:tcW w:w="1597" w:type="dxa"/>
            <w:tcBorders>
              <w:top w:val="single" w:sz="4" w:space="0" w:color="auto"/>
              <w:left w:val="single" w:sz="4" w:space="0" w:color="auto"/>
              <w:bottom w:val="single" w:sz="4" w:space="0" w:color="auto"/>
              <w:right w:val="single" w:sz="4" w:space="0" w:color="auto"/>
            </w:tcBorders>
          </w:tcPr>
          <w:p w14:paraId="60EC2E49"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Company</w:t>
            </w:r>
          </w:p>
        </w:tc>
        <w:tc>
          <w:tcPr>
            <w:tcW w:w="1414" w:type="dxa"/>
            <w:tcBorders>
              <w:top w:val="single" w:sz="4" w:space="0" w:color="auto"/>
              <w:left w:val="single" w:sz="4" w:space="0" w:color="auto"/>
              <w:bottom w:val="single" w:sz="4" w:space="0" w:color="auto"/>
              <w:right w:val="single" w:sz="4" w:space="0" w:color="auto"/>
            </w:tcBorders>
          </w:tcPr>
          <w:p w14:paraId="5FB89C15"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Interpretation</w:t>
            </w:r>
          </w:p>
        </w:tc>
        <w:tc>
          <w:tcPr>
            <w:tcW w:w="6618" w:type="dxa"/>
            <w:tcBorders>
              <w:top w:val="single" w:sz="4" w:space="0" w:color="auto"/>
              <w:left w:val="single" w:sz="4" w:space="0" w:color="auto"/>
              <w:bottom w:val="single" w:sz="4" w:space="0" w:color="auto"/>
              <w:right w:val="single" w:sz="4" w:space="0" w:color="auto"/>
            </w:tcBorders>
          </w:tcPr>
          <w:p w14:paraId="4848AB3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Comments</w:t>
            </w:r>
          </w:p>
        </w:tc>
      </w:tr>
      <w:tr w:rsidR="007B4939" w14:paraId="0A570681" w14:textId="77777777">
        <w:tc>
          <w:tcPr>
            <w:tcW w:w="1597" w:type="dxa"/>
            <w:tcBorders>
              <w:top w:val="single" w:sz="4" w:space="0" w:color="auto"/>
              <w:left w:val="single" w:sz="4" w:space="0" w:color="auto"/>
              <w:bottom w:val="single" w:sz="4" w:space="0" w:color="auto"/>
              <w:right w:val="single" w:sz="4" w:space="0" w:color="auto"/>
            </w:tcBorders>
          </w:tcPr>
          <w:p w14:paraId="392F886C"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HW/HiSi</w:t>
            </w:r>
          </w:p>
        </w:tc>
        <w:tc>
          <w:tcPr>
            <w:tcW w:w="1414" w:type="dxa"/>
            <w:tcBorders>
              <w:top w:val="single" w:sz="4" w:space="0" w:color="auto"/>
              <w:left w:val="single" w:sz="4" w:space="0" w:color="auto"/>
              <w:bottom w:val="single" w:sz="4" w:space="0" w:color="auto"/>
              <w:right w:val="single" w:sz="4" w:space="0" w:color="auto"/>
            </w:tcBorders>
          </w:tcPr>
          <w:p w14:paraId="6F916455"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37C30D8F"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wideband CQI that is reported together with the 4-bit subband CQI should be same as for the legacy 2-bits subband CQI.</w:t>
            </w:r>
          </w:p>
          <w:p w14:paraId="50EC0A61"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the other part of this question and for the remaining questions, could you please clarify, because we are not sure if Rel-17 URLLC is the proper place to handle them? Isn’t this more related to Rel-15? </w:t>
            </w:r>
          </w:p>
        </w:tc>
      </w:tr>
      <w:tr w:rsidR="007B4939" w14:paraId="3ED54FBE" w14:textId="77777777">
        <w:tc>
          <w:tcPr>
            <w:tcW w:w="1597" w:type="dxa"/>
            <w:tcBorders>
              <w:top w:val="single" w:sz="4" w:space="0" w:color="auto"/>
              <w:left w:val="single" w:sz="4" w:space="0" w:color="auto"/>
              <w:bottom w:val="single" w:sz="4" w:space="0" w:color="auto"/>
              <w:right w:val="single" w:sz="4" w:space="0" w:color="auto"/>
            </w:tcBorders>
          </w:tcPr>
          <w:p w14:paraId="47A13F7B"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Intel</w:t>
            </w:r>
          </w:p>
        </w:tc>
        <w:tc>
          <w:tcPr>
            <w:tcW w:w="1414" w:type="dxa"/>
            <w:tcBorders>
              <w:top w:val="single" w:sz="4" w:space="0" w:color="auto"/>
              <w:left w:val="single" w:sz="4" w:space="0" w:color="auto"/>
              <w:bottom w:val="single" w:sz="4" w:space="0" w:color="auto"/>
              <w:right w:val="single" w:sz="4" w:space="0" w:color="auto"/>
            </w:tcBorders>
          </w:tcPr>
          <w:p w14:paraId="100D2981"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63FDE8D7"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Note, in past we submitted maintentance tdoc in R1-1910633 regarding similar issue, but it was not eventually agreed. We can at least clarify this for the new 4-bit reporting mode.</w:t>
            </w:r>
          </w:p>
          <w:p w14:paraId="1EDA7C0A"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We don’t think there is currently a common understanding on Interpretation 1 vs Interpretation 2. In the same time Interpretation 1 is preferred.</w:t>
            </w:r>
          </w:p>
        </w:tc>
      </w:tr>
      <w:tr w:rsidR="007B4939" w14:paraId="09CBDC7A" w14:textId="77777777">
        <w:tc>
          <w:tcPr>
            <w:tcW w:w="1597" w:type="dxa"/>
            <w:tcBorders>
              <w:top w:val="single" w:sz="4" w:space="0" w:color="auto"/>
              <w:left w:val="single" w:sz="4" w:space="0" w:color="auto"/>
              <w:bottom w:val="single" w:sz="4" w:space="0" w:color="auto"/>
              <w:right w:val="single" w:sz="4" w:space="0" w:color="auto"/>
            </w:tcBorders>
          </w:tcPr>
          <w:p w14:paraId="18610A23"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Apple</w:t>
            </w:r>
          </w:p>
        </w:tc>
        <w:tc>
          <w:tcPr>
            <w:tcW w:w="1414" w:type="dxa"/>
            <w:tcBorders>
              <w:top w:val="single" w:sz="4" w:space="0" w:color="auto"/>
              <w:left w:val="single" w:sz="4" w:space="0" w:color="auto"/>
              <w:bottom w:val="single" w:sz="4" w:space="0" w:color="auto"/>
              <w:right w:val="single" w:sz="4" w:space="0" w:color="auto"/>
            </w:tcBorders>
          </w:tcPr>
          <w:p w14:paraId="5DCE9995"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59E6E429"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Rel-17 URLLC CSI feedback enhancement is about replacing 2-bit subband CQI with 4 bit subband CQI, and nothing else. This is not the right venue to open discussion on how CQI is acutally calculated, which can be handled in Rel-16 maintenance session if necessary (we don’t see the point of doing that).</w:t>
            </w:r>
          </w:p>
        </w:tc>
      </w:tr>
      <w:tr w:rsidR="007B4939" w14:paraId="54B53C05" w14:textId="77777777">
        <w:tc>
          <w:tcPr>
            <w:tcW w:w="1597" w:type="dxa"/>
            <w:tcBorders>
              <w:top w:val="single" w:sz="4" w:space="0" w:color="auto"/>
              <w:left w:val="single" w:sz="4" w:space="0" w:color="auto"/>
              <w:bottom w:val="single" w:sz="4" w:space="0" w:color="auto"/>
              <w:right w:val="single" w:sz="4" w:space="0" w:color="auto"/>
            </w:tcBorders>
          </w:tcPr>
          <w:p w14:paraId="6CD5F727"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DOCOMO</w:t>
            </w:r>
          </w:p>
        </w:tc>
        <w:tc>
          <w:tcPr>
            <w:tcW w:w="1414" w:type="dxa"/>
            <w:tcBorders>
              <w:top w:val="single" w:sz="4" w:space="0" w:color="auto"/>
              <w:left w:val="single" w:sz="4" w:space="0" w:color="auto"/>
              <w:bottom w:val="single" w:sz="4" w:space="0" w:color="auto"/>
              <w:right w:val="single" w:sz="4" w:space="0" w:color="auto"/>
            </w:tcBorders>
          </w:tcPr>
          <w:p w14:paraId="67779444"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717FF3B4"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hint="eastAsia"/>
                <w:szCs w:val="20"/>
                <w:lang w:val="en-CA"/>
              </w:rPr>
              <w:t xml:space="preserve">We share the same view as HW/HiSi and Apple. </w:t>
            </w:r>
            <w:r>
              <w:rPr>
                <w:rFonts w:ascii="Times New Roman" w:hAnsi="Times New Roman" w:cs="Times New Roman"/>
                <w:szCs w:val="20"/>
                <w:lang w:val="en-CA"/>
              </w:rPr>
              <w:t>Other than replacing 2-bits subband CQI by 4-bits subband CQI, no change is made in Rel-17 URLLC CSI feedback enhancement. The question should be discussed in a proper AI.</w:t>
            </w:r>
          </w:p>
        </w:tc>
      </w:tr>
      <w:tr w:rsidR="007B4939" w14:paraId="469081B0" w14:textId="77777777">
        <w:tc>
          <w:tcPr>
            <w:tcW w:w="1597" w:type="dxa"/>
            <w:tcBorders>
              <w:top w:val="single" w:sz="4" w:space="0" w:color="auto"/>
              <w:left w:val="single" w:sz="4" w:space="0" w:color="auto"/>
              <w:bottom w:val="single" w:sz="4" w:space="0" w:color="auto"/>
              <w:right w:val="single" w:sz="4" w:space="0" w:color="auto"/>
            </w:tcBorders>
          </w:tcPr>
          <w:p w14:paraId="47CC80E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Lenovo, Motorola Mobility</w:t>
            </w:r>
          </w:p>
        </w:tc>
        <w:tc>
          <w:tcPr>
            <w:tcW w:w="1414" w:type="dxa"/>
            <w:tcBorders>
              <w:top w:val="single" w:sz="4" w:space="0" w:color="auto"/>
              <w:left w:val="single" w:sz="4" w:space="0" w:color="auto"/>
              <w:bottom w:val="single" w:sz="4" w:space="0" w:color="auto"/>
              <w:right w:val="single" w:sz="4" w:space="0" w:color="auto"/>
            </w:tcBorders>
          </w:tcPr>
          <w:p w14:paraId="0B7B00A2"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08D3F5FC"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Agree with HW and Apple. In our understanding, wideband CQI is derived based on the entire band irrespective of whether subband CQI is configured or not.</w:t>
            </w:r>
          </w:p>
        </w:tc>
      </w:tr>
      <w:tr w:rsidR="007B4939" w14:paraId="5EDB317D" w14:textId="77777777">
        <w:tc>
          <w:tcPr>
            <w:tcW w:w="1597" w:type="dxa"/>
            <w:tcBorders>
              <w:top w:val="single" w:sz="4" w:space="0" w:color="auto"/>
              <w:left w:val="single" w:sz="4" w:space="0" w:color="auto"/>
              <w:bottom w:val="single" w:sz="4" w:space="0" w:color="auto"/>
              <w:right w:val="single" w:sz="4" w:space="0" w:color="auto"/>
            </w:tcBorders>
          </w:tcPr>
          <w:p w14:paraId="30CC1F2B" w14:textId="77777777" w:rsidR="007B4939" w:rsidRDefault="00DA461D">
            <w:pPr>
              <w:rPr>
                <w:rFonts w:ascii="Times New Roman" w:hAnsi="Times New Roman" w:cs="Times New Roman"/>
                <w:szCs w:val="20"/>
                <w:lang w:val="en-CA"/>
              </w:rPr>
            </w:pPr>
            <w:r>
              <w:rPr>
                <w:rFonts w:ascii="Times New Roman" w:hAnsi="Times New Roman" w:cs="Times New Roman"/>
                <w:szCs w:val="20"/>
              </w:rPr>
              <w:t>OPPO</w:t>
            </w:r>
          </w:p>
        </w:tc>
        <w:tc>
          <w:tcPr>
            <w:tcW w:w="1414" w:type="dxa"/>
            <w:tcBorders>
              <w:top w:val="single" w:sz="4" w:space="0" w:color="auto"/>
              <w:left w:val="single" w:sz="4" w:space="0" w:color="auto"/>
              <w:bottom w:val="single" w:sz="4" w:space="0" w:color="auto"/>
              <w:right w:val="single" w:sz="4" w:space="0" w:color="auto"/>
            </w:tcBorders>
          </w:tcPr>
          <w:p w14:paraId="21D4937C" w14:textId="77777777" w:rsidR="007B4939" w:rsidRDefault="007B4939">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732AADDF" w14:textId="77777777" w:rsidR="007B4939" w:rsidRDefault="00DA461D">
            <w:pPr>
              <w:spacing w:line="256" w:lineRule="auto"/>
              <w:rPr>
                <w:rFonts w:ascii="Times New Roman" w:hAnsi="Times New Roman" w:cs="Times New Roman"/>
                <w:szCs w:val="20"/>
              </w:rPr>
            </w:pPr>
            <w:r>
              <w:rPr>
                <w:rFonts w:ascii="Times New Roman" w:hAnsi="Times New Roman" w:cs="Times New Roman"/>
                <w:szCs w:val="20"/>
              </w:rPr>
              <w:t xml:space="preserve">We are told by our MIMO colleague that the current spec has no ambiguity on this matter. To our understanding, WB CQI is certainly associated with entire BW by its definition, regardless how the reporting is configured. Anyhow, </w:t>
            </w:r>
            <w:r>
              <w:rPr>
                <w:rFonts w:ascii="Times New Roman" w:eastAsia="SimSun" w:hAnsi="Times New Roman" w:cs="Times New Roman"/>
              </w:rPr>
              <w:t xml:space="preserve">we would like to suggest NOT to have a Rel-17 URLLC specific handling from URLLC-CSI session; instead, RAN1 should leave a chance for RAN1 MIMO </w:t>
            </w:r>
            <w:r>
              <w:rPr>
                <w:rFonts w:ascii="Times New Roman" w:eastAsia="SimSun" w:hAnsi="Times New Roman" w:cs="Times New Roman"/>
              </w:rPr>
              <w:lastRenderedPageBreak/>
              <w:t>team to eventually settle on a unified solution across releases, if anything is indeed ambiguous in the whole picture.</w:t>
            </w:r>
            <w:r>
              <w:rPr>
                <w:rFonts w:ascii="Times New Roman" w:hAnsi="Times New Roman" w:cs="Times New Roman"/>
                <w:szCs w:val="20"/>
              </w:rPr>
              <w:t xml:space="preserve"> </w:t>
            </w:r>
          </w:p>
          <w:p w14:paraId="475D3C32"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rPr>
              <w:t>For the 2</w:t>
            </w:r>
            <w:r>
              <w:rPr>
                <w:rFonts w:ascii="Times New Roman" w:hAnsi="Times New Roman" w:cs="Times New Roman"/>
                <w:szCs w:val="20"/>
                <w:vertAlign w:val="superscript"/>
              </w:rPr>
              <w:t>nd</w:t>
            </w:r>
            <w:r>
              <w:rPr>
                <w:rFonts w:ascii="Times New Roman" w:hAnsi="Times New Roman" w:cs="Times New Roman"/>
                <w:szCs w:val="20"/>
              </w:rPr>
              <w:t xml:space="preserve"> question, we think the bandwidth handling should be the same between </w:t>
            </w:r>
            <w:r>
              <w:rPr>
                <w:rFonts w:ascii="Times New Roman" w:eastAsia="SimSun" w:hAnsi="Times New Roman" w:cs="Times New Roman"/>
                <w:lang w:val="en-GB"/>
              </w:rPr>
              <w:t>2-bits subband D-CQI and 4-bits subband CQI</w:t>
            </w:r>
            <w:r>
              <w:rPr>
                <w:rFonts w:ascii="Times New Roman" w:eastAsia="SimSun" w:hAnsi="Times New Roman" w:cs="Times New Roman"/>
              </w:rPr>
              <w:t xml:space="preserve">.   </w:t>
            </w:r>
          </w:p>
        </w:tc>
      </w:tr>
      <w:tr w:rsidR="00DA461D" w14:paraId="588353A5" w14:textId="77777777">
        <w:tc>
          <w:tcPr>
            <w:tcW w:w="1597" w:type="dxa"/>
            <w:tcBorders>
              <w:top w:val="single" w:sz="4" w:space="0" w:color="auto"/>
              <w:left w:val="single" w:sz="4" w:space="0" w:color="auto"/>
              <w:bottom w:val="single" w:sz="4" w:space="0" w:color="auto"/>
              <w:right w:val="single" w:sz="4" w:space="0" w:color="auto"/>
            </w:tcBorders>
          </w:tcPr>
          <w:p w14:paraId="176C3DFE" w14:textId="78E2EFDD" w:rsidR="00DA461D" w:rsidRDefault="00DA461D">
            <w:pPr>
              <w:rPr>
                <w:rFonts w:ascii="Times New Roman" w:hAnsi="Times New Roman" w:cs="Times New Roman"/>
                <w:szCs w:val="20"/>
              </w:rPr>
            </w:pPr>
            <w:r>
              <w:rPr>
                <w:rFonts w:ascii="Times New Roman" w:hAnsi="Times New Roman" w:cs="Times New Roman"/>
                <w:szCs w:val="20"/>
              </w:rPr>
              <w:lastRenderedPageBreak/>
              <w:t>Nokia/NSB</w:t>
            </w:r>
          </w:p>
        </w:tc>
        <w:tc>
          <w:tcPr>
            <w:tcW w:w="1414" w:type="dxa"/>
            <w:tcBorders>
              <w:top w:val="single" w:sz="4" w:space="0" w:color="auto"/>
              <w:left w:val="single" w:sz="4" w:space="0" w:color="auto"/>
              <w:bottom w:val="single" w:sz="4" w:space="0" w:color="auto"/>
              <w:right w:val="single" w:sz="4" w:space="0" w:color="auto"/>
            </w:tcBorders>
          </w:tcPr>
          <w:p w14:paraId="2E92FBD0" w14:textId="77777777" w:rsidR="00DA461D" w:rsidRDefault="00DA461D">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57D3196D" w14:textId="6E4F11D3" w:rsidR="00DA461D" w:rsidRDefault="00DA461D">
            <w:pPr>
              <w:spacing w:line="256" w:lineRule="auto"/>
              <w:rPr>
                <w:rFonts w:ascii="Times New Roman" w:hAnsi="Times New Roman" w:cs="Times New Roman"/>
                <w:szCs w:val="20"/>
              </w:rPr>
            </w:pPr>
            <w:r>
              <w:rPr>
                <w:rFonts w:ascii="Times New Roman" w:hAnsi="Times New Roman" w:cs="Times New Roman"/>
                <w:szCs w:val="20"/>
              </w:rPr>
              <w:t xml:space="preserve">We think that CSI feedback enhancement is not only about extending 4-bit sub-band CQI as associated issues should be clarified. Otherwise, the enhancement is further adding additional ambiguity. From our view, it is good to conclude one interpretation at least for 4-bit SB CQI reporting. </w:t>
            </w:r>
          </w:p>
        </w:tc>
      </w:tr>
      <w:tr w:rsidR="00260EE0" w14:paraId="6C4F29DC" w14:textId="77777777">
        <w:tc>
          <w:tcPr>
            <w:tcW w:w="1597" w:type="dxa"/>
            <w:tcBorders>
              <w:top w:val="single" w:sz="4" w:space="0" w:color="auto"/>
              <w:left w:val="single" w:sz="4" w:space="0" w:color="auto"/>
              <w:bottom w:val="single" w:sz="4" w:space="0" w:color="auto"/>
              <w:right w:val="single" w:sz="4" w:space="0" w:color="auto"/>
            </w:tcBorders>
          </w:tcPr>
          <w:p w14:paraId="774AE6EB" w14:textId="3405DB2D" w:rsidR="00260EE0" w:rsidRPr="00260EE0" w:rsidRDefault="00260EE0">
            <w:pPr>
              <w:rPr>
                <w:rFonts w:ascii="Times New Roman" w:hAnsi="Times New Roman" w:cs="Times New Roman"/>
                <w:szCs w:val="20"/>
              </w:rPr>
            </w:pPr>
            <w:r>
              <w:rPr>
                <w:rFonts w:ascii="Times New Roman" w:hAnsi="Times New Roman" w:cs="Times New Roman"/>
                <w:szCs w:val="20"/>
              </w:rPr>
              <w:t>LG</w:t>
            </w:r>
          </w:p>
        </w:tc>
        <w:tc>
          <w:tcPr>
            <w:tcW w:w="1414" w:type="dxa"/>
            <w:tcBorders>
              <w:top w:val="single" w:sz="4" w:space="0" w:color="auto"/>
              <w:left w:val="single" w:sz="4" w:space="0" w:color="auto"/>
              <w:bottom w:val="single" w:sz="4" w:space="0" w:color="auto"/>
              <w:right w:val="single" w:sz="4" w:space="0" w:color="auto"/>
            </w:tcBorders>
          </w:tcPr>
          <w:p w14:paraId="0F89B82A" w14:textId="77777777" w:rsidR="00260EE0" w:rsidRDefault="00260EE0">
            <w:pPr>
              <w:rPr>
                <w:rFonts w:ascii="Times New Roman" w:hAnsi="Times New Roman" w:cs="Times New Roman"/>
                <w:szCs w:val="20"/>
                <w:lang w:val="en-CA"/>
              </w:rPr>
            </w:pPr>
          </w:p>
        </w:tc>
        <w:tc>
          <w:tcPr>
            <w:tcW w:w="6618" w:type="dxa"/>
            <w:tcBorders>
              <w:top w:val="single" w:sz="4" w:space="0" w:color="auto"/>
              <w:left w:val="single" w:sz="4" w:space="0" w:color="auto"/>
              <w:bottom w:val="single" w:sz="4" w:space="0" w:color="auto"/>
              <w:right w:val="single" w:sz="4" w:space="0" w:color="auto"/>
            </w:tcBorders>
          </w:tcPr>
          <w:p w14:paraId="316AE13A" w14:textId="1FD8555E" w:rsidR="00260EE0" w:rsidRDefault="00260EE0">
            <w:pPr>
              <w:spacing w:line="256" w:lineRule="auto"/>
              <w:rPr>
                <w:rFonts w:ascii="Times New Roman" w:hAnsi="Times New Roman" w:cs="Times New Roman"/>
                <w:szCs w:val="20"/>
              </w:rPr>
            </w:pPr>
            <w:r w:rsidRPr="00260EE0">
              <w:rPr>
                <w:rFonts w:ascii="Times New Roman" w:hAnsi="Times New Roman" w:cs="Times New Roman"/>
                <w:szCs w:val="20"/>
              </w:rPr>
              <w:t>We share the same view as HW/HiSi and Apple</w:t>
            </w:r>
            <w:r>
              <w:rPr>
                <w:rFonts w:ascii="Times New Roman" w:hAnsi="Times New Roman" w:cs="Times New Roman"/>
                <w:szCs w:val="20"/>
              </w:rPr>
              <w:t>. 4 bit D-CQI is just drop-in replacement of 2 bit CQI so no changes are necessary.</w:t>
            </w:r>
          </w:p>
        </w:tc>
      </w:tr>
    </w:tbl>
    <w:p w14:paraId="1A0674C2" w14:textId="77777777" w:rsidR="007B4939" w:rsidRDefault="007B4939">
      <w:pPr>
        <w:rPr>
          <w:rFonts w:ascii="Times New Roman" w:hAnsi="Times New Roman" w:cs="Times New Roman"/>
          <w:szCs w:val="20"/>
          <w:highlight w:val="yellow"/>
          <w:lang w:val="en-GB"/>
        </w:rPr>
      </w:pPr>
    </w:p>
    <w:p w14:paraId="04BA02FB" w14:textId="77777777" w:rsidR="007B4939" w:rsidRDefault="00DA461D">
      <w:pPr>
        <w:rPr>
          <w:rFonts w:ascii="Times New Roman" w:hAnsi="Times New Roman" w:cs="Times New Roman"/>
          <w:szCs w:val="20"/>
        </w:rPr>
      </w:pPr>
      <w:r>
        <w:rPr>
          <w:rFonts w:ascii="Times New Roman" w:hAnsi="Times New Roman" w:cs="Times New Roman"/>
          <w:b/>
          <w:bCs/>
          <w:szCs w:val="20"/>
          <w:highlight w:val="yellow"/>
        </w:rPr>
        <w:t>Question 1-2</w:t>
      </w:r>
      <w:r>
        <w:rPr>
          <w:rFonts w:ascii="Times New Roman" w:hAnsi="Times New Roman" w:cs="Times New Roman"/>
          <w:szCs w:val="20"/>
        </w:rPr>
        <w:t>: Please indicate if you think the specification needs to be updated to clarify the interpretation.</w:t>
      </w:r>
    </w:p>
    <w:tbl>
      <w:tblPr>
        <w:tblStyle w:val="af7"/>
        <w:tblW w:w="0" w:type="auto"/>
        <w:tblLook w:val="04A0" w:firstRow="1" w:lastRow="0" w:firstColumn="1" w:lastColumn="0" w:noHBand="0" w:noVBand="1"/>
      </w:tblPr>
      <w:tblGrid>
        <w:gridCol w:w="1615"/>
        <w:gridCol w:w="1170"/>
        <w:gridCol w:w="6844"/>
      </w:tblGrid>
      <w:tr w:rsidR="007B4939" w14:paraId="07995818" w14:textId="77777777">
        <w:tc>
          <w:tcPr>
            <w:tcW w:w="1615" w:type="dxa"/>
            <w:tcBorders>
              <w:top w:val="single" w:sz="4" w:space="0" w:color="auto"/>
              <w:left w:val="single" w:sz="4" w:space="0" w:color="auto"/>
              <w:bottom w:val="single" w:sz="4" w:space="0" w:color="auto"/>
              <w:right w:val="single" w:sz="4" w:space="0" w:color="auto"/>
            </w:tcBorders>
          </w:tcPr>
          <w:p w14:paraId="6F111C1D"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E7088E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E42112A"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Comments</w:t>
            </w:r>
          </w:p>
        </w:tc>
      </w:tr>
      <w:tr w:rsidR="007B4939" w14:paraId="3E6BB1A1" w14:textId="77777777">
        <w:tc>
          <w:tcPr>
            <w:tcW w:w="1615" w:type="dxa"/>
            <w:tcBorders>
              <w:top w:val="single" w:sz="4" w:space="0" w:color="auto"/>
              <w:left w:val="single" w:sz="4" w:space="0" w:color="auto"/>
              <w:bottom w:val="single" w:sz="4" w:space="0" w:color="auto"/>
              <w:right w:val="single" w:sz="4" w:space="0" w:color="auto"/>
            </w:tcBorders>
          </w:tcPr>
          <w:p w14:paraId="20D55069"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327A8EC2" w14:textId="77777777" w:rsidR="007B4939" w:rsidRDefault="007B4939">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2C36E50"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In past there was similar discussion around tdoc R1-1910633, but nothing was agreed. If the clarification can be made at least for the new 4-bit reporting mode, we see it beneficial.</w:t>
            </w:r>
          </w:p>
        </w:tc>
      </w:tr>
      <w:tr w:rsidR="007B4939" w14:paraId="75396558" w14:textId="77777777">
        <w:tc>
          <w:tcPr>
            <w:tcW w:w="1615" w:type="dxa"/>
            <w:tcBorders>
              <w:top w:val="single" w:sz="4" w:space="0" w:color="auto"/>
              <w:left w:val="single" w:sz="4" w:space="0" w:color="auto"/>
              <w:bottom w:val="single" w:sz="4" w:space="0" w:color="auto"/>
              <w:right w:val="single" w:sz="4" w:space="0" w:color="auto"/>
            </w:tcBorders>
          </w:tcPr>
          <w:p w14:paraId="448A3AAA"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05F9690C"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C3FAA4E"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 xml:space="preserve">Seems LTE specification (TS 36.213) is also written similarly: </w:t>
            </w:r>
          </w:p>
          <w:p w14:paraId="41754DF9" w14:textId="77777777" w:rsidR="007B4939" w:rsidRDefault="00DA461D">
            <w:r>
              <w:rPr>
                <w:rFonts w:ascii="Times New Roman" w:eastAsia="SimSun" w:hAnsi="Times New Roman" w:cs="Times New Roman"/>
                <w:szCs w:val="20"/>
              </w:rPr>
              <w:t>“</w:t>
            </w:r>
            <w:r>
              <w:t>The CSI reference resource for a serving cell is defined as follows:</w:t>
            </w:r>
          </w:p>
          <w:p w14:paraId="4C3D28EA" w14:textId="77777777" w:rsidR="007B4939" w:rsidRDefault="00DA461D">
            <w:pPr>
              <w:rPr>
                <w:rFonts w:ascii="Times New Roman" w:eastAsia="SimSun" w:hAnsi="Times New Roman" w:cs="Times New Roman"/>
                <w:szCs w:val="20"/>
              </w:rPr>
            </w:pPr>
            <w:r>
              <w:t>-</w:t>
            </w:r>
            <w:r>
              <w:tab/>
              <w:t>For a non-BL/CE UE, i</w:t>
            </w:r>
            <w:r>
              <w:rPr>
                <w:rFonts w:eastAsia="MS Mincho" w:hint="eastAsia"/>
              </w:rPr>
              <w:t xml:space="preserve">n the </w:t>
            </w:r>
            <w:r>
              <w:t xml:space="preserve">frequency domain, the CSI reference resource is defined by the </w:t>
            </w:r>
            <w:r>
              <w:rPr>
                <w:rFonts w:eastAsia="MS Mincho" w:hint="eastAsia"/>
              </w:rPr>
              <w:t xml:space="preserve">group of downlink physical resource blocks </w:t>
            </w:r>
            <w:r>
              <w:t>corresponding to the band to which the derived CQI value relates.</w:t>
            </w:r>
            <w:r>
              <w:rPr>
                <w:rFonts w:ascii="Times New Roman" w:eastAsia="SimSun" w:hAnsi="Times New Roman" w:cs="Times New Roman"/>
                <w:szCs w:val="20"/>
              </w:rPr>
              <w:t xml:space="preserve">” </w:t>
            </w:r>
          </w:p>
          <w:p w14:paraId="61578294" w14:textId="77777777" w:rsidR="007B4939" w:rsidRDefault="007B4939">
            <w:pPr>
              <w:rPr>
                <w:rFonts w:ascii="Times New Roman" w:eastAsia="SimSun" w:hAnsi="Times New Roman" w:cs="Times New Roman"/>
                <w:szCs w:val="20"/>
              </w:rPr>
            </w:pPr>
          </w:p>
        </w:tc>
      </w:tr>
      <w:tr w:rsidR="007B4939" w14:paraId="198A416E" w14:textId="77777777">
        <w:tc>
          <w:tcPr>
            <w:tcW w:w="1615" w:type="dxa"/>
            <w:tcBorders>
              <w:top w:val="single" w:sz="4" w:space="0" w:color="auto"/>
              <w:left w:val="single" w:sz="4" w:space="0" w:color="auto"/>
              <w:bottom w:val="single" w:sz="4" w:space="0" w:color="auto"/>
              <w:right w:val="single" w:sz="4" w:space="0" w:color="auto"/>
            </w:tcBorders>
          </w:tcPr>
          <w:p w14:paraId="35F1CB4B" w14:textId="77777777" w:rsidR="007B4939" w:rsidRDefault="00DA461D">
            <w:pPr>
              <w:rPr>
                <w:rFonts w:ascii="Times New Roman" w:hAnsi="Times New Roman" w:cs="Times New Roman"/>
                <w:szCs w:val="20"/>
                <w:lang w:val="en-CA"/>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14:paraId="1810CC7F" w14:textId="77777777" w:rsidR="007B4939" w:rsidRDefault="00DA461D">
            <w:pPr>
              <w:rPr>
                <w:rFonts w:ascii="Times New Roman" w:hAnsi="Times New Roman" w:cs="Times New Roman"/>
                <w:szCs w:val="20"/>
                <w:lang w:val="en-CA"/>
              </w:rPr>
            </w:pPr>
            <w:r>
              <w:rPr>
                <w:rFonts w:ascii="Times New Roman" w:hAnsi="Times New Roman" w:cs="Times New Roman"/>
                <w:szCs w:val="20"/>
              </w:rPr>
              <w:t>Not from URLLC session</w:t>
            </w:r>
          </w:p>
        </w:tc>
        <w:tc>
          <w:tcPr>
            <w:tcW w:w="6844" w:type="dxa"/>
            <w:tcBorders>
              <w:top w:val="single" w:sz="4" w:space="0" w:color="auto"/>
              <w:left w:val="single" w:sz="4" w:space="0" w:color="auto"/>
              <w:bottom w:val="single" w:sz="4" w:space="0" w:color="auto"/>
              <w:right w:val="single" w:sz="4" w:space="0" w:color="auto"/>
            </w:tcBorders>
          </w:tcPr>
          <w:p w14:paraId="5781EC37"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We suggest to leave the decision to RAN1 MIMO experts in maintenance procedure, which could be per company CR proposal, and propose a conclusion for this meeting like following:</w:t>
            </w:r>
          </w:p>
          <w:p w14:paraId="2E4FF025" w14:textId="77777777" w:rsidR="007B4939" w:rsidRDefault="00DA461D">
            <w:pPr>
              <w:rPr>
                <w:rFonts w:ascii="Times New Roman" w:eastAsia="SimSun" w:hAnsi="Times New Roman" w:cs="Times New Roman"/>
                <w:szCs w:val="20"/>
                <w:highlight w:val="yellow"/>
              </w:rPr>
            </w:pPr>
            <w:r>
              <w:rPr>
                <w:rFonts w:ascii="Times New Roman" w:eastAsia="SimSun" w:hAnsi="Times New Roman" w:cs="Times New Roman"/>
                <w:szCs w:val="20"/>
                <w:highlight w:val="yellow"/>
              </w:rPr>
              <w:t>Proposed Conclusion:</w:t>
            </w:r>
          </w:p>
          <w:p w14:paraId="4BBC8013" w14:textId="77777777" w:rsidR="007B4939" w:rsidRDefault="00DA461D">
            <w:pPr>
              <w:rPr>
                <w:rFonts w:ascii="Times New Roman" w:hAnsi="Times New Roman" w:cs="Times New Roman"/>
                <w:szCs w:val="20"/>
                <w:lang w:val="en-CA"/>
              </w:rPr>
            </w:pPr>
            <w:r>
              <w:rPr>
                <w:rFonts w:ascii="Times New Roman" w:eastAsia="SimSun" w:hAnsi="Times New Roman" w:cs="Times New Roman"/>
                <w:i/>
                <w:iCs/>
                <w:szCs w:val="20"/>
              </w:rPr>
              <w:t xml:space="preserve">Rel-17 URLLC does not pursue further clarification of </w:t>
            </w:r>
            <w:r>
              <w:rPr>
                <w:rFonts w:ascii="Times New Roman" w:hAnsi="Times New Roman" w:cs="Times New Roman"/>
                <w:i/>
                <w:iCs/>
              </w:rPr>
              <w:t xml:space="preserve">interpretation of “wideband CQI </w:t>
            </w:r>
            <w:r>
              <w:rPr>
                <w:rFonts w:ascii="Times New Roman" w:eastAsia="SimSun" w:hAnsi="Times New Roman" w:cs="Times New Roman"/>
                <w:i/>
                <w:iCs/>
                <w:lang w:val="en-GB"/>
              </w:rPr>
              <w:t>bandwidth as configured for the corresponding CQI report</w:t>
            </w:r>
            <w:r>
              <w:rPr>
                <w:rFonts w:ascii="Times New Roman" w:eastAsia="SimSun" w:hAnsi="Times New Roman" w:cs="Times New Roman"/>
                <w:i/>
                <w:iCs/>
              </w:rPr>
              <w:t>”,</w:t>
            </w:r>
            <w:r>
              <w:rPr>
                <w:rFonts w:ascii="Times New Roman" w:eastAsia="SimSun" w:hAnsi="Times New Roman" w:cs="Times New Roman"/>
                <w:i/>
                <w:iCs/>
                <w:lang w:val="en-GB"/>
              </w:rPr>
              <w:t xml:space="preserve"> </w:t>
            </w:r>
            <w:r>
              <w:rPr>
                <w:rFonts w:ascii="Times New Roman" w:eastAsia="SimSun" w:hAnsi="Times New Roman" w:cs="Times New Roman"/>
                <w:i/>
                <w:iCs/>
              </w:rPr>
              <w:t xml:space="preserve">assuming the same specification clarification handling (either further clarified or not further clarified) to be applied between </w:t>
            </w:r>
            <w:r>
              <w:rPr>
                <w:rFonts w:ascii="Times New Roman" w:eastAsia="SimSun" w:hAnsi="Times New Roman" w:cs="Times New Roman"/>
                <w:i/>
                <w:iCs/>
                <w:lang w:val="en-GB"/>
              </w:rPr>
              <w:t>2-bits subband D-CQI and 4-bits subband CQI</w:t>
            </w:r>
            <w:r>
              <w:rPr>
                <w:rFonts w:ascii="Times New Roman" w:eastAsia="SimSun" w:hAnsi="Times New Roman" w:cs="Times New Roman"/>
                <w:i/>
                <w:iCs/>
              </w:rPr>
              <w:t xml:space="preserve">. </w:t>
            </w:r>
            <w:r>
              <w:rPr>
                <w:rFonts w:ascii="Times New Roman" w:eastAsia="SimSun" w:hAnsi="Times New Roman" w:cs="Times New Roman"/>
              </w:rPr>
              <w:t xml:space="preserve"> </w:t>
            </w:r>
            <w:r>
              <w:rPr>
                <w:rFonts w:ascii="Times New Roman" w:eastAsia="SimSun" w:hAnsi="Times New Roman" w:cs="Times New Roman"/>
                <w:szCs w:val="20"/>
              </w:rPr>
              <w:t xml:space="preserve"> </w:t>
            </w:r>
          </w:p>
        </w:tc>
      </w:tr>
      <w:tr w:rsidR="00DA461D" w14:paraId="52BC790A" w14:textId="77777777">
        <w:tc>
          <w:tcPr>
            <w:tcW w:w="1615" w:type="dxa"/>
            <w:tcBorders>
              <w:top w:val="single" w:sz="4" w:space="0" w:color="auto"/>
              <w:left w:val="single" w:sz="4" w:space="0" w:color="auto"/>
              <w:bottom w:val="single" w:sz="4" w:space="0" w:color="auto"/>
              <w:right w:val="single" w:sz="4" w:space="0" w:color="auto"/>
            </w:tcBorders>
          </w:tcPr>
          <w:p w14:paraId="25F95E01" w14:textId="3D1C8B87" w:rsidR="00DA461D" w:rsidRDefault="00DA461D">
            <w:pPr>
              <w:rPr>
                <w:rFonts w:ascii="Times New Roman" w:eastAsia="SimSun" w:hAnsi="Times New Roman" w:cs="Times New Roman"/>
                <w:szCs w:val="20"/>
              </w:rPr>
            </w:pPr>
            <w:r>
              <w:rPr>
                <w:rFonts w:ascii="Times New Roman" w:eastAsia="SimSun" w:hAnsi="Times New Roman" w:cs="Times New Roman"/>
                <w:szCs w:val="20"/>
              </w:rPr>
              <w:t>Nokia/NSB</w:t>
            </w:r>
          </w:p>
        </w:tc>
        <w:tc>
          <w:tcPr>
            <w:tcW w:w="1170" w:type="dxa"/>
            <w:tcBorders>
              <w:top w:val="single" w:sz="4" w:space="0" w:color="auto"/>
              <w:left w:val="single" w:sz="4" w:space="0" w:color="auto"/>
              <w:bottom w:val="single" w:sz="4" w:space="0" w:color="auto"/>
              <w:right w:val="single" w:sz="4" w:space="0" w:color="auto"/>
            </w:tcBorders>
          </w:tcPr>
          <w:p w14:paraId="6A981D0F" w14:textId="1AB947F0" w:rsidR="00DA461D" w:rsidRDefault="00DA461D">
            <w:pPr>
              <w:rPr>
                <w:rFonts w:ascii="Times New Roman" w:hAnsi="Times New Roman" w:cs="Times New Roman"/>
                <w:szCs w:val="20"/>
              </w:rPr>
            </w:pPr>
            <w:r>
              <w:rPr>
                <w:rFonts w:ascii="Times New Roman" w:hAnsi="Times New Roman" w:cs="Times New Roman"/>
                <w:szCs w:val="20"/>
              </w:rPr>
              <w:t>Yes</w:t>
            </w:r>
          </w:p>
        </w:tc>
        <w:tc>
          <w:tcPr>
            <w:tcW w:w="6844" w:type="dxa"/>
            <w:tcBorders>
              <w:top w:val="single" w:sz="4" w:space="0" w:color="auto"/>
              <w:left w:val="single" w:sz="4" w:space="0" w:color="auto"/>
              <w:bottom w:val="single" w:sz="4" w:space="0" w:color="auto"/>
              <w:right w:val="single" w:sz="4" w:space="0" w:color="auto"/>
            </w:tcBorders>
          </w:tcPr>
          <w:p w14:paraId="689FBA57" w14:textId="4D2944A2" w:rsidR="00DA461D" w:rsidRDefault="00DA461D">
            <w:pPr>
              <w:rPr>
                <w:rFonts w:ascii="Times New Roman" w:eastAsia="SimSun" w:hAnsi="Times New Roman" w:cs="Times New Roman"/>
                <w:szCs w:val="20"/>
              </w:rPr>
            </w:pPr>
            <w:r>
              <w:rPr>
                <w:rFonts w:ascii="Times New Roman" w:eastAsia="SimSun" w:hAnsi="Times New Roman" w:cs="Times New Roman"/>
                <w:szCs w:val="20"/>
              </w:rPr>
              <w:t xml:space="preserve">Agree with Intel. </w:t>
            </w:r>
          </w:p>
        </w:tc>
      </w:tr>
      <w:tr w:rsidR="00260EE0" w14:paraId="6A93F42F" w14:textId="77777777">
        <w:tc>
          <w:tcPr>
            <w:tcW w:w="1615" w:type="dxa"/>
            <w:tcBorders>
              <w:top w:val="single" w:sz="4" w:space="0" w:color="auto"/>
              <w:left w:val="single" w:sz="4" w:space="0" w:color="auto"/>
              <w:bottom w:val="single" w:sz="4" w:space="0" w:color="auto"/>
              <w:right w:val="single" w:sz="4" w:space="0" w:color="auto"/>
            </w:tcBorders>
          </w:tcPr>
          <w:p w14:paraId="556143C4" w14:textId="602D8A04" w:rsidR="00260EE0" w:rsidRPr="00260EE0" w:rsidRDefault="00260EE0">
            <w:pPr>
              <w:rPr>
                <w:rFonts w:ascii="Times New Roman" w:eastAsia="맑은 고딕" w:hAnsi="Times New Roman" w:cs="Times New Roman" w:hint="eastAsia"/>
                <w:szCs w:val="20"/>
              </w:rPr>
            </w:pPr>
          </w:p>
        </w:tc>
        <w:tc>
          <w:tcPr>
            <w:tcW w:w="1170" w:type="dxa"/>
            <w:tcBorders>
              <w:top w:val="single" w:sz="4" w:space="0" w:color="auto"/>
              <w:left w:val="single" w:sz="4" w:space="0" w:color="auto"/>
              <w:bottom w:val="single" w:sz="4" w:space="0" w:color="auto"/>
              <w:right w:val="single" w:sz="4" w:space="0" w:color="auto"/>
            </w:tcBorders>
          </w:tcPr>
          <w:p w14:paraId="0F7199DC" w14:textId="77777777" w:rsidR="00260EE0" w:rsidRDefault="00260EE0">
            <w:pPr>
              <w:rPr>
                <w:rFonts w:ascii="Times New Roman" w:hAnsi="Times New Roman" w:cs="Times New Roman"/>
                <w:szCs w:val="20"/>
              </w:rPr>
            </w:pPr>
          </w:p>
        </w:tc>
        <w:tc>
          <w:tcPr>
            <w:tcW w:w="6844" w:type="dxa"/>
            <w:tcBorders>
              <w:top w:val="single" w:sz="4" w:space="0" w:color="auto"/>
              <w:left w:val="single" w:sz="4" w:space="0" w:color="auto"/>
              <w:bottom w:val="single" w:sz="4" w:space="0" w:color="auto"/>
              <w:right w:val="single" w:sz="4" w:space="0" w:color="auto"/>
            </w:tcBorders>
          </w:tcPr>
          <w:p w14:paraId="142856BB" w14:textId="77777777" w:rsidR="00260EE0" w:rsidRDefault="00260EE0">
            <w:pPr>
              <w:rPr>
                <w:rFonts w:ascii="Times New Roman" w:eastAsia="SimSun" w:hAnsi="Times New Roman" w:cs="Times New Roman"/>
                <w:szCs w:val="20"/>
              </w:rPr>
            </w:pPr>
          </w:p>
        </w:tc>
      </w:tr>
    </w:tbl>
    <w:p w14:paraId="67FCDB58" w14:textId="77777777" w:rsidR="007B4939" w:rsidRDefault="007B4939">
      <w:pPr>
        <w:rPr>
          <w:rFonts w:ascii="Times New Roman" w:hAnsi="Times New Roman" w:cs="Times New Roman"/>
          <w:szCs w:val="20"/>
          <w:highlight w:val="yellow"/>
          <w:lang w:val="en-GB"/>
        </w:rPr>
      </w:pPr>
    </w:p>
    <w:p w14:paraId="6A77BC9F" w14:textId="77777777" w:rsidR="007B4939" w:rsidRDefault="00DA461D">
      <w:pPr>
        <w:rPr>
          <w:rFonts w:ascii="Times New Roman" w:hAnsi="Times New Roman" w:cs="Times New Roman"/>
          <w:szCs w:val="20"/>
        </w:rPr>
      </w:pPr>
      <w:r>
        <w:rPr>
          <w:rFonts w:ascii="Times New Roman" w:hAnsi="Times New Roman" w:cs="Times New Roman"/>
          <w:b/>
          <w:bCs/>
          <w:szCs w:val="20"/>
          <w:highlight w:val="yellow"/>
        </w:rPr>
        <w:t>Question 1-3</w:t>
      </w:r>
      <w:r>
        <w:rPr>
          <w:rFonts w:ascii="Times New Roman" w:hAnsi="Times New Roman" w:cs="Times New Roman"/>
          <w:szCs w:val="20"/>
        </w:rPr>
        <w:t>: Please indicate if you would agree with Proposal 3.1.2 of [2], i.e. subband CQI index computation and wideband CQI index computation use the same TBS assumption.</w:t>
      </w:r>
    </w:p>
    <w:tbl>
      <w:tblPr>
        <w:tblStyle w:val="af7"/>
        <w:tblW w:w="0" w:type="auto"/>
        <w:tblLook w:val="04A0" w:firstRow="1" w:lastRow="0" w:firstColumn="1" w:lastColumn="0" w:noHBand="0" w:noVBand="1"/>
      </w:tblPr>
      <w:tblGrid>
        <w:gridCol w:w="1615"/>
        <w:gridCol w:w="1170"/>
        <w:gridCol w:w="6844"/>
      </w:tblGrid>
      <w:tr w:rsidR="007B4939" w14:paraId="74257B12" w14:textId="77777777">
        <w:tc>
          <w:tcPr>
            <w:tcW w:w="1615" w:type="dxa"/>
            <w:tcBorders>
              <w:top w:val="single" w:sz="4" w:space="0" w:color="auto"/>
              <w:left w:val="single" w:sz="4" w:space="0" w:color="auto"/>
              <w:bottom w:val="single" w:sz="4" w:space="0" w:color="auto"/>
              <w:right w:val="single" w:sz="4" w:space="0" w:color="auto"/>
            </w:tcBorders>
          </w:tcPr>
          <w:p w14:paraId="0E8C110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E771224"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28FFB091"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Comments</w:t>
            </w:r>
          </w:p>
        </w:tc>
      </w:tr>
      <w:tr w:rsidR="007B4939" w14:paraId="7A9C99F7" w14:textId="77777777">
        <w:tc>
          <w:tcPr>
            <w:tcW w:w="1615" w:type="dxa"/>
            <w:tcBorders>
              <w:top w:val="single" w:sz="4" w:space="0" w:color="auto"/>
              <w:left w:val="single" w:sz="4" w:space="0" w:color="auto"/>
              <w:bottom w:val="single" w:sz="4" w:space="0" w:color="auto"/>
              <w:right w:val="single" w:sz="4" w:space="0" w:color="auto"/>
            </w:tcBorders>
          </w:tcPr>
          <w:p w14:paraId="5CEF5DEB"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65F2EE4A"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3AC78A1"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We agree that following Interpretation 1 is more logical.</w:t>
            </w:r>
          </w:p>
        </w:tc>
      </w:tr>
      <w:tr w:rsidR="007B4939" w14:paraId="319D6111" w14:textId="77777777">
        <w:tc>
          <w:tcPr>
            <w:tcW w:w="1615" w:type="dxa"/>
            <w:tcBorders>
              <w:top w:val="single" w:sz="4" w:space="0" w:color="auto"/>
              <w:left w:val="single" w:sz="4" w:space="0" w:color="auto"/>
              <w:bottom w:val="single" w:sz="4" w:space="0" w:color="auto"/>
              <w:right w:val="single" w:sz="4" w:space="0" w:color="auto"/>
            </w:tcBorders>
          </w:tcPr>
          <w:p w14:paraId="64CBA4FF"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lang w:val="en-CA"/>
              </w:rPr>
              <w:t>Lenovo, Motorola Mobility</w:t>
            </w:r>
          </w:p>
        </w:tc>
        <w:tc>
          <w:tcPr>
            <w:tcW w:w="1170" w:type="dxa"/>
            <w:tcBorders>
              <w:top w:val="single" w:sz="4" w:space="0" w:color="auto"/>
              <w:left w:val="single" w:sz="4" w:space="0" w:color="auto"/>
              <w:bottom w:val="single" w:sz="4" w:space="0" w:color="auto"/>
              <w:right w:val="single" w:sz="4" w:space="0" w:color="auto"/>
            </w:tcBorders>
          </w:tcPr>
          <w:p w14:paraId="7385A5AC"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931ABEC"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 xml:space="preserve">Our understanding is different TBSs are used during WB-CQI and SB-CQI derivation. </w:t>
            </w:r>
          </w:p>
        </w:tc>
      </w:tr>
      <w:tr w:rsidR="007B4939" w14:paraId="7375C93D" w14:textId="77777777">
        <w:tc>
          <w:tcPr>
            <w:tcW w:w="1615" w:type="dxa"/>
            <w:tcBorders>
              <w:top w:val="single" w:sz="4" w:space="0" w:color="auto"/>
              <w:left w:val="single" w:sz="4" w:space="0" w:color="auto"/>
              <w:bottom w:val="single" w:sz="4" w:space="0" w:color="auto"/>
              <w:right w:val="single" w:sz="4" w:space="0" w:color="auto"/>
            </w:tcBorders>
          </w:tcPr>
          <w:p w14:paraId="7DA184F7" w14:textId="77777777" w:rsidR="007B4939" w:rsidRDefault="00DA461D">
            <w:pPr>
              <w:rPr>
                <w:rFonts w:ascii="Times New Roman" w:hAnsi="Times New Roman" w:cs="Times New Roman"/>
                <w:szCs w:val="20"/>
                <w:lang w:val="en-CA"/>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14:paraId="3876F5FC" w14:textId="77777777" w:rsidR="007B4939" w:rsidRDefault="00DA461D">
            <w:pPr>
              <w:rPr>
                <w:rFonts w:ascii="Times New Roman" w:hAnsi="Times New Roman" w:cs="Times New Roman"/>
                <w:szCs w:val="20"/>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46C7A0EF" w14:textId="77777777" w:rsidR="007B4939" w:rsidRDefault="00DA461D">
            <w:pPr>
              <w:rPr>
                <w:rFonts w:ascii="Times New Roman" w:hAnsi="Times New Roman" w:cs="Times New Roman"/>
                <w:szCs w:val="20"/>
                <w:lang w:val="en-CA"/>
              </w:rPr>
            </w:pPr>
            <w:r>
              <w:rPr>
                <w:rFonts w:ascii="Times New Roman" w:eastAsia="SimSun" w:hAnsi="Times New Roman" w:cs="Times New Roman"/>
                <w:szCs w:val="20"/>
              </w:rPr>
              <w:t>FL said this proposal is “</w:t>
            </w:r>
            <w:r>
              <w:rPr>
                <w:rFonts w:ascii="Times New Roman" w:hAnsi="Times New Roman" w:cs="Times New Roman"/>
                <w:szCs w:val="20"/>
                <w:lang w:val="en-GB"/>
              </w:rPr>
              <w:t>at least for the 2-bits D-CQI case</w:t>
            </w:r>
            <w:r>
              <w:rPr>
                <w:rFonts w:ascii="Times New Roman" w:eastAsia="SimSun" w:hAnsi="Times New Roman" w:cs="Times New Roman"/>
                <w:szCs w:val="20"/>
              </w:rPr>
              <w:t xml:space="preserve">”. We suppose Rel-17 URLLC session should not change existing specifications determined in earlier </w:t>
            </w:r>
            <w:r>
              <w:rPr>
                <w:rFonts w:ascii="Times New Roman" w:eastAsia="SimSun" w:hAnsi="Times New Roman" w:cs="Times New Roman"/>
                <w:szCs w:val="20"/>
              </w:rPr>
              <w:lastRenderedPageBreak/>
              <w:t xml:space="preserve">release and outside of URLLC scope.  </w:t>
            </w:r>
          </w:p>
        </w:tc>
      </w:tr>
      <w:tr w:rsidR="00DA461D" w14:paraId="6ACDC029" w14:textId="77777777">
        <w:tc>
          <w:tcPr>
            <w:tcW w:w="1615" w:type="dxa"/>
            <w:tcBorders>
              <w:top w:val="single" w:sz="4" w:space="0" w:color="auto"/>
              <w:left w:val="single" w:sz="4" w:space="0" w:color="auto"/>
              <w:bottom w:val="single" w:sz="4" w:space="0" w:color="auto"/>
              <w:right w:val="single" w:sz="4" w:space="0" w:color="auto"/>
            </w:tcBorders>
          </w:tcPr>
          <w:p w14:paraId="1B5DF188" w14:textId="1E736517" w:rsidR="00DA461D" w:rsidRDefault="00DA461D">
            <w:pPr>
              <w:rPr>
                <w:rFonts w:ascii="Times New Roman" w:eastAsia="SimSun" w:hAnsi="Times New Roman" w:cs="Times New Roman"/>
                <w:szCs w:val="20"/>
              </w:rPr>
            </w:pPr>
            <w:r>
              <w:rPr>
                <w:rFonts w:ascii="Times New Roman" w:eastAsia="SimSun" w:hAnsi="Times New Roman" w:cs="Times New Roman"/>
                <w:szCs w:val="20"/>
              </w:rPr>
              <w:lastRenderedPageBreak/>
              <w:t>Nokia/NSB</w:t>
            </w:r>
          </w:p>
        </w:tc>
        <w:tc>
          <w:tcPr>
            <w:tcW w:w="1170" w:type="dxa"/>
            <w:tcBorders>
              <w:top w:val="single" w:sz="4" w:space="0" w:color="auto"/>
              <w:left w:val="single" w:sz="4" w:space="0" w:color="auto"/>
              <w:bottom w:val="single" w:sz="4" w:space="0" w:color="auto"/>
              <w:right w:val="single" w:sz="4" w:space="0" w:color="auto"/>
            </w:tcBorders>
          </w:tcPr>
          <w:p w14:paraId="7E079FEE" w14:textId="2EA30B51" w:rsidR="00DA461D" w:rsidRDefault="00DA461D">
            <w:pPr>
              <w:rPr>
                <w:rFonts w:ascii="Times New Roman" w:hAnsi="Times New Roman" w:cs="Times New Roman"/>
                <w:szCs w:val="20"/>
              </w:rPr>
            </w:pPr>
            <w:r>
              <w:rPr>
                <w:rFonts w:ascii="Times New Roman" w:hAnsi="Times New Roman" w:cs="Times New Roman"/>
                <w:szCs w:val="20"/>
              </w:rPr>
              <w:t>Yes</w:t>
            </w:r>
          </w:p>
        </w:tc>
        <w:tc>
          <w:tcPr>
            <w:tcW w:w="6844" w:type="dxa"/>
            <w:tcBorders>
              <w:top w:val="single" w:sz="4" w:space="0" w:color="auto"/>
              <w:left w:val="single" w:sz="4" w:space="0" w:color="auto"/>
              <w:bottom w:val="single" w:sz="4" w:space="0" w:color="auto"/>
              <w:right w:val="single" w:sz="4" w:space="0" w:color="auto"/>
            </w:tcBorders>
          </w:tcPr>
          <w:p w14:paraId="058F7024" w14:textId="3D69F7E1" w:rsidR="00DA461D" w:rsidRDefault="00DA461D">
            <w:pPr>
              <w:rPr>
                <w:rFonts w:ascii="Times New Roman" w:eastAsia="SimSun" w:hAnsi="Times New Roman" w:cs="Times New Roman"/>
                <w:szCs w:val="20"/>
              </w:rPr>
            </w:pPr>
            <w:r>
              <w:rPr>
                <w:rFonts w:ascii="Times New Roman" w:eastAsia="SimSun" w:hAnsi="Times New Roman" w:cs="Times New Roman"/>
                <w:szCs w:val="20"/>
              </w:rPr>
              <w:t xml:space="preserve">Same arguments provided in our contribution. </w:t>
            </w:r>
          </w:p>
        </w:tc>
      </w:tr>
      <w:tr w:rsidR="00260EE0" w14:paraId="39FEDEDA" w14:textId="77777777">
        <w:tc>
          <w:tcPr>
            <w:tcW w:w="1615" w:type="dxa"/>
            <w:tcBorders>
              <w:top w:val="single" w:sz="4" w:space="0" w:color="auto"/>
              <w:left w:val="single" w:sz="4" w:space="0" w:color="auto"/>
              <w:bottom w:val="single" w:sz="4" w:space="0" w:color="auto"/>
              <w:right w:val="single" w:sz="4" w:space="0" w:color="auto"/>
            </w:tcBorders>
          </w:tcPr>
          <w:p w14:paraId="29D0655A" w14:textId="01B815C2" w:rsidR="00260EE0" w:rsidRPr="00260EE0" w:rsidRDefault="00260EE0">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170" w:type="dxa"/>
            <w:tcBorders>
              <w:top w:val="single" w:sz="4" w:space="0" w:color="auto"/>
              <w:left w:val="single" w:sz="4" w:space="0" w:color="auto"/>
              <w:bottom w:val="single" w:sz="4" w:space="0" w:color="auto"/>
              <w:right w:val="single" w:sz="4" w:space="0" w:color="auto"/>
            </w:tcBorders>
          </w:tcPr>
          <w:p w14:paraId="3ACCEE95" w14:textId="77777777" w:rsidR="00260EE0" w:rsidRDefault="00260EE0">
            <w:pPr>
              <w:rPr>
                <w:rFonts w:ascii="Times New Roman" w:hAnsi="Times New Roman" w:cs="Times New Roman"/>
                <w:szCs w:val="20"/>
              </w:rPr>
            </w:pPr>
          </w:p>
        </w:tc>
        <w:tc>
          <w:tcPr>
            <w:tcW w:w="6844" w:type="dxa"/>
            <w:tcBorders>
              <w:top w:val="single" w:sz="4" w:space="0" w:color="auto"/>
              <w:left w:val="single" w:sz="4" w:space="0" w:color="auto"/>
              <w:bottom w:val="single" w:sz="4" w:space="0" w:color="auto"/>
              <w:right w:val="single" w:sz="4" w:space="0" w:color="auto"/>
            </w:tcBorders>
          </w:tcPr>
          <w:p w14:paraId="62E9AF81" w14:textId="0E276EAC" w:rsidR="00260EE0" w:rsidRPr="00260EE0" w:rsidRDefault="00260EE0">
            <w:pPr>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We think it is related to outcome of Question 1-1. </w:t>
            </w:r>
          </w:p>
        </w:tc>
      </w:tr>
    </w:tbl>
    <w:p w14:paraId="08B60FE4" w14:textId="77777777" w:rsidR="007B4939" w:rsidRDefault="007B4939">
      <w:pPr>
        <w:rPr>
          <w:rFonts w:ascii="Times New Roman" w:hAnsi="Times New Roman" w:cs="Times New Roman"/>
          <w:szCs w:val="20"/>
          <w:highlight w:val="yellow"/>
        </w:rPr>
      </w:pPr>
    </w:p>
    <w:p w14:paraId="4B8C5281" w14:textId="77777777" w:rsidR="007B4939" w:rsidRDefault="00DA461D">
      <w:pPr>
        <w:rPr>
          <w:rFonts w:ascii="Times New Roman" w:hAnsi="Times New Roman" w:cs="Times New Roman"/>
          <w:szCs w:val="20"/>
        </w:rPr>
      </w:pPr>
      <w:r>
        <w:rPr>
          <w:rFonts w:ascii="Times New Roman" w:hAnsi="Times New Roman" w:cs="Times New Roman"/>
          <w:b/>
          <w:bCs/>
          <w:szCs w:val="20"/>
          <w:highlight w:val="yellow"/>
        </w:rPr>
        <w:t>Question 1-4</w:t>
      </w:r>
      <w:r>
        <w:rPr>
          <w:rFonts w:ascii="Times New Roman" w:hAnsi="Times New Roman" w:cs="Times New Roman"/>
          <w:szCs w:val="20"/>
        </w:rPr>
        <w:t>: Please indicate if you would agree that gNB can configure TBS assum</w:t>
      </w:r>
      <w:bookmarkStart w:id="1" w:name="_GoBack"/>
      <w:bookmarkEnd w:id="1"/>
      <w:r>
        <w:rPr>
          <w:rFonts w:ascii="Times New Roman" w:hAnsi="Times New Roman" w:cs="Times New Roman"/>
          <w:szCs w:val="20"/>
        </w:rPr>
        <w:t xml:space="preserve">ption that the UE shall use for CQI computation (at least in some cases), or if existing specification is sufficient. </w:t>
      </w:r>
    </w:p>
    <w:tbl>
      <w:tblPr>
        <w:tblStyle w:val="af7"/>
        <w:tblW w:w="0" w:type="auto"/>
        <w:tblLook w:val="04A0" w:firstRow="1" w:lastRow="0" w:firstColumn="1" w:lastColumn="0" w:noHBand="0" w:noVBand="1"/>
      </w:tblPr>
      <w:tblGrid>
        <w:gridCol w:w="1615"/>
        <w:gridCol w:w="1170"/>
        <w:gridCol w:w="6844"/>
      </w:tblGrid>
      <w:tr w:rsidR="007B4939" w14:paraId="4D668748" w14:textId="77777777">
        <w:tc>
          <w:tcPr>
            <w:tcW w:w="1615" w:type="dxa"/>
            <w:tcBorders>
              <w:top w:val="single" w:sz="4" w:space="0" w:color="auto"/>
              <w:left w:val="single" w:sz="4" w:space="0" w:color="auto"/>
              <w:bottom w:val="single" w:sz="4" w:space="0" w:color="auto"/>
              <w:right w:val="single" w:sz="4" w:space="0" w:color="auto"/>
            </w:tcBorders>
          </w:tcPr>
          <w:p w14:paraId="6145ECF0"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9F975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F7EC55E"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Comments</w:t>
            </w:r>
          </w:p>
        </w:tc>
      </w:tr>
      <w:tr w:rsidR="007B4939" w14:paraId="11D2F31E" w14:textId="77777777">
        <w:tc>
          <w:tcPr>
            <w:tcW w:w="1615" w:type="dxa"/>
            <w:tcBorders>
              <w:top w:val="single" w:sz="4" w:space="0" w:color="auto"/>
              <w:left w:val="single" w:sz="4" w:space="0" w:color="auto"/>
              <w:bottom w:val="single" w:sz="4" w:space="0" w:color="auto"/>
              <w:right w:val="single" w:sz="4" w:space="0" w:color="auto"/>
            </w:tcBorders>
          </w:tcPr>
          <w:p w14:paraId="7160B0B7"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Intel</w:t>
            </w:r>
          </w:p>
        </w:tc>
        <w:tc>
          <w:tcPr>
            <w:tcW w:w="1170" w:type="dxa"/>
            <w:tcBorders>
              <w:top w:val="single" w:sz="4" w:space="0" w:color="auto"/>
              <w:left w:val="single" w:sz="4" w:space="0" w:color="auto"/>
              <w:bottom w:val="single" w:sz="4" w:space="0" w:color="auto"/>
              <w:right w:val="single" w:sz="4" w:space="0" w:color="auto"/>
            </w:tcBorders>
          </w:tcPr>
          <w:p w14:paraId="25685B56" w14:textId="77777777" w:rsidR="007B4939" w:rsidRDefault="00DA461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F84B9A6" w14:textId="77777777"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Configuration is not required. A single assumption would be sufficient.</w:t>
            </w:r>
          </w:p>
        </w:tc>
      </w:tr>
      <w:tr w:rsidR="007B4939" w14:paraId="5A2E0576" w14:textId="77777777">
        <w:tc>
          <w:tcPr>
            <w:tcW w:w="1615" w:type="dxa"/>
            <w:tcBorders>
              <w:top w:val="single" w:sz="4" w:space="0" w:color="auto"/>
              <w:left w:val="single" w:sz="4" w:space="0" w:color="auto"/>
              <w:bottom w:val="single" w:sz="4" w:space="0" w:color="auto"/>
              <w:right w:val="single" w:sz="4" w:space="0" w:color="auto"/>
            </w:tcBorders>
          </w:tcPr>
          <w:p w14:paraId="64C58942"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OPPO</w:t>
            </w:r>
          </w:p>
        </w:tc>
        <w:tc>
          <w:tcPr>
            <w:tcW w:w="1170" w:type="dxa"/>
            <w:tcBorders>
              <w:top w:val="single" w:sz="4" w:space="0" w:color="auto"/>
              <w:left w:val="single" w:sz="4" w:space="0" w:color="auto"/>
              <w:bottom w:val="single" w:sz="4" w:space="0" w:color="auto"/>
              <w:right w:val="single" w:sz="4" w:space="0" w:color="auto"/>
            </w:tcBorders>
          </w:tcPr>
          <w:p w14:paraId="092F8E22" w14:textId="77777777" w:rsidR="007B4939" w:rsidRDefault="00DA461D">
            <w:pPr>
              <w:rPr>
                <w:rFonts w:ascii="Times New Roman" w:hAnsi="Times New Roman" w:cs="Times New Roman"/>
                <w:szCs w:val="20"/>
                <w:lang w:val="en-CA"/>
              </w:rPr>
            </w:pPr>
            <w:r>
              <w:rPr>
                <w:rFonts w:ascii="Times New Roman" w:hAnsi="Times New Roman" w:cs="Times New Roman"/>
                <w:szCs w:val="20"/>
              </w:rPr>
              <w:t>No</w:t>
            </w:r>
          </w:p>
        </w:tc>
        <w:tc>
          <w:tcPr>
            <w:tcW w:w="6844" w:type="dxa"/>
            <w:tcBorders>
              <w:top w:val="single" w:sz="4" w:space="0" w:color="auto"/>
              <w:left w:val="single" w:sz="4" w:space="0" w:color="auto"/>
              <w:bottom w:val="single" w:sz="4" w:space="0" w:color="auto"/>
              <w:right w:val="single" w:sz="4" w:space="0" w:color="auto"/>
            </w:tcBorders>
          </w:tcPr>
          <w:p w14:paraId="006C6A13" w14:textId="77777777" w:rsidR="007B4939" w:rsidRDefault="00DA461D">
            <w:pPr>
              <w:rPr>
                <w:rFonts w:ascii="Times New Roman" w:eastAsia="SimSun" w:hAnsi="Times New Roman" w:cs="Times New Roman"/>
                <w:szCs w:val="20"/>
              </w:rPr>
            </w:pPr>
            <w:r>
              <w:rPr>
                <w:rFonts w:ascii="Times New Roman" w:eastAsia="SimSun" w:hAnsi="Times New Roman" w:cs="Times New Roman"/>
                <w:szCs w:val="20"/>
              </w:rPr>
              <w:t xml:space="preserve">Existing spec should be sufficient in our view. </w:t>
            </w:r>
          </w:p>
        </w:tc>
      </w:tr>
      <w:tr w:rsidR="007B4939" w14:paraId="2FA83F41" w14:textId="77777777">
        <w:tc>
          <w:tcPr>
            <w:tcW w:w="1615" w:type="dxa"/>
            <w:tcBorders>
              <w:top w:val="single" w:sz="4" w:space="0" w:color="auto"/>
              <w:left w:val="single" w:sz="4" w:space="0" w:color="auto"/>
              <w:bottom w:val="single" w:sz="4" w:space="0" w:color="auto"/>
              <w:right w:val="single" w:sz="4" w:space="0" w:color="auto"/>
            </w:tcBorders>
          </w:tcPr>
          <w:p w14:paraId="3294604D" w14:textId="7C9EE6FC" w:rsidR="007B4939" w:rsidRDefault="00DA461D">
            <w:pPr>
              <w:rPr>
                <w:rFonts w:ascii="Times New Roman" w:hAnsi="Times New Roman" w:cs="Times New Roman"/>
                <w:szCs w:val="20"/>
                <w:lang w:val="en-CA"/>
              </w:rPr>
            </w:pPr>
            <w:r>
              <w:rPr>
                <w:rFonts w:ascii="Times New Roman" w:hAnsi="Times New Roman" w:cs="Times New Roman"/>
                <w:szCs w:val="20"/>
                <w:lang w:val="en-CA"/>
              </w:rPr>
              <w:t>Nokia/NSB</w:t>
            </w:r>
          </w:p>
        </w:tc>
        <w:tc>
          <w:tcPr>
            <w:tcW w:w="1170" w:type="dxa"/>
            <w:tcBorders>
              <w:top w:val="single" w:sz="4" w:space="0" w:color="auto"/>
              <w:left w:val="single" w:sz="4" w:space="0" w:color="auto"/>
              <w:bottom w:val="single" w:sz="4" w:space="0" w:color="auto"/>
              <w:right w:val="single" w:sz="4" w:space="0" w:color="auto"/>
            </w:tcBorders>
          </w:tcPr>
          <w:p w14:paraId="013F4683" w14:textId="61BE455E" w:rsidR="007B4939" w:rsidRDefault="00DA461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380CF93" w14:textId="6B6F698F" w:rsidR="007B4939" w:rsidRDefault="00DA461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Will add further flexibility as URLLC TBS sizes are smaller and CSI feedback assumptions can be aligned with planned TBS for URLLC use cases. </w:t>
            </w:r>
          </w:p>
        </w:tc>
      </w:tr>
      <w:tr w:rsidR="00260EE0" w14:paraId="0B79DCAE" w14:textId="77777777">
        <w:tc>
          <w:tcPr>
            <w:tcW w:w="1615" w:type="dxa"/>
            <w:tcBorders>
              <w:top w:val="single" w:sz="4" w:space="0" w:color="auto"/>
              <w:left w:val="single" w:sz="4" w:space="0" w:color="auto"/>
              <w:bottom w:val="single" w:sz="4" w:space="0" w:color="auto"/>
              <w:right w:val="single" w:sz="4" w:space="0" w:color="auto"/>
            </w:tcBorders>
          </w:tcPr>
          <w:p w14:paraId="14EC54FF" w14:textId="09775167" w:rsidR="00260EE0" w:rsidRDefault="00260EE0" w:rsidP="00260EE0">
            <w:pPr>
              <w:rPr>
                <w:rFonts w:ascii="Times New Roman" w:hAnsi="Times New Roman" w:cs="Times New Roman"/>
                <w:szCs w:val="20"/>
                <w:lang w:val="en-CA"/>
              </w:rPr>
            </w:pPr>
            <w:r>
              <w:rPr>
                <w:rFonts w:ascii="Times New Roman" w:eastAsia="맑은 고딕" w:hAnsi="Times New Roman" w:cs="Times New Roman" w:hint="eastAsia"/>
                <w:szCs w:val="20"/>
              </w:rPr>
              <w:t>LG</w:t>
            </w:r>
          </w:p>
        </w:tc>
        <w:tc>
          <w:tcPr>
            <w:tcW w:w="1170" w:type="dxa"/>
            <w:tcBorders>
              <w:top w:val="single" w:sz="4" w:space="0" w:color="auto"/>
              <w:left w:val="single" w:sz="4" w:space="0" w:color="auto"/>
              <w:bottom w:val="single" w:sz="4" w:space="0" w:color="auto"/>
              <w:right w:val="single" w:sz="4" w:space="0" w:color="auto"/>
            </w:tcBorders>
          </w:tcPr>
          <w:p w14:paraId="49856F76" w14:textId="77777777" w:rsidR="00260EE0" w:rsidRDefault="00260EE0" w:rsidP="00260EE0">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1DDE2" w14:textId="417AA506" w:rsidR="00260EE0" w:rsidRDefault="00260EE0" w:rsidP="00260EE0">
            <w:pPr>
              <w:spacing w:line="256" w:lineRule="auto"/>
              <w:rPr>
                <w:rFonts w:ascii="Times New Roman" w:hAnsi="Times New Roman" w:cs="Times New Roman"/>
                <w:szCs w:val="20"/>
                <w:lang w:val="en-CA"/>
              </w:rPr>
            </w:pPr>
            <w:r>
              <w:rPr>
                <w:rFonts w:ascii="Times New Roman" w:eastAsia="맑은 고딕" w:hAnsi="Times New Roman" w:cs="Times New Roman" w:hint="eastAsia"/>
                <w:szCs w:val="20"/>
              </w:rPr>
              <w:t xml:space="preserve">We think it is related to outcome of Question 1-1. </w:t>
            </w:r>
          </w:p>
        </w:tc>
      </w:tr>
    </w:tbl>
    <w:p w14:paraId="648F6193" w14:textId="77777777" w:rsidR="007B4939" w:rsidRDefault="00DA461D">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6B9F30BF" w14:textId="77777777" w:rsidR="007B4939" w:rsidRDefault="00DA461D">
      <w:pPr>
        <w:pStyle w:val="Reference"/>
        <w:overflowPunct w:val="0"/>
        <w:adjustRightInd w:val="0"/>
        <w:textAlignment w:val="baseline"/>
        <w:rPr>
          <w:rFonts w:ascii="Times New Roman" w:hAnsi="Times New Roman" w:cs="Times New Roman"/>
          <w:szCs w:val="20"/>
        </w:rPr>
      </w:pPr>
      <w:bookmarkStart w:id="2" w:name="_Ref47299212"/>
      <w:bookmarkStart w:id="3" w:name="_Ref32420535"/>
      <w:r>
        <w:rPr>
          <w:rFonts w:ascii="Times New Roman" w:hAnsi="Times New Roman"/>
          <w:szCs w:val="20"/>
        </w:rPr>
        <w:t>RP-210854</w:t>
      </w:r>
      <w:r>
        <w:rPr>
          <w:rFonts w:ascii="Times New Roman" w:hAnsi="Times New Roman"/>
          <w:szCs w:val="20"/>
        </w:rPr>
        <w:tab/>
        <w:t>Revised WID: Enhanced IIoT and URLLC support for NR</w:t>
      </w:r>
      <w:r>
        <w:rPr>
          <w:rFonts w:ascii="Times New Roman" w:hAnsi="Times New Roman"/>
          <w:szCs w:val="20"/>
        </w:rPr>
        <w:tab/>
        <w:t>Nokia, Nokia Shanghai Bell.</w:t>
      </w:r>
      <w:bookmarkEnd w:id="2"/>
    </w:p>
    <w:p w14:paraId="551E0240" w14:textId="77777777" w:rsidR="007B4939" w:rsidRDefault="00DA461D">
      <w:pPr>
        <w:pStyle w:val="Reference"/>
        <w:overflowPunct w:val="0"/>
        <w:adjustRightInd w:val="0"/>
        <w:textAlignment w:val="baseline"/>
        <w:rPr>
          <w:rFonts w:ascii="Times New Roman" w:hAnsi="Times New Roman" w:cs="Times New Roman"/>
          <w:szCs w:val="20"/>
        </w:rPr>
      </w:pPr>
      <w:r>
        <w:rPr>
          <w:rFonts w:ascii="Times New Roman" w:hAnsi="Times New Roman"/>
          <w:szCs w:val="20"/>
        </w:rPr>
        <w:t>R1-2111141</w:t>
      </w:r>
      <w:r>
        <w:rPr>
          <w:rFonts w:ascii="Times New Roman" w:hAnsi="Times New Roman"/>
          <w:szCs w:val="20"/>
        </w:rPr>
        <w:tab/>
        <w:t>Discussion on enhancements for PDC and CSI</w:t>
      </w:r>
      <w:r>
        <w:rPr>
          <w:rFonts w:ascii="Times New Roman" w:hAnsi="Times New Roman"/>
          <w:szCs w:val="20"/>
        </w:rPr>
        <w:tab/>
        <w:t>Nokia, Nokia Shanghai Bell.</w:t>
      </w:r>
    </w:p>
    <w:p w14:paraId="7B493C9E" w14:textId="77777777" w:rsidR="007B4939" w:rsidRDefault="00DA461D">
      <w:pPr>
        <w:pStyle w:val="Reference"/>
        <w:overflowPunct w:val="0"/>
        <w:adjustRightInd w:val="0"/>
        <w:textAlignment w:val="baseline"/>
        <w:rPr>
          <w:rFonts w:ascii="Times New Roman" w:hAnsi="Times New Roman" w:cs="Times New Roman"/>
          <w:szCs w:val="20"/>
        </w:rPr>
      </w:pPr>
      <w:r>
        <w:rPr>
          <w:rFonts w:ascii="Times New Roman" w:hAnsi="Times New Roman" w:cs="Times New Roman"/>
          <w:szCs w:val="20"/>
        </w:rPr>
        <w:t>R1-2110509</w:t>
      </w:r>
      <w:r>
        <w:rPr>
          <w:rFonts w:ascii="Times New Roman" w:hAnsi="Times New Roman" w:cs="Times New Roman"/>
          <w:szCs w:val="20"/>
        </w:rPr>
        <w:tab/>
        <w:t>Feature lead summary #2 on CSI feedback enhancements for enhanced URLLC/IIoT</w:t>
      </w:r>
      <w:r>
        <w:rPr>
          <w:rFonts w:ascii="Times New Roman" w:hAnsi="Times New Roman" w:cs="Times New Roman"/>
          <w:szCs w:val="20"/>
        </w:rPr>
        <w:tab/>
      </w:r>
      <w:r>
        <w:rPr>
          <w:rFonts w:ascii="Times New Roman" w:hAnsi="Times New Roman" w:cs="Times New Roman"/>
          <w:szCs w:val="20"/>
        </w:rPr>
        <w:tab/>
        <w:t>Moderator (InterDigital, Inc.)</w:t>
      </w:r>
    </w:p>
    <w:p w14:paraId="43A784C4" w14:textId="77777777" w:rsidR="007B4939" w:rsidRDefault="007B4939">
      <w:pPr>
        <w:pStyle w:val="Reference"/>
        <w:numPr>
          <w:ilvl w:val="0"/>
          <w:numId w:val="0"/>
        </w:numPr>
        <w:ind w:left="567" w:hanging="567"/>
        <w:rPr>
          <w:rFonts w:ascii="Times New Roman" w:hAnsi="Times New Roman" w:cs="Times New Roman"/>
          <w:szCs w:val="20"/>
        </w:rPr>
      </w:pPr>
    </w:p>
    <w:bookmarkEnd w:id="3"/>
    <w:p w14:paraId="0C9D275A" w14:textId="77777777" w:rsidR="007B4939" w:rsidRDefault="00DA461D">
      <w:pPr>
        <w:pStyle w:val="1"/>
        <w:numPr>
          <w:ilvl w:val="0"/>
          <w:numId w:val="0"/>
        </w:numPr>
        <w:ind w:left="432" w:hanging="432"/>
        <w:rPr>
          <w:rFonts w:ascii="Times New Roman" w:hAnsi="Times New Roman"/>
          <w:lang w:val="en-US"/>
        </w:rPr>
      </w:pPr>
      <w:r>
        <w:rPr>
          <w:rFonts w:ascii="Times New Roman" w:hAnsi="Times New Roman"/>
          <w:lang w:val="en-US"/>
        </w:rPr>
        <w:t>Appendix: Previous agreements on CSI enhancements</w:t>
      </w:r>
    </w:p>
    <w:p w14:paraId="03FB5A80" w14:textId="77777777" w:rsidR="007B4939" w:rsidRDefault="00DA461D">
      <w:pPr>
        <w:rPr>
          <w:rFonts w:ascii="Times New Roman" w:hAnsi="Times New Roman" w:cs="Times New Roman"/>
          <w:szCs w:val="20"/>
          <w:u w:val="single"/>
        </w:rPr>
      </w:pPr>
      <w:r>
        <w:rPr>
          <w:rFonts w:ascii="Times New Roman" w:hAnsi="Times New Roman" w:cs="Times New Roman"/>
          <w:szCs w:val="20"/>
          <w:u w:val="single"/>
        </w:rPr>
        <w:t>RAN1#106b-e</w:t>
      </w:r>
    </w:p>
    <w:p w14:paraId="5CCB99D2" w14:textId="77777777" w:rsidR="007B4939" w:rsidRDefault="00DA461D">
      <w:pPr>
        <w:rPr>
          <w:rFonts w:ascii="Times" w:eastAsia="바탕" w:hAnsi="Times" w:cs="Times New Roman"/>
          <w:lang w:val="en-GB"/>
        </w:rPr>
      </w:pPr>
      <w:r>
        <w:rPr>
          <w:rFonts w:ascii="Times" w:eastAsia="바탕" w:hAnsi="Times" w:cs="Times New Roman"/>
          <w:b/>
          <w:lang w:val="en-GB"/>
        </w:rPr>
        <w:t>R1-2110509</w:t>
      </w:r>
      <w:r>
        <w:rPr>
          <w:rFonts w:ascii="Times" w:eastAsia="바탕" w:hAnsi="Times" w:cs="Times New Roman"/>
          <w:lang w:val="en-GB"/>
        </w:rPr>
        <w:tab/>
        <w:t>Feature lead summary #2 on CSI feedback enhancements for enhanced URLLC/IIoT</w:t>
      </w:r>
      <w:r>
        <w:rPr>
          <w:rFonts w:ascii="Times" w:eastAsia="바탕" w:hAnsi="Times" w:cs="Times New Roman"/>
          <w:lang w:val="en-GB"/>
        </w:rPr>
        <w:tab/>
        <w:t>Moderator (InterDigital, Inc.)</w:t>
      </w:r>
    </w:p>
    <w:p w14:paraId="09D8E569" w14:textId="77777777" w:rsidR="007B4939" w:rsidRDefault="007B4939">
      <w:pPr>
        <w:rPr>
          <w:rFonts w:ascii="Times" w:eastAsia="바탕" w:hAnsi="Times" w:cs="Times New Roman"/>
          <w:highlight w:val="cyan"/>
          <w:lang w:val="en-GB"/>
        </w:rPr>
      </w:pPr>
    </w:p>
    <w:p w14:paraId="60E591A2" w14:textId="77777777" w:rsidR="007B4939" w:rsidRDefault="00DA461D">
      <w:pPr>
        <w:rPr>
          <w:rFonts w:ascii="Times" w:eastAsia="바탕" w:hAnsi="Times" w:cs="Times New Roman"/>
          <w:b/>
          <w:highlight w:val="green"/>
          <w:lang w:val="en-GB"/>
        </w:rPr>
      </w:pPr>
      <w:r>
        <w:rPr>
          <w:rFonts w:ascii="Times" w:eastAsia="바탕" w:hAnsi="Times" w:cs="Times New Roman"/>
          <w:b/>
          <w:highlight w:val="green"/>
          <w:lang w:val="en-GB"/>
        </w:rPr>
        <w:t>Agreement</w:t>
      </w:r>
    </w:p>
    <w:p w14:paraId="6210DF4C" w14:textId="77777777" w:rsidR="007B4939" w:rsidRDefault="00DA461D">
      <w:pPr>
        <w:rPr>
          <w:rFonts w:ascii="Times New Roman" w:eastAsia="바탕" w:hAnsi="Times New Roman" w:cs="Times New Roman"/>
          <w:bCs/>
          <w:szCs w:val="20"/>
          <w:lang w:val="en-GB"/>
        </w:rPr>
      </w:pPr>
      <w:r>
        <w:rPr>
          <w:rFonts w:ascii="Times New Roman" w:eastAsia="바탕" w:hAnsi="Times New Roman" w:cs="Times New Roman"/>
          <w:bCs/>
          <w:szCs w:val="20"/>
          <w:lang w:val="en-GB"/>
        </w:rPr>
        <w:t>When subband CQI reporting is configured with 4-bits per subband, UE includes wideband CQI in report.</w:t>
      </w:r>
    </w:p>
    <w:p w14:paraId="3C535295" w14:textId="77777777" w:rsidR="007B4939" w:rsidRDefault="007B4939">
      <w:pPr>
        <w:rPr>
          <w:rFonts w:ascii="Times New Roman" w:hAnsi="Times New Roman" w:cs="Times New Roman"/>
          <w:szCs w:val="20"/>
          <w:u w:val="single"/>
        </w:rPr>
      </w:pPr>
    </w:p>
    <w:p w14:paraId="6393EE27" w14:textId="77777777" w:rsidR="007B4939" w:rsidRDefault="00DA461D">
      <w:pPr>
        <w:rPr>
          <w:rFonts w:ascii="Times New Roman" w:hAnsi="Times New Roman" w:cs="Times New Roman"/>
          <w:szCs w:val="20"/>
          <w:u w:val="single"/>
        </w:rPr>
      </w:pPr>
      <w:r>
        <w:rPr>
          <w:rFonts w:ascii="Times New Roman" w:hAnsi="Times New Roman" w:cs="Times New Roman"/>
          <w:szCs w:val="20"/>
          <w:u w:val="single"/>
        </w:rPr>
        <w:t>RAN1#106-e</w:t>
      </w:r>
    </w:p>
    <w:p w14:paraId="3D2427B5" w14:textId="77777777" w:rsidR="007B4939" w:rsidRDefault="00DA461D">
      <w:pPr>
        <w:rPr>
          <w:rFonts w:ascii="Times New Roman" w:eastAsia="바탕" w:hAnsi="Times New Roman" w:cs="Times New Roman"/>
          <w:b/>
          <w:bCs/>
          <w:szCs w:val="20"/>
          <w:highlight w:val="green"/>
          <w:lang w:val="en-GB"/>
        </w:rPr>
      </w:pPr>
      <w:r>
        <w:rPr>
          <w:rFonts w:ascii="Times New Roman" w:eastAsia="바탕" w:hAnsi="Times New Roman" w:cs="Times New Roman"/>
          <w:b/>
          <w:bCs/>
          <w:szCs w:val="20"/>
          <w:highlight w:val="green"/>
          <w:lang w:val="en-GB"/>
        </w:rPr>
        <w:t>Agreement</w:t>
      </w:r>
    </w:p>
    <w:p w14:paraId="2F1426EB" w14:textId="77777777" w:rsidR="007B4939" w:rsidRDefault="00DA461D">
      <w:pPr>
        <w:rPr>
          <w:rFonts w:ascii="Times New Roman" w:eastAsia="바탕" w:hAnsi="Times New Roman" w:cs="Times New Roman"/>
          <w:lang w:val="en-GB"/>
        </w:rPr>
      </w:pPr>
      <w:r>
        <w:rPr>
          <w:rFonts w:ascii="Times New Roman" w:eastAsia="바탕" w:hAnsi="Times New Roman" w:cs="Times New Roman"/>
          <w:lang w:val="en-GB"/>
        </w:rPr>
        <w:t>For subband CQI reporting with more than 2 bits per subband</w:t>
      </w:r>
    </w:p>
    <w:p w14:paraId="3325C8E2" w14:textId="77777777" w:rsidR="007B4939" w:rsidRDefault="00DA461D">
      <w:pPr>
        <w:numPr>
          <w:ilvl w:val="0"/>
          <w:numId w:val="15"/>
        </w:numPr>
        <w:rPr>
          <w:rFonts w:ascii="Times New Roman" w:eastAsia="Times New Roman" w:hAnsi="Times New Roman" w:cs="Times New Roman"/>
          <w:lang w:val="en-GB"/>
        </w:rPr>
      </w:pPr>
      <w:r>
        <w:rPr>
          <w:rFonts w:ascii="Times New Roman" w:eastAsia="Times New Roman" w:hAnsi="Times New Roman" w:cs="Times New Roman"/>
          <w:lang w:val="en-GB"/>
        </w:rPr>
        <w:t>Support 4-bits CQI only</w:t>
      </w:r>
    </w:p>
    <w:p w14:paraId="4B9852D4" w14:textId="77777777" w:rsidR="007B4939" w:rsidRDefault="007B4939">
      <w:pPr>
        <w:tabs>
          <w:tab w:val="left" w:pos="720"/>
        </w:tabs>
        <w:rPr>
          <w:rFonts w:ascii="Times New Roman" w:eastAsia="바탕" w:hAnsi="Times New Roman" w:cs="Times New Roman"/>
          <w:szCs w:val="20"/>
          <w:lang w:val="en-GB"/>
        </w:rPr>
      </w:pPr>
    </w:p>
    <w:p w14:paraId="2DAE68DB" w14:textId="77777777" w:rsidR="007B4939" w:rsidRDefault="00DA461D">
      <w:pPr>
        <w:tabs>
          <w:tab w:val="left" w:pos="720"/>
        </w:tabs>
        <w:rPr>
          <w:rFonts w:ascii="Times New Roman" w:eastAsia="바탕" w:hAnsi="Times New Roman" w:cs="Times New Roman"/>
          <w:b/>
          <w:bCs/>
          <w:szCs w:val="20"/>
          <w:highlight w:val="green"/>
          <w:lang w:val="en-GB"/>
        </w:rPr>
      </w:pPr>
      <w:r>
        <w:rPr>
          <w:rFonts w:ascii="Times New Roman" w:eastAsia="바탕" w:hAnsi="Times New Roman" w:cs="Times New Roman"/>
          <w:b/>
          <w:bCs/>
          <w:szCs w:val="20"/>
          <w:highlight w:val="green"/>
          <w:lang w:val="en-GB"/>
        </w:rPr>
        <w:t>Agreement</w:t>
      </w:r>
    </w:p>
    <w:p w14:paraId="16F96B3C" w14:textId="77777777" w:rsidR="007B4939" w:rsidRDefault="00DA461D">
      <w:pPr>
        <w:tabs>
          <w:tab w:val="left" w:pos="720"/>
        </w:tabs>
        <w:rPr>
          <w:rFonts w:ascii="Times New Roman" w:eastAsia="바탕" w:hAnsi="Times New Roman" w:cs="Times New Roman"/>
          <w:szCs w:val="20"/>
          <w:lang w:val="en-GB"/>
        </w:rPr>
      </w:pPr>
      <w:r>
        <w:rPr>
          <w:rFonts w:ascii="Times New Roman" w:eastAsia="바탕" w:hAnsi="Times New Roman" w:cs="Times New Roman"/>
          <w:szCs w:val="20"/>
          <w:lang w:val="en-GB"/>
        </w:rPr>
        <w:t>For subband CQI reporting in Rel-17, RRC can configure use of legacy 2-bits D-CQI or 4-bits CQI for each CSI report configuration.</w:t>
      </w:r>
    </w:p>
    <w:p w14:paraId="79938FD2" w14:textId="77777777" w:rsidR="007B4939" w:rsidRDefault="00DA461D">
      <w:pPr>
        <w:numPr>
          <w:ilvl w:val="0"/>
          <w:numId w:val="16"/>
        </w:numPr>
        <w:rPr>
          <w:rFonts w:ascii="Times New Roman" w:eastAsia="바탕" w:hAnsi="Times New Roman" w:cs="Times New Roman"/>
          <w:szCs w:val="20"/>
          <w:lang w:val="en-GB"/>
        </w:rPr>
      </w:pPr>
      <w:r>
        <w:rPr>
          <w:rFonts w:ascii="Times New Roman" w:eastAsia="바탕" w:hAnsi="Times New Roman" w:cs="Times New Roman"/>
          <w:szCs w:val="20"/>
          <w:lang w:val="en-GB"/>
        </w:rPr>
        <w:t>This feature is subject to UE capability</w:t>
      </w:r>
    </w:p>
    <w:p w14:paraId="2D015FE1" w14:textId="77777777" w:rsidR="007B4939" w:rsidRDefault="00DA461D">
      <w:pPr>
        <w:numPr>
          <w:ilvl w:val="0"/>
          <w:numId w:val="16"/>
        </w:numPr>
        <w:rPr>
          <w:rFonts w:ascii="Times New Roman" w:eastAsia="바탕" w:hAnsi="Times New Roman" w:cs="Times New Roman"/>
          <w:szCs w:val="20"/>
          <w:lang w:val="en-GB"/>
        </w:rPr>
      </w:pPr>
      <w:r>
        <w:rPr>
          <w:rFonts w:ascii="Times New Roman" w:eastAsia="바탕" w:hAnsi="Times New Roman" w:cs="Times New Roman"/>
          <w:szCs w:val="20"/>
          <w:lang w:val="en-GB"/>
        </w:rPr>
        <w:lastRenderedPageBreak/>
        <w:t>FFS: Whether wideband CQI report can be omitted</w:t>
      </w:r>
    </w:p>
    <w:p w14:paraId="28C8067E" w14:textId="77777777" w:rsidR="007B4939" w:rsidRDefault="007B4939">
      <w:pPr>
        <w:tabs>
          <w:tab w:val="left" w:pos="720"/>
        </w:tabs>
        <w:rPr>
          <w:rFonts w:ascii="Times New Roman" w:eastAsia="바탕" w:hAnsi="Times New Roman" w:cs="Times New Roman"/>
          <w:b/>
          <w:bCs/>
          <w:szCs w:val="20"/>
          <w:highlight w:val="yellow"/>
          <w:lang w:val="en-GB"/>
        </w:rPr>
      </w:pPr>
    </w:p>
    <w:p w14:paraId="1CADDBC1" w14:textId="77777777" w:rsidR="007B4939" w:rsidRDefault="00DA461D">
      <w:pPr>
        <w:tabs>
          <w:tab w:val="left" w:pos="720"/>
        </w:tabs>
        <w:rPr>
          <w:rFonts w:ascii="Times New Roman" w:eastAsia="바탕" w:hAnsi="Times New Roman" w:cs="Times New Roman"/>
          <w:bCs/>
          <w:szCs w:val="20"/>
          <w:lang w:val="en-GB"/>
        </w:rPr>
      </w:pPr>
      <w:r>
        <w:rPr>
          <w:rFonts w:ascii="Times New Roman" w:eastAsia="바탕" w:hAnsi="Times New Roman" w:cs="Times New Roman"/>
          <w:b/>
          <w:bCs/>
          <w:szCs w:val="20"/>
          <w:lang w:val="en-GB"/>
        </w:rPr>
        <w:t>R1-2108450</w:t>
      </w:r>
      <w:r>
        <w:rPr>
          <w:rFonts w:ascii="Times New Roman" w:eastAsia="바탕" w:hAnsi="Times New Roman" w:cs="Times New Roman"/>
          <w:b/>
          <w:bCs/>
          <w:szCs w:val="20"/>
          <w:lang w:val="en-GB"/>
        </w:rPr>
        <w:tab/>
      </w:r>
      <w:r>
        <w:rPr>
          <w:rFonts w:ascii="Times New Roman" w:eastAsia="바탕" w:hAnsi="Times New Roman" w:cs="Times New Roman"/>
          <w:bCs/>
          <w:szCs w:val="20"/>
          <w:lang w:val="en-GB"/>
        </w:rPr>
        <w:t>Feature lead summary #4 on CSI feedback enhancements for enhanced URLLC/IIoT</w:t>
      </w:r>
      <w:r>
        <w:rPr>
          <w:rFonts w:ascii="Times New Roman" w:eastAsia="바탕" w:hAnsi="Times New Roman" w:cs="Times New Roman"/>
          <w:bCs/>
          <w:szCs w:val="20"/>
          <w:lang w:val="en-GB"/>
        </w:rPr>
        <w:tab/>
        <w:t>Moderator (InterDigital)</w:t>
      </w:r>
    </w:p>
    <w:p w14:paraId="54D435A2" w14:textId="77777777" w:rsidR="007B4939" w:rsidRDefault="007B4939">
      <w:pPr>
        <w:tabs>
          <w:tab w:val="left" w:pos="720"/>
        </w:tabs>
        <w:rPr>
          <w:rFonts w:ascii="Times New Roman" w:eastAsia="바탕" w:hAnsi="Times New Roman" w:cs="Times New Roman"/>
          <w:szCs w:val="20"/>
          <w:lang w:val="en-GB"/>
        </w:rPr>
      </w:pPr>
    </w:p>
    <w:p w14:paraId="6C1A5C5E" w14:textId="77777777" w:rsidR="007B4939" w:rsidRDefault="00DA461D">
      <w:pPr>
        <w:tabs>
          <w:tab w:val="left" w:pos="720"/>
        </w:tabs>
        <w:rPr>
          <w:rFonts w:ascii="Times New Roman" w:eastAsia="바탕" w:hAnsi="Times New Roman" w:cs="Times New Roman"/>
          <w:b/>
          <w:bCs/>
          <w:szCs w:val="20"/>
          <w:lang w:val="en-GB"/>
        </w:rPr>
      </w:pPr>
      <w:r>
        <w:rPr>
          <w:rFonts w:ascii="Times New Roman" w:eastAsia="바탕" w:hAnsi="Times New Roman" w:cs="Times New Roman"/>
          <w:b/>
          <w:bCs/>
          <w:szCs w:val="20"/>
          <w:lang w:val="en-GB"/>
        </w:rPr>
        <w:t>Conclusion</w:t>
      </w:r>
    </w:p>
    <w:p w14:paraId="4A567E28" w14:textId="77777777" w:rsidR="007B4939" w:rsidRDefault="00DA461D">
      <w:pPr>
        <w:tabs>
          <w:tab w:val="left" w:pos="720"/>
        </w:tabs>
        <w:rPr>
          <w:rFonts w:ascii="Times New Roman" w:eastAsia="바탕" w:hAnsi="Times New Roman" w:cs="Times New Roman"/>
          <w:szCs w:val="20"/>
          <w:lang w:val="en-GB"/>
        </w:rPr>
      </w:pPr>
      <w:r>
        <w:rPr>
          <w:rFonts w:ascii="Times New Roman" w:eastAsia="바탕" w:hAnsi="Times New Roman" w:cs="Times New Roman"/>
          <w:szCs w:val="20"/>
          <w:lang w:val="en-GB"/>
        </w:rPr>
        <w:t xml:space="preserve">There is no consensus in RAN1 on the support of </w:t>
      </w:r>
      <w:r>
        <w:rPr>
          <w:rFonts w:ascii="Times New Roman" w:eastAsia="Times New Roman" w:hAnsi="Times New Roman" w:cs="Times New Roman"/>
          <w:lang w:val="en-GB"/>
        </w:rPr>
        <w:t>delta-MCS in Rel-17.</w:t>
      </w:r>
    </w:p>
    <w:p w14:paraId="73328FAE" w14:textId="77777777" w:rsidR="007B4939" w:rsidRDefault="007B4939">
      <w:pPr>
        <w:rPr>
          <w:rFonts w:ascii="Times New Roman" w:hAnsi="Times New Roman" w:cs="Times New Roman"/>
          <w:szCs w:val="20"/>
          <w:u w:val="single"/>
          <w:lang w:val="en-GB"/>
        </w:rPr>
      </w:pPr>
    </w:p>
    <w:p w14:paraId="75BF0D87" w14:textId="77777777" w:rsidR="007B4939" w:rsidRDefault="00DA461D">
      <w:pPr>
        <w:rPr>
          <w:rFonts w:ascii="Times New Roman" w:hAnsi="Times New Roman" w:cs="Times New Roman"/>
          <w:szCs w:val="20"/>
          <w:u w:val="single"/>
        </w:rPr>
      </w:pPr>
      <w:r>
        <w:rPr>
          <w:rFonts w:ascii="Times New Roman" w:hAnsi="Times New Roman" w:cs="Times New Roman"/>
          <w:szCs w:val="20"/>
          <w:u w:val="single"/>
        </w:rPr>
        <w:t>Guidance from RAN#92-e</w:t>
      </w:r>
    </w:p>
    <w:p w14:paraId="3D76F60B" w14:textId="77777777" w:rsidR="007B4939" w:rsidRDefault="00DA461D">
      <w:pPr>
        <w:rPr>
          <w:rFonts w:ascii="Times New Roman" w:hAnsi="Times New Roman"/>
          <w:szCs w:val="20"/>
        </w:rPr>
      </w:pPr>
      <w:r>
        <w:rPr>
          <w:rFonts w:ascii="Times New Roman" w:hAnsi="Times New Roman"/>
          <w:szCs w:val="20"/>
        </w:rPr>
        <w:t>(</w:t>
      </w:r>
      <w:r>
        <w:rPr>
          <w:rFonts w:ascii="Times New Roman" w:hAnsi="Times New Roman" w:cs="Times New Roman"/>
          <w:szCs w:val="20"/>
        </w:rPr>
        <w:t>RP-211297)</w:t>
      </w:r>
    </w:p>
    <w:p w14:paraId="17C9E388" w14:textId="77777777" w:rsidR="007B4939" w:rsidRDefault="00DA461D">
      <w:pPr>
        <w:rPr>
          <w:rFonts w:ascii="Times New Roman" w:hAnsi="Times New Roman"/>
          <w:szCs w:val="20"/>
        </w:rPr>
      </w:pPr>
      <w:r>
        <w:rPr>
          <w:rFonts w:ascii="Times New Roman" w:hAnsi="Times New Roman"/>
          <w:szCs w:val="20"/>
        </w:rPr>
        <w:t>RAN1 to further investigate the following for CSI enhancements for IIoT/URLLC:</w:t>
      </w:r>
    </w:p>
    <w:p w14:paraId="372AA296" w14:textId="77777777" w:rsidR="007B4939" w:rsidRDefault="00DA461D">
      <w:pPr>
        <w:pStyle w:val="af9"/>
        <w:numPr>
          <w:ilvl w:val="0"/>
          <w:numId w:val="16"/>
        </w:numPr>
        <w:spacing w:line="252" w:lineRule="auto"/>
        <w:rPr>
          <w:rFonts w:ascii="Times New Roman" w:hAnsi="Times New Roman"/>
          <w:szCs w:val="20"/>
        </w:rPr>
      </w:pPr>
      <w:r>
        <w:rPr>
          <w:rFonts w:ascii="Times New Roman" w:hAnsi="Times New Roman"/>
          <w:szCs w:val="20"/>
        </w:rPr>
        <w:t>Increasing the number of bits used for the reported subband CQI (3-bits differential subband CQI or 4-bits CQI)</w:t>
      </w:r>
    </w:p>
    <w:p w14:paraId="79AC2796" w14:textId="77777777" w:rsidR="007B4939" w:rsidRDefault="00DA461D">
      <w:pPr>
        <w:pStyle w:val="af9"/>
        <w:numPr>
          <w:ilvl w:val="0"/>
          <w:numId w:val="16"/>
        </w:numPr>
        <w:spacing w:line="252" w:lineRule="auto"/>
        <w:rPr>
          <w:rFonts w:ascii="Times New Roman" w:hAnsi="Times New Roman"/>
          <w:szCs w:val="20"/>
        </w:rPr>
      </w:pPr>
      <w:r>
        <w:rPr>
          <w:rFonts w:ascii="Times New Roman" w:hAnsi="Times New Roman"/>
          <w:szCs w:val="20"/>
        </w:rPr>
        <w:t>Reporting of delta-MCS:</w:t>
      </w:r>
    </w:p>
    <w:p w14:paraId="5C779030" w14:textId="77777777" w:rsidR="007B4939" w:rsidRDefault="00DA461D">
      <w:pPr>
        <w:pStyle w:val="af9"/>
        <w:numPr>
          <w:ilvl w:val="1"/>
          <w:numId w:val="16"/>
        </w:numPr>
        <w:spacing w:line="252" w:lineRule="auto"/>
        <w:rPr>
          <w:rFonts w:ascii="Times New Roman" w:hAnsi="Times New Roman"/>
          <w:szCs w:val="20"/>
        </w:rPr>
      </w:pPr>
      <w:r>
        <w:rPr>
          <w:rFonts w:ascii="Times New Roman" w:hAnsi="Times New Roman"/>
          <w:szCs w:val="20"/>
        </w:rPr>
        <w:t>Report consists of delta-MCS for a TB received with MCS index I</w:t>
      </w:r>
      <w:r>
        <w:rPr>
          <w:rFonts w:ascii="Times New Roman" w:hAnsi="Times New Roman"/>
          <w:szCs w:val="20"/>
          <w:vertAlign w:val="subscript"/>
        </w:rPr>
        <w:t>MCS</w:t>
      </w:r>
      <w:r>
        <w:rPr>
          <w:rFonts w:ascii="Times New Roman" w:hAnsi="Times New Roman"/>
          <w:szCs w:val="20"/>
        </w:rPr>
        <w:t>:</w:t>
      </w:r>
    </w:p>
    <w:p w14:paraId="71E37473" w14:textId="77777777" w:rsidR="007B4939" w:rsidRDefault="00DA461D">
      <w:pPr>
        <w:rPr>
          <w:rFonts w:ascii="Times New Roman" w:hAnsi="Times New Roman" w:cs="Times New Roman"/>
          <w:szCs w:val="20"/>
          <w:u w:val="single"/>
        </w:rPr>
      </w:pPr>
      <w:r>
        <w:rPr>
          <w:rFonts w:ascii="Times New Roman" w:hAnsi="Times New Roman"/>
          <w:szCs w:val="20"/>
        </w:rPr>
        <w:t>delta-MCS is calculated from the difference between I</w:t>
      </w:r>
      <w:r>
        <w:rPr>
          <w:rFonts w:ascii="Times New Roman" w:hAnsi="Times New Roman"/>
          <w:szCs w:val="20"/>
          <w:vertAlign w:val="subscript"/>
        </w:rPr>
        <w:t>MCS_tgt</w:t>
      </w:r>
      <w:r>
        <w:rPr>
          <w:rFonts w:ascii="Times New Roman" w:hAnsi="Times New Roman"/>
          <w:szCs w:val="20"/>
        </w:rPr>
        <w:t xml:space="preserve"> and I</w:t>
      </w:r>
      <w:r>
        <w:rPr>
          <w:rFonts w:ascii="Times New Roman" w:hAnsi="Times New Roman"/>
          <w:szCs w:val="20"/>
          <w:vertAlign w:val="subscript"/>
        </w:rPr>
        <w:t>MCS</w:t>
      </w:r>
      <w:r>
        <w:rPr>
          <w:rFonts w:ascii="Times New Roman" w:hAnsi="Times New Roman"/>
          <w:szCs w:val="20"/>
        </w:rPr>
        <w:t>, where I</w:t>
      </w:r>
      <w:r>
        <w:rPr>
          <w:rFonts w:ascii="Times New Roman" w:hAnsi="Times New Roman"/>
          <w:szCs w:val="20"/>
          <w:vertAlign w:val="subscript"/>
        </w:rPr>
        <w:t>MCS_tgt</w:t>
      </w:r>
      <w:r>
        <w:rPr>
          <w:rFonts w:ascii="Times New Roman" w:hAnsi="Times New Roman"/>
          <w:szCs w:val="20"/>
        </w:rPr>
        <w:t xml:space="preserve"> is the largest MCS index such that the estimated BLER for a TB received with this MCS index would be smaller than or equal to a BLER target, and I</w:t>
      </w:r>
      <w:r>
        <w:rPr>
          <w:rFonts w:ascii="Times New Roman" w:hAnsi="Times New Roman"/>
          <w:szCs w:val="20"/>
          <w:vertAlign w:val="subscript"/>
        </w:rPr>
        <w:t>MCS</w:t>
      </w:r>
      <w:r>
        <w:rPr>
          <w:rFonts w:ascii="Times New Roman" w:hAnsi="Times New Roman"/>
          <w:szCs w:val="20"/>
        </w:rPr>
        <w:t xml:space="preserve"> is the MCS index of the received TB.</w:t>
      </w:r>
    </w:p>
    <w:p w14:paraId="3DF75903" w14:textId="77777777" w:rsidR="007B4939" w:rsidRDefault="00DA461D">
      <w:pPr>
        <w:rPr>
          <w:rFonts w:ascii="Times New Roman" w:hAnsi="Times New Roman" w:cs="Times New Roman"/>
          <w:szCs w:val="20"/>
          <w:u w:val="single"/>
        </w:rPr>
      </w:pPr>
      <w:r>
        <w:rPr>
          <w:rFonts w:ascii="Times New Roman" w:hAnsi="Times New Roman" w:cs="Times New Roman"/>
          <w:szCs w:val="20"/>
          <w:u w:val="single"/>
        </w:rPr>
        <w:t>Agreements from RAN1#104b-e</w:t>
      </w:r>
    </w:p>
    <w:p w14:paraId="551E9E08" w14:textId="77777777" w:rsidR="007B4939" w:rsidRDefault="00DA461D">
      <w:pPr>
        <w:rPr>
          <w:rFonts w:ascii="Times" w:eastAsia="바탕" w:hAnsi="Times" w:cs="Times New Roman"/>
          <w:b/>
          <w:bCs/>
          <w:szCs w:val="20"/>
          <w:u w:val="single"/>
          <w:lang w:val="en-GB"/>
        </w:rPr>
      </w:pPr>
      <w:r>
        <w:rPr>
          <w:rFonts w:ascii="Times" w:eastAsia="바탕" w:hAnsi="Times" w:cs="Times New Roman"/>
          <w:b/>
          <w:bCs/>
          <w:szCs w:val="20"/>
          <w:u w:val="single"/>
          <w:lang w:val="en-GB"/>
        </w:rPr>
        <w:t>Conclusion:</w:t>
      </w:r>
    </w:p>
    <w:p w14:paraId="12A17FDC" w14:textId="77777777" w:rsidR="007B4939" w:rsidRDefault="00DA461D">
      <w:pPr>
        <w:rPr>
          <w:rFonts w:ascii="Times" w:eastAsia="바탕" w:hAnsi="Times" w:cs="Times New Roman"/>
          <w:color w:val="000000"/>
          <w:szCs w:val="20"/>
          <w:lang w:val="en-GB"/>
        </w:rPr>
      </w:pPr>
      <w:r>
        <w:rPr>
          <w:rFonts w:ascii="Times" w:eastAsia="바탕" w:hAnsi="Times" w:cs="Times New Roman"/>
          <w:color w:val="000000"/>
          <w:szCs w:val="20"/>
          <w:lang w:val="en-GB"/>
        </w:rPr>
        <w:t>For new reporting Case 1, do not consider further the following schemes:</w:t>
      </w:r>
    </w:p>
    <w:p w14:paraId="58B2E46D" w14:textId="77777777" w:rsidR="007B4939" w:rsidRDefault="00DA461D">
      <w:pPr>
        <w:numPr>
          <w:ilvl w:val="0"/>
          <w:numId w:val="17"/>
        </w:numPr>
        <w:spacing w:line="252" w:lineRule="auto"/>
        <w:rPr>
          <w:rFonts w:ascii="Times" w:eastAsia="바탕" w:hAnsi="Times" w:cs="Times New Roman"/>
          <w:color w:val="000000"/>
          <w:szCs w:val="20"/>
          <w:lang w:val="en-GB"/>
        </w:rPr>
      </w:pPr>
      <w:r>
        <w:rPr>
          <w:rFonts w:ascii="Times" w:eastAsia="바탕" w:hAnsi="Times" w:cs="Times New Roman"/>
          <w:color w:val="000000"/>
          <w:szCs w:val="20"/>
          <w:lang w:val="en-GB"/>
        </w:rPr>
        <w:t>Case 1-2: CSI prediction</w:t>
      </w:r>
    </w:p>
    <w:p w14:paraId="61F20AB4" w14:textId="77777777" w:rsidR="007B4939" w:rsidRDefault="00DA461D">
      <w:pPr>
        <w:numPr>
          <w:ilvl w:val="0"/>
          <w:numId w:val="17"/>
        </w:numPr>
        <w:spacing w:line="252" w:lineRule="auto"/>
        <w:rPr>
          <w:rFonts w:ascii="Times" w:eastAsia="바탕" w:hAnsi="Times" w:cs="Times New Roman"/>
          <w:color w:val="000000"/>
          <w:szCs w:val="20"/>
          <w:lang w:val="en-GB"/>
        </w:rPr>
      </w:pPr>
      <w:r>
        <w:rPr>
          <w:rFonts w:ascii="Times" w:eastAsia="바탕" w:hAnsi="Times" w:cs="Times New Roman"/>
          <w:color w:val="000000"/>
          <w:szCs w:val="20"/>
          <w:lang w:val="en-GB"/>
        </w:rPr>
        <w:t>Case 1-4: Interference covariance matrix</w:t>
      </w:r>
    </w:p>
    <w:p w14:paraId="1D9184D1" w14:textId="77777777" w:rsidR="007B4939" w:rsidRDefault="00DA461D">
      <w:pPr>
        <w:numPr>
          <w:ilvl w:val="0"/>
          <w:numId w:val="17"/>
        </w:numPr>
        <w:spacing w:line="252" w:lineRule="auto"/>
        <w:rPr>
          <w:rFonts w:ascii="Times" w:eastAsia="바탕" w:hAnsi="Times" w:cs="Times New Roman"/>
          <w:color w:val="000000"/>
          <w:szCs w:val="20"/>
          <w:lang w:val="en-GB"/>
        </w:rPr>
      </w:pPr>
      <w:r>
        <w:rPr>
          <w:rFonts w:ascii="Times" w:eastAsia="바탕" w:hAnsi="Times" w:cs="Times New Roman"/>
          <w:color w:val="000000"/>
          <w:szCs w:val="20"/>
          <w:lang w:val="en-GB"/>
        </w:rPr>
        <w:t>Case 1-9: Reference wideband CQI excludes worst sub-bands</w:t>
      </w:r>
    </w:p>
    <w:p w14:paraId="72A10F34" w14:textId="77777777" w:rsidR="007B4939" w:rsidRDefault="00DA461D">
      <w:pPr>
        <w:numPr>
          <w:ilvl w:val="0"/>
          <w:numId w:val="17"/>
        </w:numPr>
        <w:spacing w:line="252" w:lineRule="auto"/>
        <w:rPr>
          <w:rFonts w:ascii="Times" w:eastAsia="바탕" w:hAnsi="Times" w:cs="Times New Roman"/>
          <w:color w:val="000000"/>
          <w:szCs w:val="20"/>
          <w:lang w:val="en-GB"/>
        </w:rPr>
      </w:pPr>
      <w:r>
        <w:rPr>
          <w:rFonts w:ascii="Times" w:eastAsia="바탕" w:hAnsi="Times" w:cs="Times New Roman"/>
          <w:color w:val="000000"/>
          <w:szCs w:val="20"/>
          <w:lang w:val="en-GB"/>
        </w:rPr>
        <w:t>Case 1-10: CSI expiration time</w:t>
      </w:r>
    </w:p>
    <w:p w14:paraId="27D13075" w14:textId="77777777" w:rsidR="007B4939" w:rsidRDefault="007B4939">
      <w:pPr>
        <w:rPr>
          <w:rFonts w:ascii="Times" w:eastAsia="바탕" w:hAnsi="Times" w:cs="Times New Roman"/>
          <w:highlight w:val="green"/>
          <w:lang w:val="en-GB"/>
        </w:rPr>
      </w:pPr>
    </w:p>
    <w:p w14:paraId="1F3CC801" w14:textId="77777777" w:rsidR="007B4939" w:rsidRDefault="00DA461D">
      <w:pPr>
        <w:rPr>
          <w:rFonts w:ascii="Times New Roman" w:eastAsia="바탕" w:hAnsi="Times New Roman" w:cs="Times New Roman"/>
          <w:b/>
          <w:bCs/>
          <w:sz w:val="32"/>
          <w:szCs w:val="32"/>
        </w:rPr>
      </w:pPr>
      <w:r>
        <w:rPr>
          <w:rFonts w:ascii="Times" w:eastAsia="바탕" w:hAnsi="Times" w:cs="Times New Roman"/>
          <w:highlight w:val="green"/>
          <w:lang w:val="en-GB"/>
        </w:rPr>
        <w:t>Agreements:</w:t>
      </w:r>
    </w:p>
    <w:p w14:paraId="79D19D7C" w14:textId="77777777" w:rsidR="007B4939" w:rsidRDefault="00DA461D">
      <w:pPr>
        <w:rPr>
          <w:rFonts w:ascii="Times New Roman" w:eastAsia="바탕" w:hAnsi="Times New Roman" w:cs="Times New Roman"/>
          <w:szCs w:val="20"/>
          <w:lang w:val="en-GB"/>
        </w:rPr>
      </w:pPr>
      <w:r>
        <w:rPr>
          <w:rFonts w:ascii="Times New Roman" w:eastAsia="바탕" w:hAnsi="Times New Roman" w:cs="Times New Roman"/>
          <w:szCs w:val="20"/>
          <w:lang w:val="en-GB"/>
        </w:rPr>
        <w:t>For new reporting Case 2, focus study on reporting of delta-CQI/MCS (Case 2-3):</w:t>
      </w:r>
    </w:p>
    <w:p w14:paraId="7993970E" w14:textId="77777777" w:rsidR="007B4939" w:rsidRDefault="00DA461D">
      <w:pPr>
        <w:numPr>
          <w:ilvl w:val="0"/>
          <w:numId w:val="16"/>
        </w:numPr>
        <w:spacing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Note: this delta-CQI/MCS is determined based on UE implementation (for example, using SINR, LLR, raw BER, flipped bits, LDPC iterations, BLEP, # fail parity checks, etc.)</w:t>
      </w:r>
    </w:p>
    <w:p w14:paraId="2E16DB6A" w14:textId="77777777" w:rsidR="007B4939" w:rsidRDefault="00DA461D">
      <w:pPr>
        <w:numPr>
          <w:ilvl w:val="1"/>
          <w:numId w:val="16"/>
        </w:numPr>
        <w:spacing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Companies are encouraged to provide more details in their analysis</w:t>
      </w:r>
    </w:p>
    <w:p w14:paraId="3DEC3791" w14:textId="77777777" w:rsidR="007B4939" w:rsidRDefault="00DA461D">
      <w:pPr>
        <w:numPr>
          <w:ilvl w:val="0"/>
          <w:numId w:val="16"/>
        </w:numPr>
        <w:spacing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FFS: Granularity of new report type (e.g. units of CQI or MCS, how many bits)</w:t>
      </w:r>
    </w:p>
    <w:p w14:paraId="2A1C8926" w14:textId="77777777" w:rsidR="007B4939" w:rsidRDefault="00DA461D">
      <w:pPr>
        <w:numPr>
          <w:ilvl w:val="0"/>
          <w:numId w:val="16"/>
        </w:numPr>
        <w:spacing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FFS: Whether quantity reported is relative to the scheduled MCS</w:t>
      </w:r>
    </w:p>
    <w:p w14:paraId="23C6379F" w14:textId="77777777" w:rsidR="007B4939" w:rsidRDefault="007B4939">
      <w:pPr>
        <w:rPr>
          <w:rFonts w:ascii="Times" w:eastAsia="바탕" w:hAnsi="Times" w:cs="Times New Roman"/>
          <w:lang w:val="en-GB"/>
        </w:rPr>
      </w:pPr>
    </w:p>
    <w:p w14:paraId="065086D0" w14:textId="77777777" w:rsidR="007B4939" w:rsidRDefault="00DA461D">
      <w:pPr>
        <w:rPr>
          <w:rFonts w:ascii="Times New Roman" w:eastAsia="바탕" w:hAnsi="Times New Roman" w:cs="Times New Roman"/>
          <w:color w:val="000000"/>
        </w:rPr>
      </w:pPr>
      <w:r>
        <w:rPr>
          <w:rFonts w:ascii="Times New Roman" w:eastAsia="바탕" w:hAnsi="Times New Roman" w:cs="Times New Roman"/>
          <w:highlight w:val="green"/>
          <w:lang w:val="en-GB"/>
        </w:rPr>
        <w:t>Agreement</w:t>
      </w:r>
      <w:r>
        <w:rPr>
          <w:rFonts w:ascii="Times New Roman" w:eastAsia="바탕" w:hAnsi="Times New Roman" w:cs="Times New Roman"/>
          <w:lang w:val="en-GB"/>
        </w:rPr>
        <w:t>: Focus study on t</w:t>
      </w:r>
      <w:r>
        <w:rPr>
          <w:rFonts w:ascii="Times New Roman" w:eastAsia="바탕" w:hAnsi="Times New Roman" w:cs="Times New Roman"/>
          <w:color w:val="000000"/>
          <w:lang w:val="en-GB"/>
        </w:rPr>
        <w:t>he following for new reporting Case 1:</w:t>
      </w:r>
    </w:p>
    <w:p w14:paraId="5A5087F1" w14:textId="77777777" w:rsidR="007B4939" w:rsidRDefault="00DA461D">
      <w:pPr>
        <w:numPr>
          <w:ilvl w:val="0"/>
          <w:numId w:val="16"/>
        </w:numPr>
        <w:spacing w:line="252" w:lineRule="auto"/>
        <w:rPr>
          <w:rFonts w:ascii="Times New Roman" w:eastAsia="바탕" w:hAnsi="Times New Roman" w:cs="Times New Roman"/>
          <w:lang w:val="en-GB"/>
        </w:rPr>
      </w:pPr>
      <w:r>
        <w:rPr>
          <w:rFonts w:ascii="Times New Roman" w:eastAsia="바탕" w:hAnsi="Times New Roman" w:cs="Times New Roman"/>
          <w:lang w:val="en-GB"/>
        </w:rPr>
        <w:t xml:space="preserve">Reporting of new metric, where new metric shall be determined based on network configured channel and interference measurement interval (multiple CMR and/or IMR instances) to enable accurate MCS selection. </w:t>
      </w:r>
    </w:p>
    <w:p w14:paraId="5E7C1319" w14:textId="77777777" w:rsidR="007B4939" w:rsidRDefault="00DA461D">
      <w:pPr>
        <w:numPr>
          <w:ilvl w:val="1"/>
          <w:numId w:val="16"/>
        </w:numPr>
        <w:spacing w:line="252" w:lineRule="auto"/>
        <w:rPr>
          <w:rFonts w:ascii="Times New Roman" w:eastAsia="바탕" w:hAnsi="Times New Roman" w:cs="Times New Roman"/>
          <w:lang w:val="en-GB"/>
        </w:rPr>
      </w:pPr>
      <w:r>
        <w:rPr>
          <w:rFonts w:ascii="Times New Roman" w:eastAsia="바탕" w:hAnsi="Times New Roman" w:cs="Times New Roman"/>
          <w:lang w:val="en-GB"/>
        </w:rPr>
        <w:t xml:space="preserve">Downselect by RAN1#105 to </w:t>
      </w:r>
      <w:r>
        <w:rPr>
          <w:rFonts w:ascii="Times New Roman" w:eastAsia="바탕" w:hAnsi="Times New Roman" w:cs="Times New Roman"/>
          <w:color w:val="FF0000"/>
          <w:lang w:val="en-GB"/>
        </w:rPr>
        <w:t xml:space="preserve">at most </w:t>
      </w:r>
      <w:r>
        <w:rPr>
          <w:rFonts w:ascii="Times New Roman" w:eastAsia="바탕" w:hAnsi="Times New Roman" w:cs="Times New Roman"/>
          <w:lang w:val="en-GB"/>
        </w:rPr>
        <w:t>a single method from the following options:</w:t>
      </w:r>
    </w:p>
    <w:p w14:paraId="58F58B29" w14:textId="77777777" w:rsidR="007B4939" w:rsidRDefault="007B4939">
      <w:pPr>
        <w:spacing w:line="252" w:lineRule="auto"/>
        <w:ind w:leftChars="400" w:left="800"/>
        <w:rPr>
          <w:rFonts w:ascii="Times New Roman" w:eastAsia="Calibri" w:hAnsi="Times New Roman" w:cs="Times New Roman"/>
          <w:lang w:val="en-GB"/>
        </w:rPr>
      </w:pPr>
    </w:p>
    <w:p w14:paraId="5EE87F01" w14:textId="77777777" w:rsidR="007B4939" w:rsidRDefault="00DA461D">
      <w:pPr>
        <w:numPr>
          <w:ilvl w:val="2"/>
          <w:numId w:val="16"/>
        </w:numPr>
        <w:spacing w:line="252" w:lineRule="auto"/>
        <w:rPr>
          <w:rFonts w:ascii="Calibri" w:eastAsia="Times New Roman" w:hAnsi="Calibri" w:cs="Calibri"/>
          <w:lang w:val="en-GB"/>
        </w:rPr>
      </w:pPr>
      <w:r>
        <w:rPr>
          <w:rFonts w:ascii="Times New Roman" w:eastAsia="바탕" w:hAnsi="Times New Roman" w:cs="Times New Roman"/>
          <w:lang w:val="en-GB"/>
        </w:rPr>
        <w:t>Mean-CQI/SINR and stdev-CQI/SINR (FFS details)</w:t>
      </w:r>
    </w:p>
    <w:p w14:paraId="185D44C6" w14:textId="77777777" w:rsidR="007B4939" w:rsidRDefault="00DA461D">
      <w:pPr>
        <w:numPr>
          <w:ilvl w:val="2"/>
          <w:numId w:val="16"/>
        </w:numPr>
        <w:spacing w:line="252" w:lineRule="auto"/>
        <w:rPr>
          <w:rFonts w:ascii="Times" w:eastAsia="바탕" w:hAnsi="Times" w:cs="Times New Roman"/>
          <w:lang w:val="en-GB"/>
        </w:rPr>
      </w:pPr>
      <w:r>
        <w:rPr>
          <w:rFonts w:ascii="Times New Roman" w:eastAsia="바탕" w:hAnsi="Times New Roman" w:cs="Times New Roman"/>
          <w:lang w:val="en-GB"/>
        </w:rPr>
        <w:t>CSI based on worst IMR occasion (FFS details)</w:t>
      </w:r>
    </w:p>
    <w:p w14:paraId="4D2419A0" w14:textId="77777777" w:rsidR="007B4939" w:rsidRDefault="00DA461D">
      <w:pPr>
        <w:numPr>
          <w:ilvl w:val="2"/>
          <w:numId w:val="16"/>
        </w:numPr>
        <w:spacing w:line="252" w:lineRule="auto"/>
        <w:rPr>
          <w:rFonts w:ascii="Times" w:eastAsia="바탕" w:hAnsi="Times" w:cs="Times New Roman"/>
          <w:lang w:val="en-GB"/>
        </w:rPr>
      </w:pPr>
      <w:r>
        <w:rPr>
          <w:rFonts w:ascii="Times New Roman" w:eastAsia="바탕" w:hAnsi="Times New Roman" w:cs="Times New Roman"/>
          <w:color w:val="FF0000"/>
          <w:lang w:val="en-GB"/>
        </w:rPr>
        <w:t>Interference standard deviation (FFS details)</w:t>
      </w:r>
    </w:p>
    <w:p w14:paraId="7CF7E3B7" w14:textId="77777777" w:rsidR="007B4939" w:rsidRDefault="00DA461D">
      <w:pPr>
        <w:numPr>
          <w:ilvl w:val="2"/>
          <w:numId w:val="16"/>
        </w:numPr>
        <w:spacing w:line="252" w:lineRule="auto"/>
        <w:rPr>
          <w:rFonts w:ascii="Times" w:eastAsia="바탕" w:hAnsi="Times" w:cs="Times New Roman"/>
          <w:lang w:val="en-GB"/>
        </w:rPr>
      </w:pPr>
      <w:r>
        <w:rPr>
          <w:rFonts w:ascii="Times New Roman" w:eastAsia="바탕" w:hAnsi="Times New Roman" w:cs="Times New Roman"/>
          <w:color w:val="FF0000"/>
          <w:lang w:val="en-GB"/>
        </w:rPr>
        <w:t>Worst-M CQI (FFS details)</w:t>
      </w:r>
    </w:p>
    <w:p w14:paraId="4CE7E674" w14:textId="77777777" w:rsidR="007B4939" w:rsidRDefault="00DA461D">
      <w:pPr>
        <w:numPr>
          <w:ilvl w:val="1"/>
          <w:numId w:val="16"/>
        </w:numPr>
        <w:spacing w:line="252" w:lineRule="auto"/>
        <w:rPr>
          <w:rFonts w:ascii="Times" w:eastAsia="바탕" w:hAnsi="Times" w:cs="Times New Roman"/>
          <w:lang w:val="en-GB"/>
        </w:rPr>
      </w:pPr>
      <w:r>
        <w:rPr>
          <w:rFonts w:ascii="Times New Roman" w:eastAsia="바탕" w:hAnsi="Times New Roman" w:cs="Times New Roman"/>
          <w:lang w:val="en-GB"/>
        </w:rPr>
        <w:t>FFS: Whether network configured channel and interference measurement interval can also be applied to existing CSI type</w:t>
      </w:r>
    </w:p>
    <w:p w14:paraId="7780DD75" w14:textId="77777777" w:rsidR="007B4939" w:rsidRDefault="00DA461D">
      <w:pPr>
        <w:numPr>
          <w:ilvl w:val="0"/>
          <w:numId w:val="16"/>
        </w:numPr>
        <w:spacing w:line="252" w:lineRule="auto"/>
        <w:rPr>
          <w:rFonts w:ascii="Times New Roman" w:eastAsia="바탕" w:hAnsi="Times New Roman" w:cs="Times New Roman"/>
          <w:color w:val="FF0000"/>
          <w:lang w:val="en-GB"/>
        </w:rPr>
      </w:pPr>
      <w:r>
        <w:rPr>
          <w:rFonts w:ascii="Times New Roman" w:eastAsia="바탕" w:hAnsi="Times New Roman" w:cs="Times New Roman"/>
          <w:lang w:val="en-GB"/>
        </w:rPr>
        <w:t>Increasing granularity of subband CQI (e.g. 3-bits differential subband CQI or 4-bits full subband CQI).</w:t>
      </w:r>
    </w:p>
    <w:p w14:paraId="25BCD23C" w14:textId="77777777" w:rsidR="007B4939" w:rsidRDefault="00DA461D">
      <w:pPr>
        <w:numPr>
          <w:ilvl w:val="0"/>
          <w:numId w:val="16"/>
        </w:numPr>
        <w:spacing w:line="252" w:lineRule="auto"/>
        <w:rPr>
          <w:rFonts w:ascii="Calibri" w:eastAsia="바탕" w:hAnsi="Calibri" w:cs="Calibri"/>
          <w:lang w:val="en-GB"/>
        </w:rPr>
      </w:pPr>
      <w:r>
        <w:rPr>
          <w:rFonts w:ascii="Times New Roman" w:eastAsia="바탕" w:hAnsi="Times New Roman" w:cs="Times New Roman"/>
          <w:lang w:val="en-GB"/>
        </w:rPr>
        <w:t>Updating only CQI in a report, where CQI is conditioned on a previous instance in which RI/PMI/(CRI) is updated.</w:t>
      </w:r>
    </w:p>
    <w:p w14:paraId="57D9FDAB" w14:textId="77777777" w:rsidR="007B4939" w:rsidRDefault="00DA461D">
      <w:pPr>
        <w:numPr>
          <w:ilvl w:val="1"/>
          <w:numId w:val="16"/>
        </w:numPr>
        <w:spacing w:line="252" w:lineRule="auto"/>
        <w:rPr>
          <w:rFonts w:ascii="Times New Roman" w:eastAsia="바탕" w:hAnsi="Times New Roman" w:cs="Times New Roman"/>
          <w:color w:val="FF0000"/>
          <w:lang w:val="en-GB"/>
        </w:rPr>
      </w:pPr>
      <w:r>
        <w:rPr>
          <w:rFonts w:ascii="Times New Roman" w:eastAsia="바탕" w:hAnsi="Times New Roman" w:cs="Times New Roman"/>
          <w:color w:val="FF0000"/>
          <w:lang w:val="en-GB"/>
        </w:rPr>
        <w:t xml:space="preserve">Applicable for same reporting quantity as R16 for CQI. </w:t>
      </w:r>
    </w:p>
    <w:p w14:paraId="60E579F6" w14:textId="77777777" w:rsidR="007B4939" w:rsidRDefault="00DA461D">
      <w:pPr>
        <w:numPr>
          <w:ilvl w:val="1"/>
          <w:numId w:val="16"/>
        </w:numPr>
        <w:spacing w:line="252" w:lineRule="auto"/>
        <w:rPr>
          <w:rFonts w:ascii="Times New Roman" w:eastAsia="바탕" w:hAnsi="Times New Roman" w:cs="Times New Roman"/>
          <w:lang w:val="en-GB"/>
        </w:rPr>
      </w:pPr>
      <w:r>
        <w:rPr>
          <w:rFonts w:ascii="Times New Roman" w:eastAsia="바탕" w:hAnsi="Times New Roman" w:cs="Times New Roman"/>
          <w:lang w:val="en-GB"/>
        </w:rPr>
        <w:t>FFS: Whether network configured channel and interference measurement interval can also be applied</w:t>
      </w:r>
    </w:p>
    <w:p w14:paraId="5E84C156" w14:textId="77777777" w:rsidR="007B4939" w:rsidRDefault="00DA461D">
      <w:pPr>
        <w:numPr>
          <w:ilvl w:val="1"/>
          <w:numId w:val="16"/>
        </w:numPr>
        <w:spacing w:line="252" w:lineRule="auto"/>
        <w:rPr>
          <w:rFonts w:ascii="Times New Roman" w:eastAsia="바탕" w:hAnsi="Times New Roman" w:cs="Times New Roman"/>
          <w:lang w:val="en-GB"/>
        </w:rPr>
      </w:pPr>
      <w:r>
        <w:rPr>
          <w:rFonts w:ascii="Times New Roman" w:eastAsia="바탕" w:hAnsi="Times New Roman" w:cs="Times New Roman"/>
          <w:lang w:val="en-GB"/>
        </w:rPr>
        <w:t>FFS: Whether RI/PMI/(CRI) is transmitted in a report where only CQI is updated</w:t>
      </w:r>
    </w:p>
    <w:p w14:paraId="25F9DA75" w14:textId="77777777" w:rsidR="007B4939" w:rsidRDefault="00DA461D">
      <w:pPr>
        <w:numPr>
          <w:ilvl w:val="1"/>
          <w:numId w:val="16"/>
        </w:numPr>
        <w:spacing w:line="252" w:lineRule="auto"/>
        <w:rPr>
          <w:rFonts w:ascii="Times New Roman" w:eastAsia="바탕" w:hAnsi="Times New Roman" w:cs="Times New Roman"/>
          <w:strike/>
          <w:color w:val="FF0000"/>
          <w:lang w:val="en-GB"/>
        </w:rPr>
      </w:pPr>
      <w:r>
        <w:rPr>
          <w:rFonts w:ascii="Times New Roman" w:eastAsia="바탕" w:hAnsi="Times New Roman" w:cs="Times New Roman"/>
          <w:strike/>
          <w:color w:val="FF0000"/>
          <w:lang w:val="en-GB"/>
        </w:rPr>
        <w:t>FFS: how to report the updated CQI</w:t>
      </w:r>
    </w:p>
    <w:p w14:paraId="7D3E88A7" w14:textId="77777777" w:rsidR="007B4939" w:rsidRDefault="00DA461D">
      <w:pPr>
        <w:numPr>
          <w:ilvl w:val="1"/>
          <w:numId w:val="16"/>
        </w:numPr>
        <w:spacing w:line="252" w:lineRule="auto"/>
        <w:rPr>
          <w:rFonts w:ascii="Times New Roman" w:eastAsia="바탕" w:hAnsi="Times New Roman" w:cs="Times New Roman"/>
          <w:lang w:val="en-GB"/>
        </w:rPr>
      </w:pPr>
      <w:r>
        <w:rPr>
          <w:rFonts w:ascii="Times New Roman" w:eastAsia="바탕" w:hAnsi="Times New Roman" w:cs="Times New Roman"/>
          <w:lang w:val="en-GB"/>
        </w:rPr>
        <w:t xml:space="preserve">FFS: whether the CQI processing time can be </w:t>
      </w:r>
      <w:r>
        <w:rPr>
          <w:rFonts w:ascii="Times New Roman" w:eastAsia="바탕" w:hAnsi="Times New Roman" w:cs="Times New Roman"/>
          <w:strike/>
          <w:lang w:val="en-GB"/>
        </w:rPr>
        <w:t>is</w:t>
      </w:r>
      <w:r>
        <w:rPr>
          <w:rFonts w:ascii="Times New Roman" w:eastAsia="바탕" w:hAnsi="Times New Roman" w:cs="Times New Roman"/>
          <w:lang w:val="en-GB"/>
        </w:rPr>
        <w:t xml:space="preserve"> reduced compared to Rel-16 CSI processing delay</w:t>
      </w:r>
    </w:p>
    <w:p w14:paraId="630D59D0" w14:textId="77777777" w:rsidR="007B4939" w:rsidRDefault="00DA461D">
      <w:pPr>
        <w:rPr>
          <w:rFonts w:ascii="Times" w:eastAsia="바탕" w:hAnsi="Times" w:cs="Times New Roman"/>
          <w:lang w:val="en-GB"/>
        </w:rPr>
      </w:pPr>
      <w:r>
        <w:rPr>
          <w:rFonts w:ascii="Times" w:eastAsia="바탕" w:hAnsi="Times" w:cs="Times New Roman"/>
          <w:lang w:val="en-GB"/>
        </w:rPr>
        <w:t>Final summary in R1-2103956</w:t>
      </w:r>
    </w:p>
    <w:p w14:paraId="123B772D" w14:textId="77777777" w:rsidR="007B4939" w:rsidRDefault="007B4939">
      <w:pPr>
        <w:rPr>
          <w:rFonts w:ascii="Times New Roman" w:hAnsi="Times New Roman" w:cs="Times New Roman"/>
          <w:szCs w:val="20"/>
          <w:u w:val="single"/>
        </w:rPr>
      </w:pPr>
    </w:p>
    <w:p w14:paraId="0E57C16F" w14:textId="77777777" w:rsidR="007B4939" w:rsidRDefault="00DA461D">
      <w:pPr>
        <w:rPr>
          <w:rFonts w:ascii="Times New Roman" w:hAnsi="Times New Roman" w:cs="Times New Roman"/>
          <w:szCs w:val="20"/>
          <w:u w:val="single"/>
        </w:rPr>
      </w:pPr>
      <w:r>
        <w:rPr>
          <w:rFonts w:ascii="Times New Roman" w:hAnsi="Times New Roman" w:cs="Times New Roman"/>
          <w:szCs w:val="20"/>
          <w:u w:val="single"/>
        </w:rPr>
        <w:t>Agreements from RAN1#104-e</w:t>
      </w:r>
    </w:p>
    <w:p w14:paraId="57A468C2" w14:textId="77777777" w:rsidR="007B4939" w:rsidRDefault="00885A29">
      <w:pPr>
        <w:rPr>
          <w:rFonts w:ascii="Times" w:eastAsia="바탕" w:hAnsi="Times" w:cs="Times New Roman"/>
          <w:b/>
          <w:bCs/>
          <w:lang w:val="en-GB"/>
        </w:rPr>
      </w:pPr>
      <w:hyperlink r:id="rId8" w:history="1">
        <w:r w:rsidR="00DA461D">
          <w:rPr>
            <w:rFonts w:ascii="Times" w:eastAsia="바탕" w:hAnsi="Times" w:cs="Times New Roman"/>
            <w:b/>
            <w:bCs/>
            <w:color w:val="0000FF"/>
            <w:u w:val="single"/>
            <w:lang w:val="en-GB"/>
          </w:rPr>
          <w:t>R1-2101811</w:t>
        </w:r>
      </w:hyperlink>
    </w:p>
    <w:p w14:paraId="5953C579" w14:textId="77777777" w:rsidR="007B4939" w:rsidRDefault="00DA461D">
      <w:pPr>
        <w:spacing w:before="240"/>
        <w:rPr>
          <w:rFonts w:ascii="Times New Roman" w:eastAsia="Calibri" w:hAnsi="Times New Roman" w:cs="Times New Roman"/>
          <w:szCs w:val="20"/>
        </w:rPr>
      </w:pPr>
      <w:r>
        <w:rPr>
          <w:rFonts w:ascii="Times New Roman" w:eastAsia="Calibri" w:hAnsi="Times New Roman" w:cs="Times New Roman"/>
          <w:b/>
          <w:bCs/>
          <w:szCs w:val="20"/>
          <w:u w:val="single"/>
          <w:lang w:val="en-GB"/>
        </w:rPr>
        <w:t>Conclusion</w:t>
      </w:r>
      <w:r>
        <w:rPr>
          <w:rFonts w:ascii="Times New Roman" w:eastAsia="Calibri" w:hAnsi="Times New Roman" w:cs="Times New Roman"/>
          <w:b/>
          <w:bCs/>
          <w:szCs w:val="20"/>
          <w:lang w:val="en-GB"/>
        </w:rPr>
        <w:t>:</w:t>
      </w:r>
      <w:r>
        <w:rPr>
          <w:rFonts w:ascii="Times New Roman" w:eastAsia="Calibri" w:hAnsi="Times New Roman" w:cs="Times New Roman"/>
          <w:szCs w:val="20"/>
          <w:lang w:val="en-GB"/>
        </w:rPr>
        <w:t xml:space="preserve"> Continue evaluation of new reporting Case 1 and Case 2 for the schemes identified in Appendix B of </w:t>
      </w:r>
      <w:hyperlink r:id="rId9" w:history="1">
        <w:r>
          <w:rPr>
            <w:rFonts w:ascii="Times New Roman" w:eastAsia="Calibri" w:hAnsi="Times New Roman" w:cs="Times New Roman"/>
            <w:color w:val="0000FF"/>
            <w:szCs w:val="20"/>
            <w:u w:val="single"/>
            <w:lang w:val="en-GB"/>
          </w:rPr>
          <w:t>R1-2102131</w:t>
        </w:r>
      </w:hyperlink>
      <w:r>
        <w:rPr>
          <w:rFonts w:ascii="Times New Roman" w:eastAsia="Calibri" w:hAnsi="Times New Roman" w:cs="Times New Roman"/>
          <w:szCs w:val="20"/>
          <w:lang w:val="en-GB"/>
        </w:rPr>
        <w:t xml:space="preserve">. </w:t>
      </w:r>
    </w:p>
    <w:p w14:paraId="7DCB9B7B" w14:textId="77777777" w:rsidR="007B4939" w:rsidRDefault="00DA461D">
      <w:pPr>
        <w:numPr>
          <w:ilvl w:val="0"/>
          <w:numId w:val="16"/>
        </w:numPr>
        <w:spacing w:before="240" w:line="252" w:lineRule="auto"/>
        <w:rPr>
          <w:rFonts w:ascii="Times New Roman" w:eastAsia="Times New Roman" w:hAnsi="Times New Roman" w:cs="Times New Roman"/>
          <w:szCs w:val="20"/>
          <w:lang w:val="en-GB"/>
        </w:rPr>
      </w:pPr>
      <w:r>
        <w:rPr>
          <w:rFonts w:ascii="Times New Roman" w:eastAsia="바탕" w:hAnsi="Times New Roman" w:cs="Times New Roman"/>
          <w:szCs w:val="20"/>
          <w:lang w:val="en-GB"/>
        </w:rPr>
        <w:t xml:space="preserve">Companies are encouraged to provide their views on each scheme against each criterion in respective Tables in Appendix B. </w:t>
      </w:r>
    </w:p>
    <w:p w14:paraId="0718A670" w14:textId="77777777" w:rsidR="007B4939" w:rsidRDefault="00DA461D">
      <w:pPr>
        <w:numPr>
          <w:ilvl w:val="0"/>
          <w:numId w:val="16"/>
        </w:numPr>
        <w:spacing w:before="240"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Companies are encouraged to provide additional evaluation results for as many schemes as possible, based on assumptions agreed in RAN1#102-e.</w:t>
      </w:r>
    </w:p>
    <w:p w14:paraId="57B5C7C4" w14:textId="77777777" w:rsidR="007B4939" w:rsidRDefault="00DA461D">
      <w:pPr>
        <w:numPr>
          <w:ilvl w:val="0"/>
          <w:numId w:val="16"/>
        </w:numPr>
        <w:spacing w:before="240" w:line="252" w:lineRule="auto"/>
        <w:rPr>
          <w:rFonts w:ascii="Times New Roman" w:eastAsia="바탕" w:hAnsi="Times New Roman" w:cs="Times New Roman"/>
          <w:szCs w:val="20"/>
          <w:lang w:val="en-GB"/>
        </w:rPr>
      </w:pPr>
      <w:r>
        <w:rPr>
          <w:rFonts w:ascii="Times New Roman" w:eastAsia="바탕" w:hAnsi="Times New Roman" w:cs="Times New Roman"/>
          <w:szCs w:val="20"/>
          <w:lang w:val="en-GB"/>
        </w:rPr>
        <w:t>Aim for down-selection at RAN1#104-b-e by taking into account evaluation results and assessment against criteria from Appendix B.</w:t>
      </w:r>
    </w:p>
    <w:p w14:paraId="73BD8311" w14:textId="77777777" w:rsidR="007B4939" w:rsidRDefault="007B4939">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lang w:val="en-GB"/>
        </w:rPr>
      </w:pPr>
    </w:p>
    <w:p w14:paraId="485A0D59" w14:textId="77777777" w:rsidR="007B4939" w:rsidRDefault="00DA461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1BEF802" w14:textId="77777777" w:rsidR="007B4939" w:rsidRDefault="00DA461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63D350C" w14:textId="77777777" w:rsidR="007B4939" w:rsidRDefault="00DA461D">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52902C7" w14:textId="77777777" w:rsidR="007B4939" w:rsidRDefault="00DA461D">
      <w:pPr>
        <w:numPr>
          <w:ilvl w:val="0"/>
          <w:numId w:val="18"/>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15C319C" w14:textId="77777777" w:rsidR="007B4939" w:rsidRDefault="007B4939">
      <w:pPr>
        <w:rPr>
          <w:rFonts w:ascii="Times New Roman" w:eastAsia="Times New Roman" w:hAnsi="Times New Roman" w:cs="Times New Roman"/>
          <w:szCs w:val="20"/>
          <w:highlight w:val="magenta"/>
        </w:rPr>
      </w:pPr>
    </w:p>
    <w:p w14:paraId="18E7F2AF" w14:textId="77777777" w:rsidR="007B4939" w:rsidRDefault="00DA461D">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555E238" w14:textId="77777777" w:rsidR="007B4939" w:rsidRDefault="00DA461D">
      <w:pPr>
        <w:numPr>
          <w:ilvl w:val="0"/>
          <w:numId w:val="1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1AD42C21" w14:textId="77777777" w:rsidR="007B4939" w:rsidRDefault="007B4939">
      <w:pPr>
        <w:rPr>
          <w:rFonts w:ascii="Calibri" w:eastAsia="Calibri" w:hAnsi="Calibri" w:cs="Times New Roman"/>
          <w:color w:val="000000"/>
          <w:szCs w:val="20"/>
          <w:shd w:val="clear" w:color="auto" w:fill="FFFF00"/>
        </w:rPr>
      </w:pPr>
    </w:p>
    <w:p w14:paraId="58ADA0CA" w14:textId="77777777" w:rsidR="007B4939" w:rsidRDefault="00DA461D">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7FE4512" w14:textId="77777777" w:rsidR="007B4939" w:rsidRDefault="00DA461D">
      <w:pPr>
        <w:rPr>
          <w:rFonts w:ascii="굴림" w:eastAsia="굴림" w:hAnsi="굴림" w:cs="Times New Roman"/>
          <w:color w:val="000000"/>
          <w:szCs w:val="20"/>
        </w:rPr>
      </w:pPr>
      <w:r>
        <w:rPr>
          <w:rFonts w:ascii="Times New Roman" w:eastAsia="Times New Roman" w:hAnsi="Times New Roman" w:cs="Times New Roman"/>
          <w:color w:val="000000"/>
          <w:szCs w:val="20"/>
        </w:rPr>
        <w:lastRenderedPageBreak/>
        <w:t>For Case-1 New reporting, the following candidate schemes have been identified to address the fast interference change over time. Continue studying with focus on the identified schemes below for further study and evaluation.</w:t>
      </w:r>
    </w:p>
    <w:p w14:paraId="10AC754B" w14:textId="77777777" w:rsidR="007B4939" w:rsidRDefault="00DA461D">
      <w:pPr>
        <w:numPr>
          <w:ilvl w:val="0"/>
          <w:numId w:val="20"/>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431C8919" w14:textId="77777777" w:rsidR="007B4939" w:rsidRDefault="00DA461D">
      <w:pPr>
        <w:numPr>
          <w:ilvl w:val="1"/>
          <w:numId w:val="2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14:paraId="38C46F88" w14:textId="77777777" w:rsidR="007B4939" w:rsidRDefault="00DA461D">
      <w:pPr>
        <w:numPr>
          <w:ilvl w:val="1"/>
          <w:numId w:val="21"/>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14:paraId="62F77A03" w14:textId="77777777" w:rsidR="007B4939" w:rsidRDefault="00DA461D">
      <w:pPr>
        <w:numPr>
          <w:ilvl w:val="0"/>
          <w:numId w:val="2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4B10BB7A" w14:textId="77777777" w:rsidR="007B4939" w:rsidRDefault="00DA461D">
      <w:pPr>
        <w:numPr>
          <w:ilvl w:val="0"/>
          <w:numId w:val="22"/>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5BF510DC" w14:textId="77777777" w:rsidR="007B4939" w:rsidRDefault="00DA461D">
      <w:pPr>
        <w:numPr>
          <w:ilvl w:val="1"/>
          <w:numId w:val="2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14:paraId="6394A415" w14:textId="77777777" w:rsidR="007B4939" w:rsidRDefault="00DA461D">
      <w:pPr>
        <w:numPr>
          <w:ilvl w:val="1"/>
          <w:numId w:val="2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14:paraId="5867A380" w14:textId="77777777" w:rsidR="007B4939" w:rsidRDefault="00DA461D">
      <w:pPr>
        <w:numPr>
          <w:ilvl w:val="0"/>
          <w:numId w:val="2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1AF85898" w14:textId="77777777" w:rsidR="007B4939" w:rsidRDefault="00DA461D">
      <w:pPr>
        <w:numPr>
          <w:ilvl w:val="0"/>
          <w:numId w:val="2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46B72B2" w14:textId="77777777" w:rsidR="007B4939" w:rsidRDefault="00DA461D">
      <w:pPr>
        <w:numPr>
          <w:ilvl w:val="1"/>
          <w:numId w:val="2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14:paraId="691BE855" w14:textId="77777777" w:rsidR="007B4939" w:rsidRDefault="00DA461D">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EAD04A1" w14:textId="77777777" w:rsidR="007B4939" w:rsidRDefault="007B4939">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7E978913" w14:textId="77777777" w:rsidR="007B4939" w:rsidRDefault="00DA461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16729005" w14:textId="77777777" w:rsidR="007B4939" w:rsidRDefault="007B4939">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440BDBDE" w14:textId="77777777" w:rsidR="007B4939" w:rsidRDefault="00DA461D">
      <w:pPr>
        <w:rPr>
          <w:rFonts w:ascii="Times" w:eastAsia="바탕" w:hAnsi="Times" w:cs="Times New Roman"/>
          <w:color w:val="000000"/>
          <w:highlight w:val="green"/>
          <w:lang w:val="en-GB"/>
        </w:rPr>
      </w:pPr>
      <w:r>
        <w:rPr>
          <w:rFonts w:ascii="Times" w:eastAsia="바탕" w:hAnsi="Times" w:cs="Times New Roman"/>
          <w:color w:val="000000"/>
          <w:highlight w:val="green"/>
          <w:shd w:val="clear" w:color="auto" w:fill="00FFFF"/>
          <w:lang w:val="en-GB"/>
        </w:rPr>
        <w:t>Agreement:</w:t>
      </w:r>
    </w:p>
    <w:p w14:paraId="15FEBB80" w14:textId="77777777" w:rsidR="007B4939" w:rsidRDefault="00DA461D">
      <w:pPr>
        <w:numPr>
          <w:ilvl w:val="0"/>
          <w:numId w:val="26"/>
        </w:numPr>
        <w:overflowPunct w:val="0"/>
        <w:adjustRightInd w:val="0"/>
        <w:spacing w:after="180"/>
        <w:contextualSpacing/>
        <w:textAlignment w:val="baseline"/>
        <w:rPr>
          <w:rFonts w:ascii="Times New Roman" w:eastAsia="Times New Roman" w:hAnsi="Times New Roman" w:cs="Times New Roman"/>
          <w:color w:val="000000"/>
          <w:szCs w:val="20"/>
          <w:lang w:val="en-GB"/>
        </w:rPr>
      </w:pPr>
      <w:r>
        <w:rPr>
          <w:rFonts w:ascii="Times New Roman" w:eastAsia="Times New Roman" w:hAnsi="Times New Roman" w:cs="Times New Roman"/>
          <w:color w:val="000000"/>
          <w:szCs w:val="20"/>
          <w:lang w:val="en-GB"/>
        </w:rPr>
        <w:t>CSI feedback enhancement for Multi-TRP transmission is not to be discussed further under IIoT/URLLC enhancement WI</w:t>
      </w:r>
    </w:p>
    <w:p w14:paraId="686BEDE5" w14:textId="77777777" w:rsidR="007B4939" w:rsidRDefault="00DA461D">
      <w:pPr>
        <w:rPr>
          <w:rFonts w:ascii="Times" w:eastAsia="바탕" w:hAnsi="Times" w:cs="Times New Roman"/>
          <w:color w:val="000000"/>
          <w:highlight w:val="green"/>
          <w:lang w:val="en-GB"/>
        </w:rPr>
      </w:pPr>
      <w:r>
        <w:rPr>
          <w:rFonts w:ascii="Times" w:eastAsia="바탕" w:hAnsi="Times" w:cs="Times New Roman"/>
          <w:color w:val="000000"/>
          <w:highlight w:val="green"/>
          <w:shd w:val="clear" w:color="auto" w:fill="00FFFF"/>
          <w:lang w:val="en-GB"/>
        </w:rPr>
        <w:t>Agreements:</w:t>
      </w:r>
    </w:p>
    <w:p w14:paraId="0F926693" w14:textId="77777777" w:rsidR="007B4939" w:rsidRDefault="00DA461D">
      <w:pPr>
        <w:numPr>
          <w:ilvl w:val="0"/>
          <w:numId w:val="27"/>
        </w:numPr>
        <w:spacing w:line="276" w:lineRule="atLeast"/>
        <w:rPr>
          <w:rFonts w:ascii="Times" w:eastAsia="Times New Roman" w:hAnsi="Times" w:cs="Times New Roman"/>
          <w:color w:val="000000"/>
          <w:lang w:val="en-GB"/>
        </w:rPr>
      </w:pPr>
      <w:r>
        <w:rPr>
          <w:rFonts w:ascii="Times" w:eastAsia="Times New Roman" w:hAnsi="Times" w:cs="Times New Roman"/>
          <w:color w:val="000000"/>
          <w:lang w:val="en-GB"/>
        </w:rPr>
        <w:t>Baseline assumptions are used as the required minimum to be simulated for the evaluation of candidate CSI enhancement schemes</w:t>
      </w:r>
    </w:p>
    <w:p w14:paraId="7E75DCF5" w14:textId="77777777" w:rsidR="007B4939" w:rsidRDefault="00DA461D">
      <w:pPr>
        <w:numPr>
          <w:ilvl w:val="1"/>
          <w:numId w:val="27"/>
        </w:numPr>
        <w:spacing w:line="276" w:lineRule="atLeast"/>
        <w:rPr>
          <w:rFonts w:ascii="Times" w:eastAsia="Times New Roman" w:hAnsi="Times" w:cs="Times New Roman"/>
          <w:color w:val="000000"/>
          <w:lang w:val="en-GB"/>
        </w:rPr>
      </w:pPr>
      <w:r>
        <w:rPr>
          <w:rFonts w:ascii="Times" w:eastAsia="Times New Roman" w:hAnsi="Times" w:cs="Times New Roman"/>
          <w:color w:val="000000"/>
          <w:lang w:val="en-GB"/>
        </w:rPr>
        <w:t>Reuse the assumptions in TR 38.824 and TR 38.901 as a starting point</w:t>
      </w:r>
    </w:p>
    <w:p w14:paraId="0AAA8EC1" w14:textId="77777777" w:rsidR="007B4939" w:rsidRDefault="00DA461D">
      <w:pPr>
        <w:numPr>
          <w:ilvl w:val="1"/>
          <w:numId w:val="27"/>
        </w:numPr>
        <w:spacing w:line="276" w:lineRule="atLeast"/>
        <w:rPr>
          <w:rFonts w:ascii="Times" w:eastAsia="Times New Roman" w:hAnsi="Times" w:cs="Times New Roman"/>
          <w:color w:val="000000"/>
          <w:lang w:val="en-GB"/>
        </w:rPr>
      </w:pPr>
      <w:r>
        <w:rPr>
          <w:rFonts w:ascii="Times" w:eastAsia="Times New Roman" w:hAnsi="Times" w:cs="Times New Roman"/>
          <w:color w:val="000000"/>
          <w:lang w:val="en-GB"/>
        </w:rPr>
        <w:t>Companies shall report additional parameters (e.g., CSI measurement settings, CSI reporting schemes) used in their evaluation</w:t>
      </w:r>
    </w:p>
    <w:p w14:paraId="4C333D62" w14:textId="77777777" w:rsidR="007B4939" w:rsidRDefault="00DA461D">
      <w:pPr>
        <w:numPr>
          <w:ilvl w:val="1"/>
          <w:numId w:val="27"/>
        </w:numPr>
        <w:spacing w:line="276" w:lineRule="atLeast"/>
        <w:rPr>
          <w:rFonts w:ascii="Times" w:eastAsia="Times New Roman" w:hAnsi="Times" w:cs="Times New Roman"/>
          <w:color w:val="000000"/>
          <w:lang w:val="en-GB"/>
        </w:rPr>
      </w:pPr>
      <w:r>
        <w:rPr>
          <w:rFonts w:ascii="Times" w:eastAsia="Times New Roman" w:hAnsi="Times" w:cs="Times New Roman"/>
          <w:color w:val="000000"/>
          <w:lang w:val="en-GB"/>
        </w:rPr>
        <w:t>FFS details of baseline assumptions</w:t>
      </w:r>
    </w:p>
    <w:p w14:paraId="64C6A613" w14:textId="77777777" w:rsidR="007B4939" w:rsidRDefault="00DA461D">
      <w:pPr>
        <w:numPr>
          <w:ilvl w:val="0"/>
          <w:numId w:val="27"/>
        </w:numPr>
        <w:spacing w:line="276" w:lineRule="atLeast"/>
        <w:rPr>
          <w:rFonts w:ascii="Times" w:eastAsia="Times New Roman" w:hAnsi="Times" w:cs="Times New Roman"/>
          <w:color w:val="000000"/>
          <w:lang w:val="en-GB"/>
        </w:rPr>
      </w:pPr>
      <w:r>
        <w:rPr>
          <w:rFonts w:ascii="Times" w:eastAsia="Times New Roman" w:hAnsi="Times" w:cs="Times New Roman"/>
          <w:color w:val="000000"/>
          <w:lang w:val="en-GB"/>
        </w:rPr>
        <w:t>Companies can bring additional simulation results with other set(s) of assumptions</w:t>
      </w:r>
    </w:p>
    <w:p w14:paraId="33DE2010" w14:textId="77777777" w:rsidR="007B4939" w:rsidRDefault="007B4939">
      <w:pPr>
        <w:rPr>
          <w:rFonts w:ascii="Times" w:eastAsia="DengXian" w:hAnsi="Times" w:cs="Times New Roman"/>
          <w:color w:val="000000"/>
          <w:lang w:val="en-GB"/>
        </w:rPr>
      </w:pPr>
    </w:p>
    <w:p w14:paraId="6B80D4A2" w14:textId="77777777" w:rsidR="007B4939" w:rsidRDefault="00DA461D">
      <w:pPr>
        <w:rPr>
          <w:rFonts w:ascii="Times" w:eastAsia="바탕" w:hAnsi="Times" w:cs="Times New Roman"/>
          <w:color w:val="000000"/>
          <w:highlight w:val="green"/>
          <w:lang w:val="en-GB"/>
        </w:rPr>
      </w:pPr>
      <w:r>
        <w:rPr>
          <w:rFonts w:ascii="Times" w:eastAsia="바탕" w:hAnsi="Times" w:cs="Times New Roman"/>
          <w:color w:val="000000"/>
          <w:highlight w:val="green"/>
          <w:shd w:val="clear" w:color="auto" w:fill="00FFFF"/>
          <w:lang w:val="en-GB"/>
        </w:rPr>
        <w:t>Agreements:</w:t>
      </w:r>
    </w:p>
    <w:p w14:paraId="486A4E5A" w14:textId="77777777" w:rsidR="007B4939" w:rsidRDefault="00DA461D">
      <w:pPr>
        <w:numPr>
          <w:ilvl w:val="0"/>
          <w:numId w:val="28"/>
        </w:numPr>
        <w:rPr>
          <w:rFonts w:ascii="Times" w:eastAsia="Times New Roman" w:hAnsi="Times" w:cs="Times New Roman"/>
          <w:color w:val="000000"/>
          <w:lang w:val="en-GB"/>
        </w:rPr>
      </w:pPr>
      <w:r>
        <w:rPr>
          <w:rFonts w:ascii="Times" w:eastAsia="Times New Roman" w:hAnsi="Times" w:cs="Times New Roman"/>
          <w:color w:val="000000"/>
          <w:lang w:val="en-GB"/>
        </w:rPr>
        <w:t>Study/evaluate further on following CSI enhancement schemes in terms of technical benefit, specification and implementation impacts.</w:t>
      </w:r>
    </w:p>
    <w:p w14:paraId="314CA425"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New triggering methods for A-CSI and/or SRS</w:t>
      </w:r>
    </w:p>
    <w:p w14:paraId="6441E3ED"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New reporting based on one or more of the following:</w:t>
      </w:r>
    </w:p>
    <w:p w14:paraId="4ED1D5AF" w14:textId="77777777" w:rsidR="007B4939" w:rsidRDefault="00DA461D">
      <w:pPr>
        <w:numPr>
          <w:ilvl w:val="2"/>
          <w:numId w:val="28"/>
        </w:numPr>
        <w:rPr>
          <w:rFonts w:ascii="Times" w:eastAsia="Times New Roman" w:hAnsi="Times" w:cs="Times New Roman"/>
          <w:color w:val="000000"/>
          <w:lang w:val="en-GB"/>
        </w:rPr>
      </w:pPr>
      <w:r>
        <w:rPr>
          <w:rFonts w:ascii="Times" w:eastAsia="Times New Roman" w:hAnsi="Times" w:cs="Times New Roman"/>
          <w:color w:val="000000"/>
          <w:lang w:val="en-GB"/>
        </w:rPr>
        <w:t>Case 1: channel/interference measurement for new CSI reporting, considering aspects such as one or more of the following:</w:t>
      </w:r>
    </w:p>
    <w:p w14:paraId="62FF8B90" w14:textId="77777777" w:rsidR="007B4939" w:rsidRDefault="00DA461D">
      <w:pPr>
        <w:numPr>
          <w:ilvl w:val="3"/>
          <w:numId w:val="28"/>
        </w:numPr>
        <w:rPr>
          <w:rFonts w:ascii="Times" w:eastAsia="Times New Roman" w:hAnsi="Times" w:cs="Times New Roman"/>
          <w:color w:val="000000"/>
          <w:lang w:val="en-GB"/>
        </w:rPr>
      </w:pPr>
      <w:r>
        <w:rPr>
          <w:rFonts w:ascii="Times" w:eastAsia="Times New Roman" w:hAnsi="Times" w:cs="Times New Roman"/>
          <w:color w:val="000000"/>
          <w:lang w:val="en-GB"/>
        </w:rPr>
        <w:t>Reporting more accurate interference characteristics</w:t>
      </w:r>
    </w:p>
    <w:p w14:paraId="009A1039" w14:textId="77777777" w:rsidR="007B4939" w:rsidRDefault="00DA461D">
      <w:pPr>
        <w:numPr>
          <w:ilvl w:val="3"/>
          <w:numId w:val="28"/>
        </w:numPr>
        <w:rPr>
          <w:rFonts w:ascii="Times" w:eastAsia="Times New Roman" w:hAnsi="Times" w:cs="Times New Roman"/>
          <w:color w:val="000000"/>
          <w:lang w:val="en-GB"/>
        </w:rPr>
      </w:pPr>
      <w:r>
        <w:rPr>
          <w:rFonts w:ascii="Times" w:eastAsia="Times New Roman" w:hAnsi="Times" w:cs="Times New Roman"/>
          <w:color w:val="000000"/>
          <w:lang w:val="en-GB"/>
        </w:rPr>
        <w:t>Reduced CSI feedback overhead (e.g., reporting interference measurement only)</w:t>
      </w:r>
    </w:p>
    <w:p w14:paraId="316D0651" w14:textId="77777777" w:rsidR="007B4939" w:rsidRDefault="00DA461D">
      <w:pPr>
        <w:numPr>
          <w:ilvl w:val="3"/>
          <w:numId w:val="28"/>
        </w:numPr>
        <w:rPr>
          <w:rFonts w:ascii="Times" w:eastAsia="Times New Roman" w:hAnsi="Times" w:cs="Times New Roman"/>
          <w:color w:val="000000"/>
          <w:lang w:val="en-GB"/>
        </w:rPr>
      </w:pPr>
      <w:r>
        <w:rPr>
          <w:rFonts w:ascii="Times" w:eastAsia="Times New Roman" w:hAnsi="Times" w:cs="Times New Roman"/>
          <w:color w:val="000000"/>
          <w:lang w:val="en-GB"/>
        </w:rPr>
        <w:lastRenderedPageBreak/>
        <w:t>Enhanced CSI reporting such as WB/SB CQI</w:t>
      </w:r>
    </w:p>
    <w:p w14:paraId="3E982054" w14:textId="77777777" w:rsidR="007B4939" w:rsidRDefault="00DA461D">
      <w:pPr>
        <w:numPr>
          <w:ilvl w:val="2"/>
          <w:numId w:val="28"/>
        </w:numPr>
        <w:rPr>
          <w:rFonts w:ascii="Times" w:eastAsia="Times New Roman" w:hAnsi="Times" w:cs="Times New Roman"/>
          <w:color w:val="000000"/>
          <w:lang w:val="en-GB"/>
        </w:rPr>
      </w:pPr>
      <w:r>
        <w:rPr>
          <w:rFonts w:ascii="Times" w:eastAsia="Times New Roman" w:hAnsi="Times" w:cs="Times New Roman"/>
          <w:color w:val="000000"/>
          <w:lang w:val="en-GB"/>
        </w:rPr>
        <w:t>Case 2: other measurement (other than channel/interference) for additional information</w:t>
      </w:r>
    </w:p>
    <w:p w14:paraId="6D1CFFC1" w14:textId="77777777" w:rsidR="007B4939" w:rsidRDefault="00DA461D">
      <w:pPr>
        <w:numPr>
          <w:ilvl w:val="3"/>
          <w:numId w:val="28"/>
        </w:numPr>
        <w:rPr>
          <w:rFonts w:ascii="Times" w:eastAsia="Times New Roman" w:hAnsi="Times" w:cs="Times New Roman"/>
          <w:color w:val="000000"/>
          <w:lang w:val="en-GB"/>
        </w:rPr>
      </w:pPr>
      <w:r>
        <w:rPr>
          <w:rFonts w:ascii="Times" w:eastAsia="Times New Roman" w:hAnsi="Times" w:cs="Times New Roman"/>
          <w:color w:val="000000"/>
          <w:lang w:val="en-GB"/>
        </w:rPr>
        <w:t>E.g., PDCCH/PDSCH decoding, recommended HARQ RV sequence, etc.</w:t>
      </w:r>
    </w:p>
    <w:p w14:paraId="0C8C9158" w14:textId="77777777" w:rsidR="007B4939" w:rsidRDefault="00DA461D">
      <w:pPr>
        <w:numPr>
          <w:ilvl w:val="2"/>
          <w:numId w:val="28"/>
        </w:numPr>
        <w:rPr>
          <w:rFonts w:ascii="Times" w:eastAsia="Times New Roman" w:hAnsi="Times" w:cs="Times New Roman"/>
          <w:strike/>
          <w:lang w:val="en-GB"/>
        </w:rPr>
      </w:pPr>
      <w:r>
        <w:rPr>
          <w:rFonts w:ascii="Times" w:eastAsia="Times New Roman" w:hAnsi="Times" w:cs="Times New Roman"/>
          <w:lang w:val="en-GB"/>
        </w:rPr>
        <w:t xml:space="preserve">It targets to help gNB scheduler for better link adaptation of (re)transmission </w:t>
      </w:r>
    </w:p>
    <w:p w14:paraId="07B084C2" w14:textId="77777777" w:rsidR="007B4939" w:rsidRDefault="00DA461D">
      <w:pPr>
        <w:numPr>
          <w:ilvl w:val="1"/>
          <w:numId w:val="28"/>
        </w:numPr>
        <w:rPr>
          <w:rFonts w:ascii="Times" w:eastAsia="Times New Roman" w:hAnsi="Times" w:cs="Times New Roman"/>
          <w:lang w:val="en-GB"/>
        </w:rPr>
      </w:pPr>
      <w:r>
        <w:rPr>
          <w:rFonts w:ascii="Times" w:eastAsia="Times New Roman" w:hAnsi="Times" w:cs="Times New Roman"/>
          <w:lang w:val="en-GB"/>
        </w:rPr>
        <w:t>[Reduced CSI computation time/complexity]</w:t>
      </w:r>
    </w:p>
    <w:p w14:paraId="19E1CB43" w14:textId="77777777" w:rsidR="007B4939" w:rsidRDefault="00DA461D">
      <w:pPr>
        <w:numPr>
          <w:ilvl w:val="1"/>
          <w:numId w:val="28"/>
        </w:numPr>
        <w:rPr>
          <w:rFonts w:ascii="Times" w:eastAsia="Times New Roman" w:hAnsi="Times" w:cs="Times New Roman"/>
          <w:lang w:val="en-GB"/>
        </w:rPr>
      </w:pPr>
      <w:r>
        <w:rPr>
          <w:rFonts w:ascii="Times" w:eastAsia="Times New Roman" w:hAnsi="Times" w:cs="Times New Roman"/>
          <w:lang w:val="en-GB"/>
        </w:rPr>
        <w:t>[CSI feedback for PDCCH]  </w:t>
      </w:r>
    </w:p>
    <w:p w14:paraId="063F9971"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Other CSI enhancement schemes that enable accurate MCS selection are not precluded</w:t>
      </w:r>
    </w:p>
    <w:p w14:paraId="50EE3E32" w14:textId="77777777" w:rsidR="007B4939" w:rsidRDefault="00DA461D">
      <w:pPr>
        <w:numPr>
          <w:ilvl w:val="0"/>
          <w:numId w:val="28"/>
        </w:numPr>
        <w:rPr>
          <w:rFonts w:ascii="Times" w:eastAsia="Times New Roman" w:hAnsi="Times" w:cs="Times New Roman"/>
          <w:color w:val="000000"/>
          <w:lang w:val="en-GB"/>
        </w:rPr>
      </w:pPr>
      <w:r>
        <w:rPr>
          <w:rFonts w:ascii="Times" w:eastAsia="Times New Roman" w:hAnsi="Times" w:cs="Times New Roman"/>
          <w:color w:val="000000"/>
          <w:lang w:val="en-GB"/>
        </w:rPr>
        <w:t>Detailed assumptions of the proposed CSI enhancement schemes should be provided by the proponent, such as</w:t>
      </w:r>
    </w:p>
    <w:p w14:paraId="5ED4DC34"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Reporting values</w:t>
      </w:r>
    </w:p>
    <w:p w14:paraId="2710A124"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Triggering conditions for the reporting</w:t>
      </w:r>
    </w:p>
    <w:p w14:paraId="4402AB48"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Associated measurement resource</w:t>
      </w:r>
    </w:p>
    <w:p w14:paraId="3571D4C1"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Uplink resource to be used for the reporting</w:t>
      </w:r>
    </w:p>
    <w:p w14:paraId="6AFBC3A8"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How to use the reported information at the gNB scheduler</w:t>
      </w:r>
    </w:p>
    <w:p w14:paraId="578DF22D"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CSI-RS overhead and CSI reporting frequency </w:t>
      </w:r>
    </w:p>
    <w:p w14:paraId="7B9082C8"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CSI reporting latency/timeline</w:t>
      </w:r>
    </w:p>
    <w:p w14:paraId="71F63C12" w14:textId="77777777" w:rsidR="007B4939" w:rsidRDefault="00DA461D">
      <w:pPr>
        <w:numPr>
          <w:ilvl w:val="1"/>
          <w:numId w:val="28"/>
        </w:numPr>
        <w:rPr>
          <w:rFonts w:ascii="Times" w:eastAsia="Times New Roman" w:hAnsi="Times" w:cs="Times New Roman"/>
          <w:color w:val="000000"/>
          <w:lang w:val="en-GB"/>
        </w:rPr>
      </w:pPr>
      <w:r>
        <w:rPr>
          <w:rFonts w:ascii="Times" w:eastAsia="Times New Roman" w:hAnsi="Times" w:cs="Times New Roman"/>
          <w:color w:val="000000"/>
          <w:lang w:val="en-GB"/>
        </w:rPr>
        <w:t>Etc.</w:t>
      </w:r>
    </w:p>
    <w:p w14:paraId="0E6B83D7" w14:textId="77777777" w:rsidR="007B4939" w:rsidRDefault="007B4939">
      <w:pPr>
        <w:rPr>
          <w:rFonts w:ascii="Times" w:eastAsia="DengXian" w:hAnsi="Times" w:cs="Times New Roman"/>
          <w:color w:val="000000"/>
          <w:lang w:val="en-GB"/>
        </w:rPr>
      </w:pPr>
    </w:p>
    <w:p w14:paraId="4DAD87FA" w14:textId="77777777" w:rsidR="007B4939" w:rsidRDefault="00DA461D">
      <w:pPr>
        <w:rPr>
          <w:rFonts w:ascii="Times" w:eastAsia="바탕" w:hAnsi="Times" w:cs="Times New Roman"/>
          <w:color w:val="000000"/>
          <w:lang w:val="en-GB"/>
        </w:rPr>
      </w:pPr>
      <w:r>
        <w:rPr>
          <w:rFonts w:ascii="Times" w:eastAsia="바탕" w:hAnsi="Times" w:cs="Times New Roman"/>
          <w:color w:val="000000"/>
          <w:highlight w:val="green"/>
          <w:lang w:val="en-GB"/>
        </w:rPr>
        <w:t>Agreements</w:t>
      </w:r>
      <w:r>
        <w:rPr>
          <w:rFonts w:ascii="Times" w:eastAsia="바탕" w:hAnsi="Times" w:cs="Times New Roman"/>
          <w:color w:val="000000"/>
          <w:lang w:val="en-GB"/>
        </w:rPr>
        <w:t>:</w:t>
      </w:r>
    </w:p>
    <w:p w14:paraId="1546567E" w14:textId="77777777" w:rsidR="007B4939" w:rsidRDefault="00DA461D">
      <w:pPr>
        <w:numPr>
          <w:ilvl w:val="0"/>
          <w:numId w:val="29"/>
        </w:numPr>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 xml:space="preserve">Consider Table 1 as baseline assumption for system level simulation for evaluating CSI enhancement schemes </w:t>
      </w:r>
    </w:p>
    <w:p w14:paraId="4670DCFD" w14:textId="77777777" w:rsidR="007B4939" w:rsidRDefault="00DA461D">
      <w:pPr>
        <w:numPr>
          <w:ilvl w:val="1"/>
          <w:numId w:val="29"/>
        </w:numPr>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val="en-GB"/>
        </w:rPr>
        <w:t>s</w:t>
      </w:r>
    </w:p>
    <w:p w14:paraId="72DABF1B" w14:textId="77777777" w:rsidR="007B4939" w:rsidRDefault="00DA461D">
      <w:pPr>
        <w:numPr>
          <w:ilvl w:val="0"/>
          <w:numId w:val="29"/>
        </w:numPr>
        <w:rPr>
          <w:rFonts w:ascii="Times New Roman" w:eastAsia="SimSun" w:hAnsi="Times New Roman" w:cs="Times New Roman"/>
          <w:color w:val="000000"/>
          <w:szCs w:val="20"/>
          <w:lang w:val="en-GB"/>
        </w:rPr>
      </w:pPr>
      <w:r>
        <w:rPr>
          <w:rFonts w:ascii="Times New Roman" w:eastAsia="SimSun" w:hAnsi="Times New Roman" w:cs="Times New Roman"/>
          <w:color w:val="000000"/>
          <w:szCs w:val="20"/>
          <w:lang w:val="en-GB"/>
        </w:rPr>
        <w:t xml:space="preserve">No baseline assumption is used for link level simulation </w:t>
      </w:r>
    </w:p>
    <w:p w14:paraId="4CE26FE9" w14:textId="77777777" w:rsidR="007B4939" w:rsidRDefault="00DA461D">
      <w:pPr>
        <w:numPr>
          <w:ilvl w:val="1"/>
          <w:numId w:val="29"/>
        </w:numPr>
        <w:rPr>
          <w:rFonts w:ascii="Times New Roman" w:eastAsia="SimSun" w:hAnsi="Times New Roman" w:cs="Times New Roman"/>
          <w:szCs w:val="20"/>
          <w:lang w:val="en-GB"/>
        </w:rPr>
      </w:pPr>
      <w:r>
        <w:rPr>
          <w:rFonts w:ascii="Times New Roman" w:eastAsia="SimSun" w:hAnsi="Times New Roman" w:cs="Times New Roman"/>
          <w:szCs w:val="20"/>
          <w:lang w:val="en-GB"/>
        </w:rPr>
        <w:t>Companies are encouraged to use one of LLS assumption tables in Section A.3 in TR38.824 for any link level simulation</w:t>
      </w:r>
    </w:p>
    <w:p w14:paraId="25EC1649" w14:textId="77777777" w:rsidR="007B4939" w:rsidRDefault="007B4939">
      <w:pPr>
        <w:rPr>
          <w:rFonts w:ascii="Times" w:eastAsia="바탕" w:hAnsi="Times" w:cs="Times New Roman"/>
          <w:lang w:val="en-GB"/>
        </w:rPr>
      </w:pPr>
    </w:p>
    <w:p w14:paraId="6D1FC3C9" w14:textId="77777777" w:rsidR="007B4939" w:rsidRDefault="00DA461D">
      <w:pPr>
        <w:jc w:val="center"/>
        <w:rPr>
          <w:rFonts w:ascii="Times" w:eastAsia="바탕" w:hAnsi="Times" w:cs="Times New Roman"/>
          <w:b/>
          <w:bCs/>
          <w:lang w:val="en-GB"/>
        </w:rPr>
      </w:pPr>
      <w:r>
        <w:rPr>
          <w:rFonts w:ascii="Times" w:eastAsia="바탕" w:hAnsi="Times" w:cs="Times New Roman"/>
          <w:b/>
          <w:bCs/>
          <w:lang w:val="en-GB"/>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7B4939" w14:paraId="76FBC8F9"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6A6EAFB" w14:textId="77777777" w:rsidR="007B4939" w:rsidRDefault="00DA461D">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C918DD9" w14:textId="77777777" w:rsidR="007B4939" w:rsidRDefault="00DA461D">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7B4939" w14:paraId="1ECB2B3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59DE23"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6ABAAEB"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14:paraId="32C90124" w14:textId="77777777" w:rsidR="007B4939" w:rsidRDefault="007B4939">
            <w:pPr>
              <w:rPr>
                <w:rFonts w:ascii="Times New Roman" w:eastAsia="MS Mincho" w:hAnsi="Times New Roman" w:cs="Times New Roman"/>
                <w:sz w:val="16"/>
                <w:szCs w:val="16"/>
                <w:lang w:val="en-CA"/>
              </w:rPr>
            </w:pPr>
          </w:p>
          <w:p w14:paraId="643DA103" w14:textId="77777777" w:rsidR="007B4939" w:rsidRDefault="00DA461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2B56CF40"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C5997F4"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4272CFA"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7DF55BA4"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48C9A733"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B203CD8" w14:textId="77777777" w:rsidR="007B4939" w:rsidRDefault="00DA461D">
            <w:pPr>
              <w:numPr>
                <w:ilvl w:val="0"/>
                <w:numId w:val="29"/>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7B4939" w14:paraId="014507CF"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44F966"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820AEE6"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14:paraId="58E2764F" w14:textId="77777777" w:rsidR="007B4939" w:rsidRDefault="00DA461D">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02E19CDB"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244B1D1B"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0A85A57"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9EC208" w14:textId="77777777" w:rsidR="007B4939" w:rsidRDefault="00DA461D">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6865B4A"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5B68EA11"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62E87341"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0A9A5FBB" w14:textId="77777777" w:rsidR="007B4939" w:rsidRDefault="00DA461D">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F57379D"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2FFD6218"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6A90751"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8A64AD"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7B4939" w14:paraId="69E0D4BE"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494433"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25CA349E"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14:paraId="59515967" w14:textId="77777777" w:rsidR="007B4939" w:rsidRDefault="00DA461D">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20DFB39D" w14:textId="77777777" w:rsidR="007B4939" w:rsidRDefault="00DA461D">
            <w:pPr>
              <w:numPr>
                <w:ilvl w:val="0"/>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0FA56CA"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5EE06B88" w14:textId="77777777" w:rsidR="007B4939" w:rsidRDefault="00DA461D">
            <w:pPr>
              <w:numPr>
                <w:ilvl w:val="2"/>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628A2CAD" w14:textId="77777777" w:rsidR="007B4939" w:rsidRDefault="00DA461D">
            <w:pPr>
              <w:numPr>
                <w:ilvl w:val="1"/>
                <w:numId w:val="29"/>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7B4939" w14:paraId="6A98900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4E6C70"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8A308B6" w14:textId="77777777" w:rsidR="007B4939" w:rsidRDefault="00DA461D">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14:paraId="51920A0E" w14:textId="77777777" w:rsidR="007B4939" w:rsidRDefault="00DA461D">
            <w:pPr>
              <w:numPr>
                <w:ilvl w:val="0"/>
                <w:numId w:val="29"/>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79DB422C" w14:textId="77777777" w:rsidR="007B4939" w:rsidRDefault="007B4939">
      <w:pPr>
        <w:rPr>
          <w:rFonts w:ascii="Times" w:eastAsia="바탕" w:hAnsi="Times" w:cs="Times New Roman"/>
          <w:lang w:val="en-GB"/>
        </w:rPr>
      </w:pPr>
    </w:p>
    <w:p w14:paraId="6B86910F" w14:textId="77777777" w:rsidR="007B4939" w:rsidRDefault="007B4939">
      <w:pPr>
        <w:pStyle w:val="Reference"/>
        <w:numPr>
          <w:ilvl w:val="0"/>
          <w:numId w:val="0"/>
        </w:numPr>
        <w:overflowPunct w:val="0"/>
        <w:adjustRightInd w:val="0"/>
        <w:spacing w:after="60"/>
        <w:ind w:left="567" w:hanging="567"/>
        <w:textAlignment w:val="baseline"/>
        <w:rPr>
          <w:rFonts w:ascii="Times New Roman" w:hAnsi="Times New Roman" w:cs="Times New Roman"/>
          <w:szCs w:val="20"/>
          <w:lang w:val="en-GB"/>
        </w:rPr>
      </w:pPr>
    </w:p>
    <w:sectPr w:rsidR="007B4939">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FD65" w14:textId="77777777" w:rsidR="00885A29" w:rsidRDefault="00885A29">
      <w:pPr>
        <w:spacing w:line="240" w:lineRule="auto"/>
      </w:pPr>
      <w:r>
        <w:separator/>
      </w:r>
    </w:p>
  </w:endnote>
  <w:endnote w:type="continuationSeparator" w:id="0">
    <w:p w14:paraId="750BCEEC" w14:textId="77777777" w:rsidR="00885A29" w:rsidRDefault="00885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9E95" w14:textId="77777777" w:rsidR="00885A29" w:rsidRDefault="00885A29">
      <w:pPr>
        <w:spacing w:after="0" w:line="240" w:lineRule="auto"/>
      </w:pPr>
      <w:r>
        <w:separator/>
      </w:r>
    </w:p>
  </w:footnote>
  <w:footnote w:type="continuationSeparator" w:id="0">
    <w:p w14:paraId="3C938E47" w14:textId="77777777" w:rsidR="00885A29" w:rsidRDefault="00885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lvlText w:val="%1.%2"/>
      <w:lvlJc w:val="left"/>
      <w:pPr>
        <w:tabs>
          <w:tab w:val="left" w:pos="576"/>
        </w:tabs>
        <w:ind w:left="576" w:hanging="576"/>
      </w:pPr>
      <w:rPr>
        <w:rFonts w:hint="default"/>
        <w:sz w:val="28"/>
        <w:lang w:val="en-US"/>
      </w:rPr>
    </w:lvl>
    <w:lvl w:ilvl="2">
      <w:start w:val="1"/>
      <w:numFmt w:val="decimal"/>
      <w:lvlText w:val="%1.%2.%3"/>
      <w:lvlJc w:val="left"/>
      <w:pPr>
        <w:tabs>
          <w:tab w:val="left" w:pos="1004"/>
        </w:tabs>
        <w:ind w:left="1004" w:hanging="720"/>
      </w:pPr>
      <w:rPr>
        <w:rFonts w:hint="default"/>
        <w:lang w:val="en-US"/>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93B7F62"/>
    <w:multiLevelType w:val="multilevel"/>
    <w:tmpl w:val="293B7F6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817801"/>
    <w:multiLevelType w:val="multilevel"/>
    <w:tmpl w:val="4681780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3"/>
  </w:num>
  <w:num w:numId="3">
    <w:abstractNumId w:val="19"/>
  </w:num>
  <w:num w:numId="4">
    <w:abstractNumId w:val="25"/>
  </w:num>
  <w:num w:numId="5">
    <w:abstractNumId w:val="14"/>
  </w:num>
  <w:num w:numId="6">
    <w:abstractNumId w:val="17"/>
  </w:num>
  <w:num w:numId="7">
    <w:abstractNumId w:val="22"/>
  </w:num>
  <w:num w:numId="8">
    <w:abstractNumId w:val="28"/>
  </w:num>
  <w:num w:numId="9">
    <w:abstractNumId w:val="16"/>
  </w:num>
  <w:num w:numId="10">
    <w:abstractNumId w:val="15"/>
    <w:lvlOverride w:ilvl="0">
      <w:startOverride w:val="1"/>
    </w:lvlOverride>
  </w:num>
  <w:num w:numId="11">
    <w:abstractNumId w:val="21"/>
  </w:num>
  <w:num w:numId="12">
    <w:abstractNumId w:val="3"/>
  </w:num>
  <w:num w:numId="13">
    <w:abstractNumId w:val="9"/>
  </w:num>
  <w:num w:numId="14">
    <w:abstractNumId w:val="20"/>
  </w:num>
  <w:num w:numId="15">
    <w:abstractNumId w:val="11"/>
  </w:num>
  <w:num w:numId="16">
    <w:abstractNumId w:val="27"/>
  </w:num>
  <w:num w:numId="17">
    <w:abstractNumId w:val="24"/>
  </w:num>
  <w:num w:numId="18">
    <w:abstractNumId w:val="8"/>
  </w:num>
  <w:num w:numId="19">
    <w:abstractNumId w:val="18"/>
  </w:num>
  <w:num w:numId="20">
    <w:abstractNumId w:val="6"/>
  </w:num>
  <w:num w:numId="21">
    <w:abstractNumId w:val="23"/>
  </w:num>
  <w:num w:numId="22">
    <w:abstractNumId w:val="12"/>
  </w:num>
  <w:num w:numId="23">
    <w:abstractNumId w:val="5"/>
  </w:num>
  <w:num w:numId="24">
    <w:abstractNumId w:val="10"/>
  </w:num>
  <w:num w:numId="25">
    <w:abstractNumId w:val="4"/>
  </w:num>
  <w:num w:numId="26">
    <w:abstractNumId w:val="1"/>
  </w:num>
  <w:num w:numId="27">
    <w:abstractNumId w:val="26"/>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FDEF7F9E"/>
    <w:rsid w:val="00000101"/>
    <w:rsid w:val="00000633"/>
    <w:rsid w:val="000006E1"/>
    <w:rsid w:val="00000911"/>
    <w:rsid w:val="000009D0"/>
    <w:rsid w:val="0000168C"/>
    <w:rsid w:val="00002302"/>
    <w:rsid w:val="000029E3"/>
    <w:rsid w:val="00002BC4"/>
    <w:rsid w:val="00002D9B"/>
    <w:rsid w:val="00002F07"/>
    <w:rsid w:val="00002F99"/>
    <w:rsid w:val="00003255"/>
    <w:rsid w:val="0000325C"/>
    <w:rsid w:val="000032EC"/>
    <w:rsid w:val="00003E50"/>
    <w:rsid w:val="00003EBC"/>
    <w:rsid w:val="00003EC3"/>
    <w:rsid w:val="00004C2D"/>
    <w:rsid w:val="00005012"/>
    <w:rsid w:val="000050A0"/>
    <w:rsid w:val="00005C93"/>
    <w:rsid w:val="00005DAE"/>
    <w:rsid w:val="00006446"/>
    <w:rsid w:val="00006892"/>
    <w:rsid w:val="00006896"/>
    <w:rsid w:val="00006D9B"/>
    <w:rsid w:val="00007ACA"/>
    <w:rsid w:val="00007CDC"/>
    <w:rsid w:val="000101EC"/>
    <w:rsid w:val="000104C6"/>
    <w:rsid w:val="000110C9"/>
    <w:rsid w:val="00011206"/>
    <w:rsid w:val="00011B28"/>
    <w:rsid w:val="00011EE8"/>
    <w:rsid w:val="0001239F"/>
    <w:rsid w:val="0001276E"/>
    <w:rsid w:val="0001288B"/>
    <w:rsid w:val="00012B9F"/>
    <w:rsid w:val="00012C16"/>
    <w:rsid w:val="00012E30"/>
    <w:rsid w:val="000136B8"/>
    <w:rsid w:val="000136E3"/>
    <w:rsid w:val="00015039"/>
    <w:rsid w:val="000153E9"/>
    <w:rsid w:val="0001541B"/>
    <w:rsid w:val="00015761"/>
    <w:rsid w:val="00015D15"/>
    <w:rsid w:val="00015FD5"/>
    <w:rsid w:val="0001601E"/>
    <w:rsid w:val="0001611C"/>
    <w:rsid w:val="000164BC"/>
    <w:rsid w:val="0001694D"/>
    <w:rsid w:val="00016B6C"/>
    <w:rsid w:val="00016C0D"/>
    <w:rsid w:val="00017074"/>
    <w:rsid w:val="0001715B"/>
    <w:rsid w:val="000179A9"/>
    <w:rsid w:val="00017F94"/>
    <w:rsid w:val="00020046"/>
    <w:rsid w:val="00020100"/>
    <w:rsid w:val="000201D1"/>
    <w:rsid w:val="000208E4"/>
    <w:rsid w:val="00020CC5"/>
    <w:rsid w:val="00020D4A"/>
    <w:rsid w:val="00020D56"/>
    <w:rsid w:val="00020DE9"/>
    <w:rsid w:val="00021143"/>
    <w:rsid w:val="000216DF"/>
    <w:rsid w:val="000217AC"/>
    <w:rsid w:val="00021AF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334"/>
    <w:rsid w:val="00027C7D"/>
    <w:rsid w:val="00027DEF"/>
    <w:rsid w:val="00027DF8"/>
    <w:rsid w:val="00030336"/>
    <w:rsid w:val="00030554"/>
    <w:rsid w:val="00030C64"/>
    <w:rsid w:val="00031166"/>
    <w:rsid w:val="00031297"/>
    <w:rsid w:val="000313E6"/>
    <w:rsid w:val="00031598"/>
    <w:rsid w:val="0003177C"/>
    <w:rsid w:val="000317FC"/>
    <w:rsid w:val="00031C2F"/>
    <w:rsid w:val="00031DCF"/>
    <w:rsid w:val="000325B8"/>
    <w:rsid w:val="00032E60"/>
    <w:rsid w:val="0003306D"/>
    <w:rsid w:val="00033237"/>
    <w:rsid w:val="00033351"/>
    <w:rsid w:val="000334E2"/>
    <w:rsid w:val="000339F4"/>
    <w:rsid w:val="00033C74"/>
    <w:rsid w:val="00033F9A"/>
    <w:rsid w:val="0003410A"/>
    <w:rsid w:val="00034631"/>
    <w:rsid w:val="00034C15"/>
    <w:rsid w:val="000353F1"/>
    <w:rsid w:val="00035EA8"/>
    <w:rsid w:val="00035EDA"/>
    <w:rsid w:val="00035F74"/>
    <w:rsid w:val="00036BA1"/>
    <w:rsid w:val="00037129"/>
    <w:rsid w:val="00037674"/>
    <w:rsid w:val="00037A77"/>
    <w:rsid w:val="00037B72"/>
    <w:rsid w:val="00037C9E"/>
    <w:rsid w:val="000405A0"/>
    <w:rsid w:val="00040946"/>
    <w:rsid w:val="00040A25"/>
    <w:rsid w:val="00040B78"/>
    <w:rsid w:val="00040D8E"/>
    <w:rsid w:val="0004149C"/>
    <w:rsid w:val="00041A70"/>
    <w:rsid w:val="000422E2"/>
    <w:rsid w:val="000423FD"/>
    <w:rsid w:val="00042BE0"/>
    <w:rsid w:val="00042DD4"/>
    <w:rsid w:val="00042E04"/>
    <w:rsid w:val="00042F22"/>
    <w:rsid w:val="00042F68"/>
    <w:rsid w:val="000437F5"/>
    <w:rsid w:val="000437FA"/>
    <w:rsid w:val="00043DDF"/>
    <w:rsid w:val="00044278"/>
    <w:rsid w:val="000444EF"/>
    <w:rsid w:val="00044641"/>
    <w:rsid w:val="00044A9C"/>
    <w:rsid w:val="000455AE"/>
    <w:rsid w:val="00045651"/>
    <w:rsid w:val="00045735"/>
    <w:rsid w:val="00045AD3"/>
    <w:rsid w:val="000467FB"/>
    <w:rsid w:val="00046F3D"/>
    <w:rsid w:val="000471B1"/>
    <w:rsid w:val="000474EE"/>
    <w:rsid w:val="00047D6F"/>
    <w:rsid w:val="00050717"/>
    <w:rsid w:val="00050D83"/>
    <w:rsid w:val="00050E2C"/>
    <w:rsid w:val="000511FA"/>
    <w:rsid w:val="00051A4B"/>
    <w:rsid w:val="00051BDC"/>
    <w:rsid w:val="00052213"/>
    <w:rsid w:val="0005264F"/>
    <w:rsid w:val="0005273D"/>
    <w:rsid w:val="00052A07"/>
    <w:rsid w:val="00052C04"/>
    <w:rsid w:val="00053379"/>
    <w:rsid w:val="000534E3"/>
    <w:rsid w:val="00053610"/>
    <w:rsid w:val="00053756"/>
    <w:rsid w:val="00053C47"/>
    <w:rsid w:val="000540ED"/>
    <w:rsid w:val="00054303"/>
    <w:rsid w:val="00054815"/>
    <w:rsid w:val="0005494E"/>
    <w:rsid w:val="00054EE4"/>
    <w:rsid w:val="00055378"/>
    <w:rsid w:val="0005558F"/>
    <w:rsid w:val="00055620"/>
    <w:rsid w:val="00055AD0"/>
    <w:rsid w:val="00055E34"/>
    <w:rsid w:val="0005606A"/>
    <w:rsid w:val="00056170"/>
    <w:rsid w:val="00056613"/>
    <w:rsid w:val="00056718"/>
    <w:rsid w:val="00056A67"/>
    <w:rsid w:val="00056F02"/>
    <w:rsid w:val="00056FD0"/>
    <w:rsid w:val="00057117"/>
    <w:rsid w:val="000571B8"/>
    <w:rsid w:val="0005757D"/>
    <w:rsid w:val="000575ED"/>
    <w:rsid w:val="00057C78"/>
    <w:rsid w:val="00057EFC"/>
    <w:rsid w:val="00057F58"/>
    <w:rsid w:val="000604D2"/>
    <w:rsid w:val="00060AD1"/>
    <w:rsid w:val="000616E7"/>
    <w:rsid w:val="00061829"/>
    <w:rsid w:val="0006232B"/>
    <w:rsid w:val="0006243A"/>
    <w:rsid w:val="000625C8"/>
    <w:rsid w:val="00063AC3"/>
    <w:rsid w:val="00063EF3"/>
    <w:rsid w:val="00064092"/>
    <w:rsid w:val="000640AE"/>
    <w:rsid w:val="000641AA"/>
    <w:rsid w:val="000645B8"/>
    <w:rsid w:val="0006487E"/>
    <w:rsid w:val="00065243"/>
    <w:rsid w:val="00065952"/>
    <w:rsid w:val="00065E1A"/>
    <w:rsid w:val="00065F7E"/>
    <w:rsid w:val="000661E3"/>
    <w:rsid w:val="000662AC"/>
    <w:rsid w:val="00066B62"/>
    <w:rsid w:val="000674D8"/>
    <w:rsid w:val="00067564"/>
    <w:rsid w:val="00067638"/>
    <w:rsid w:val="00070074"/>
    <w:rsid w:val="00070AAA"/>
    <w:rsid w:val="00070D25"/>
    <w:rsid w:val="00070F65"/>
    <w:rsid w:val="00071225"/>
    <w:rsid w:val="000715A7"/>
    <w:rsid w:val="00071812"/>
    <w:rsid w:val="00071DCA"/>
    <w:rsid w:val="000721AC"/>
    <w:rsid w:val="000725A0"/>
    <w:rsid w:val="0007260C"/>
    <w:rsid w:val="00072D1E"/>
    <w:rsid w:val="0007415D"/>
    <w:rsid w:val="0007420E"/>
    <w:rsid w:val="00074439"/>
    <w:rsid w:val="00074621"/>
    <w:rsid w:val="000747EB"/>
    <w:rsid w:val="00074F35"/>
    <w:rsid w:val="00075131"/>
    <w:rsid w:val="00075859"/>
    <w:rsid w:val="000759AA"/>
    <w:rsid w:val="00075B45"/>
    <w:rsid w:val="00075BF1"/>
    <w:rsid w:val="00076478"/>
    <w:rsid w:val="0007697F"/>
    <w:rsid w:val="0007787A"/>
    <w:rsid w:val="00077A1C"/>
    <w:rsid w:val="00077CF3"/>
    <w:rsid w:val="00077DDE"/>
    <w:rsid w:val="00077E5F"/>
    <w:rsid w:val="0008004D"/>
    <w:rsid w:val="00080281"/>
    <w:rsid w:val="0008036A"/>
    <w:rsid w:val="000806B5"/>
    <w:rsid w:val="00081A68"/>
    <w:rsid w:val="00081AE6"/>
    <w:rsid w:val="00082135"/>
    <w:rsid w:val="0008233B"/>
    <w:rsid w:val="00082635"/>
    <w:rsid w:val="000826EE"/>
    <w:rsid w:val="000839F8"/>
    <w:rsid w:val="00083BE4"/>
    <w:rsid w:val="0008537D"/>
    <w:rsid w:val="00085543"/>
    <w:rsid w:val="000855EB"/>
    <w:rsid w:val="000858BB"/>
    <w:rsid w:val="00085A01"/>
    <w:rsid w:val="00085B52"/>
    <w:rsid w:val="00085E11"/>
    <w:rsid w:val="000862B6"/>
    <w:rsid w:val="0008663D"/>
    <w:rsid w:val="000866F2"/>
    <w:rsid w:val="000867D8"/>
    <w:rsid w:val="00086A43"/>
    <w:rsid w:val="0008785D"/>
    <w:rsid w:val="0009009F"/>
    <w:rsid w:val="000902A3"/>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C49"/>
    <w:rsid w:val="00093FCF"/>
    <w:rsid w:val="00094022"/>
    <w:rsid w:val="00094047"/>
    <w:rsid w:val="00094180"/>
    <w:rsid w:val="000941E3"/>
    <w:rsid w:val="00094581"/>
    <w:rsid w:val="000945DA"/>
    <w:rsid w:val="00094796"/>
    <w:rsid w:val="00094DA8"/>
    <w:rsid w:val="00094E90"/>
    <w:rsid w:val="0009510F"/>
    <w:rsid w:val="000952C8"/>
    <w:rsid w:val="00095B3E"/>
    <w:rsid w:val="0009632C"/>
    <w:rsid w:val="00096A7E"/>
    <w:rsid w:val="00096C23"/>
    <w:rsid w:val="0009767D"/>
    <w:rsid w:val="00097774"/>
    <w:rsid w:val="00097D4E"/>
    <w:rsid w:val="000A0028"/>
    <w:rsid w:val="000A0276"/>
    <w:rsid w:val="000A0EAE"/>
    <w:rsid w:val="000A1B7B"/>
    <w:rsid w:val="000A2020"/>
    <w:rsid w:val="000A2263"/>
    <w:rsid w:val="000A22F2"/>
    <w:rsid w:val="000A2538"/>
    <w:rsid w:val="000A3063"/>
    <w:rsid w:val="000A447B"/>
    <w:rsid w:val="000A4D09"/>
    <w:rsid w:val="000A56F2"/>
    <w:rsid w:val="000A5764"/>
    <w:rsid w:val="000A58F4"/>
    <w:rsid w:val="000A6B10"/>
    <w:rsid w:val="000A6F34"/>
    <w:rsid w:val="000A6F93"/>
    <w:rsid w:val="000A7098"/>
    <w:rsid w:val="000A7DC3"/>
    <w:rsid w:val="000B0223"/>
    <w:rsid w:val="000B02A2"/>
    <w:rsid w:val="000B0640"/>
    <w:rsid w:val="000B0A01"/>
    <w:rsid w:val="000B1CA8"/>
    <w:rsid w:val="000B1EDE"/>
    <w:rsid w:val="000B2012"/>
    <w:rsid w:val="000B2049"/>
    <w:rsid w:val="000B254C"/>
    <w:rsid w:val="000B2719"/>
    <w:rsid w:val="000B272D"/>
    <w:rsid w:val="000B2D3E"/>
    <w:rsid w:val="000B2FE4"/>
    <w:rsid w:val="000B3347"/>
    <w:rsid w:val="000B3516"/>
    <w:rsid w:val="000B3557"/>
    <w:rsid w:val="000B3A8F"/>
    <w:rsid w:val="000B3B3F"/>
    <w:rsid w:val="000B3B86"/>
    <w:rsid w:val="000B3C8C"/>
    <w:rsid w:val="000B3F88"/>
    <w:rsid w:val="000B49C0"/>
    <w:rsid w:val="000B4A7D"/>
    <w:rsid w:val="000B4AB9"/>
    <w:rsid w:val="000B516D"/>
    <w:rsid w:val="000B552B"/>
    <w:rsid w:val="000B58C3"/>
    <w:rsid w:val="000B5E2E"/>
    <w:rsid w:val="000B61E9"/>
    <w:rsid w:val="000B64DA"/>
    <w:rsid w:val="000B677C"/>
    <w:rsid w:val="000B6BB9"/>
    <w:rsid w:val="000B730C"/>
    <w:rsid w:val="000B7708"/>
    <w:rsid w:val="000B7771"/>
    <w:rsid w:val="000B781C"/>
    <w:rsid w:val="000B7A2D"/>
    <w:rsid w:val="000B7B7B"/>
    <w:rsid w:val="000B7C04"/>
    <w:rsid w:val="000C0303"/>
    <w:rsid w:val="000C0B76"/>
    <w:rsid w:val="000C14A2"/>
    <w:rsid w:val="000C14E1"/>
    <w:rsid w:val="000C165A"/>
    <w:rsid w:val="000C189A"/>
    <w:rsid w:val="000C1E19"/>
    <w:rsid w:val="000C200B"/>
    <w:rsid w:val="000C223B"/>
    <w:rsid w:val="000C2365"/>
    <w:rsid w:val="000C2C1D"/>
    <w:rsid w:val="000C2CD0"/>
    <w:rsid w:val="000C2E19"/>
    <w:rsid w:val="000C3794"/>
    <w:rsid w:val="000C38B4"/>
    <w:rsid w:val="000C449C"/>
    <w:rsid w:val="000C46A6"/>
    <w:rsid w:val="000C4919"/>
    <w:rsid w:val="000C4C53"/>
    <w:rsid w:val="000C501B"/>
    <w:rsid w:val="000C50FA"/>
    <w:rsid w:val="000C53CC"/>
    <w:rsid w:val="000C5D8E"/>
    <w:rsid w:val="000C64E6"/>
    <w:rsid w:val="000C67C0"/>
    <w:rsid w:val="000C6901"/>
    <w:rsid w:val="000C6F9D"/>
    <w:rsid w:val="000C737E"/>
    <w:rsid w:val="000C739D"/>
    <w:rsid w:val="000C74C5"/>
    <w:rsid w:val="000D0A64"/>
    <w:rsid w:val="000D0D07"/>
    <w:rsid w:val="000D1354"/>
    <w:rsid w:val="000D13A1"/>
    <w:rsid w:val="000D162D"/>
    <w:rsid w:val="000D1AC1"/>
    <w:rsid w:val="000D1D00"/>
    <w:rsid w:val="000D24A4"/>
    <w:rsid w:val="000D2B08"/>
    <w:rsid w:val="000D2F63"/>
    <w:rsid w:val="000D2FB2"/>
    <w:rsid w:val="000D3C0F"/>
    <w:rsid w:val="000D4439"/>
    <w:rsid w:val="000D468E"/>
    <w:rsid w:val="000D4797"/>
    <w:rsid w:val="000D4D63"/>
    <w:rsid w:val="000D51D9"/>
    <w:rsid w:val="000D57A7"/>
    <w:rsid w:val="000D5C17"/>
    <w:rsid w:val="000D61FA"/>
    <w:rsid w:val="000D67F8"/>
    <w:rsid w:val="000D686B"/>
    <w:rsid w:val="000E0527"/>
    <w:rsid w:val="000E0669"/>
    <w:rsid w:val="000E0C47"/>
    <w:rsid w:val="000E0F64"/>
    <w:rsid w:val="000E1050"/>
    <w:rsid w:val="000E15ED"/>
    <w:rsid w:val="000E18EA"/>
    <w:rsid w:val="000E1995"/>
    <w:rsid w:val="000E1CB9"/>
    <w:rsid w:val="000E1E92"/>
    <w:rsid w:val="000E20F9"/>
    <w:rsid w:val="000E22A6"/>
    <w:rsid w:val="000E23FF"/>
    <w:rsid w:val="000E28BF"/>
    <w:rsid w:val="000E371D"/>
    <w:rsid w:val="000E3A42"/>
    <w:rsid w:val="000E415D"/>
    <w:rsid w:val="000E43AB"/>
    <w:rsid w:val="000E45D7"/>
    <w:rsid w:val="000E5324"/>
    <w:rsid w:val="000E5BBB"/>
    <w:rsid w:val="000E5EBB"/>
    <w:rsid w:val="000E66EF"/>
    <w:rsid w:val="000E6C65"/>
    <w:rsid w:val="000E6F04"/>
    <w:rsid w:val="000E700D"/>
    <w:rsid w:val="000E7644"/>
    <w:rsid w:val="000E78E3"/>
    <w:rsid w:val="000E7924"/>
    <w:rsid w:val="000E7C09"/>
    <w:rsid w:val="000E7DEF"/>
    <w:rsid w:val="000F06D6"/>
    <w:rsid w:val="000F0709"/>
    <w:rsid w:val="000F0944"/>
    <w:rsid w:val="000F0EB1"/>
    <w:rsid w:val="000F1106"/>
    <w:rsid w:val="000F1288"/>
    <w:rsid w:val="000F1669"/>
    <w:rsid w:val="000F184F"/>
    <w:rsid w:val="000F1854"/>
    <w:rsid w:val="000F1AE1"/>
    <w:rsid w:val="000F1CDC"/>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ED5"/>
    <w:rsid w:val="000F6F49"/>
    <w:rsid w:val="000F7988"/>
    <w:rsid w:val="000F7ACA"/>
    <w:rsid w:val="00100140"/>
    <w:rsid w:val="0010021A"/>
    <w:rsid w:val="001004C7"/>
    <w:rsid w:val="001005FF"/>
    <w:rsid w:val="00100770"/>
    <w:rsid w:val="0010105B"/>
    <w:rsid w:val="00101244"/>
    <w:rsid w:val="001018CD"/>
    <w:rsid w:val="00101BCC"/>
    <w:rsid w:val="00101F31"/>
    <w:rsid w:val="00101F6F"/>
    <w:rsid w:val="0010203E"/>
    <w:rsid w:val="001029A1"/>
    <w:rsid w:val="00102BAE"/>
    <w:rsid w:val="00102BB7"/>
    <w:rsid w:val="00102D47"/>
    <w:rsid w:val="00103174"/>
    <w:rsid w:val="00103851"/>
    <w:rsid w:val="00103ADA"/>
    <w:rsid w:val="00103F79"/>
    <w:rsid w:val="00103F95"/>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312"/>
    <w:rsid w:val="00111D66"/>
    <w:rsid w:val="0011224B"/>
    <w:rsid w:val="00112A4C"/>
    <w:rsid w:val="00112B01"/>
    <w:rsid w:val="00112C44"/>
    <w:rsid w:val="00112DEF"/>
    <w:rsid w:val="00113CF4"/>
    <w:rsid w:val="00113D2B"/>
    <w:rsid w:val="00113DCD"/>
    <w:rsid w:val="00113EAF"/>
    <w:rsid w:val="00115027"/>
    <w:rsid w:val="0011531A"/>
    <w:rsid w:val="001153EA"/>
    <w:rsid w:val="00115643"/>
    <w:rsid w:val="00115A92"/>
    <w:rsid w:val="001163DC"/>
    <w:rsid w:val="00116765"/>
    <w:rsid w:val="00116896"/>
    <w:rsid w:val="00116C54"/>
    <w:rsid w:val="0011747E"/>
    <w:rsid w:val="00117524"/>
    <w:rsid w:val="00117534"/>
    <w:rsid w:val="00117AE6"/>
    <w:rsid w:val="00117CEA"/>
    <w:rsid w:val="00117D13"/>
    <w:rsid w:val="00117FD9"/>
    <w:rsid w:val="001203FC"/>
    <w:rsid w:val="0012176A"/>
    <w:rsid w:val="0012189E"/>
    <w:rsid w:val="001218CE"/>
    <w:rsid w:val="001219F5"/>
    <w:rsid w:val="00121A20"/>
    <w:rsid w:val="00121D09"/>
    <w:rsid w:val="001221F0"/>
    <w:rsid w:val="00122B51"/>
    <w:rsid w:val="00122BB4"/>
    <w:rsid w:val="00122C3C"/>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9C2"/>
    <w:rsid w:val="00126B4A"/>
    <w:rsid w:val="00127931"/>
    <w:rsid w:val="00127A28"/>
    <w:rsid w:val="00127D88"/>
    <w:rsid w:val="00127DEC"/>
    <w:rsid w:val="00130975"/>
    <w:rsid w:val="00130D2C"/>
    <w:rsid w:val="00130D54"/>
    <w:rsid w:val="001316C9"/>
    <w:rsid w:val="0013192D"/>
    <w:rsid w:val="00131BF9"/>
    <w:rsid w:val="00131E0A"/>
    <w:rsid w:val="00131FE9"/>
    <w:rsid w:val="0013200D"/>
    <w:rsid w:val="00132034"/>
    <w:rsid w:val="0013212A"/>
    <w:rsid w:val="0013277E"/>
    <w:rsid w:val="00132FD0"/>
    <w:rsid w:val="001330B8"/>
    <w:rsid w:val="00133561"/>
    <w:rsid w:val="0013367B"/>
    <w:rsid w:val="001337FE"/>
    <w:rsid w:val="0013399F"/>
    <w:rsid w:val="00133BB5"/>
    <w:rsid w:val="001344C0"/>
    <w:rsid w:val="001346FA"/>
    <w:rsid w:val="00134A67"/>
    <w:rsid w:val="00134FF7"/>
    <w:rsid w:val="00135169"/>
    <w:rsid w:val="00135218"/>
    <w:rsid w:val="00135252"/>
    <w:rsid w:val="0013526B"/>
    <w:rsid w:val="00135394"/>
    <w:rsid w:val="00135526"/>
    <w:rsid w:val="0013580A"/>
    <w:rsid w:val="001358D4"/>
    <w:rsid w:val="00135999"/>
    <w:rsid w:val="00135CA8"/>
    <w:rsid w:val="001360E1"/>
    <w:rsid w:val="0013612B"/>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656"/>
    <w:rsid w:val="00145B01"/>
    <w:rsid w:val="00145B11"/>
    <w:rsid w:val="001462B2"/>
    <w:rsid w:val="00146444"/>
    <w:rsid w:val="001465F4"/>
    <w:rsid w:val="00146904"/>
    <w:rsid w:val="00146964"/>
    <w:rsid w:val="00146970"/>
    <w:rsid w:val="00146989"/>
    <w:rsid w:val="001477D0"/>
    <w:rsid w:val="00147BDE"/>
    <w:rsid w:val="001502B4"/>
    <w:rsid w:val="001506B3"/>
    <w:rsid w:val="00150C0F"/>
    <w:rsid w:val="00150C1B"/>
    <w:rsid w:val="00150C1E"/>
    <w:rsid w:val="001510DF"/>
    <w:rsid w:val="0015190F"/>
    <w:rsid w:val="00151E23"/>
    <w:rsid w:val="001523B7"/>
    <w:rsid w:val="00152682"/>
    <w:rsid w:val="001526E0"/>
    <w:rsid w:val="00153B76"/>
    <w:rsid w:val="00154220"/>
    <w:rsid w:val="00154665"/>
    <w:rsid w:val="00154747"/>
    <w:rsid w:val="001548A6"/>
    <w:rsid w:val="001549FC"/>
    <w:rsid w:val="00154A70"/>
    <w:rsid w:val="00154EED"/>
    <w:rsid w:val="00155184"/>
    <w:rsid w:val="001551B5"/>
    <w:rsid w:val="00155247"/>
    <w:rsid w:val="00155283"/>
    <w:rsid w:val="00155EBB"/>
    <w:rsid w:val="0015611D"/>
    <w:rsid w:val="0015653C"/>
    <w:rsid w:val="00156D0F"/>
    <w:rsid w:val="00156DC4"/>
    <w:rsid w:val="00157A90"/>
    <w:rsid w:val="00157B7B"/>
    <w:rsid w:val="00157F10"/>
    <w:rsid w:val="0016036A"/>
    <w:rsid w:val="00160461"/>
    <w:rsid w:val="001605BA"/>
    <w:rsid w:val="0016118D"/>
    <w:rsid w:val="00161334"/>
    <w:rsid w:val="00162135"/>
    <w:rsid w:val="0016216B"/>
    <w:rsid w:val="001629FC"/>
    <w:rsid w:val="00162B97"/>
    <w:rsid w:val="00162BD1"/>
    <w:rsid w:val="00163554"/>
    <w:rsid w:val="00163AF4"/>
    <w:rsid w:val="00163FBD"/>
    <w:rsid w:val="00164428"/>
    <w:rsid w:val="001649E6"/>
    <w:rsid w:val="00165311"/>
    <w:rsid w:val="001659C1"/>
    <w:rsid w:val="00165CB2"/>
    <w:rsid w:val="0016660C"/>
    <w:rsid w:val="001669BD"/>
    <w:rsid w:val="00166A27"/>
    <w:rsid w:val="0016726A"/>
    <w:rsid w:val="00167359"/>
    <w:rsid w:val="0016770B"/>
    <w:rsid w:val="00167A2F"/>
    <w:rsid w:val="00167FF7"/>
    <w:rsid w:val="00170341"/>
    <w:rsid w:val="0017069C"/>
    <w:rsid w:val="0017087F"/>
    <w:rsid w:val="00170B00"/>
    <w:rsid w:val="00170DD7"/>
    <w:rsid w:val="001711A9"/>
    <w:rsid w:val="0017127C"/>
    <w:rsid w:val="00171478"/>
    <w:rsid w:val="00171DE5"/>
    <w:rsid w:val="00171E9B"/>
    <w:rsid w:val="00171FAE"/>
    <w:rsid w:val="001727B5"/>
    <w:rsid w:val="001735B9"/>
    <w:rsid w:val="00173A8E"/>
    <w:rsid w:val="00173E65"/>
    <w:rsid w:val="0017437B"/>
    <w:rsid w:val="001746D1"/>
    <w:rsid w:val="001747A2"/>
    <w:rsid w:val="00174AF5"/>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626"/>
    <w:rsid w:val="00182750"/>
    <w:rsid w:val="00182841"/>
    <w:rsid w:val="00182B1F"/>
    <w:rsid w:val="00182E1A"/>
    <w:rsid w:val="001833D1"/>
    <w:rsid w:val="001833FB"/>
    <w:rsid w:val="001834D8"/>
    <w:rsid w:val="00183599"/>
    <w:rsid w:val="001836D1"/>
    <w:rsid w:val="00184226"/>
    <w:rsid w:val="001846F2"/>
    <w:rsid w:val="0018482C"/>
    <w:rsid w:val="00185251"/>
    <w:rsid w:val="001856D0"/>
    <w:rsid w:val="00185B04"/>
    <w:rsid w:val="00185E08"/>
    <w:rsid w:val="00186721"/>
    <w:rsid w:val="001869E2"/>
    <w:rsid w:val="00186DA6"/>
    <w:rsid w:val="00186F54"/>
    <w:rsid w:val="00186F7A"/>
    <w:rsid w:val="00187149"/>
    <w:rsid w:val="001872BE"/>
    <w:rsid w:val="00187FF9"/>
    <w:rsid w:val="00190A56"/>
    <w:rsid w:val="00190AC1"/>
    <w:rsid w:val="00191139"/>
    <w:rsid w:val="001916CB"/>
    <w:rsid w:val="00191876"/>
    <w:rsid w:val="00191ACF"/>
    <w:rsid w:val="001921DE"/>
    <w:rsid w:val="001924F7"/>
    <w:rsid w:val="001927C8"/>
    <w:rsid w:val="00192A7C"/>
    <w:rsid w:val="00192B67"/>
    <w:rsid w:val="00192B71"/>
    <w:rsid w:val="00192D14"/>
    <w:rsid w:val="00193416"/>
    <w:rsid w:val="0019341A"/>
    <w:rsid w:val="00193ABA"/>
    <w:rsid w:val="00193B67"/>
    <w:rsid w:val="00193DD6"/>
    <w:rsid w:val="00193FB1"/>
    <w:rsid w:val="00194249"/>
    <w:rsid w:val="001944CD"/>
    <w:rsid w:val="0019468F"/>
    <w:rsid w:val="00194904"/>
    <w:rsid w:val="00194E68"/>
    <w:rsid w:val="001956B8"/>
    <w:rsid w:val="001957BB"/>
    <w:rsid w:val="00195A91"/>
    <w:rsid w:val="001965C4"/>
    <w:rsid w:val="001968DF"/>
    <w:rsid w:val="00196934"/>
    <w:rsid w:val="00196F83"/>
    <w:rsid w:val="001971AE"/>
    <w:rsid w:val="001975F2"/>
    <w:rsid w:val="00197DF9"/>
    <w:rsid w:val="001A00F7"/>
    <w:rsid w:val="001A0250"/>
    <w:rsid w:val="001A02AB"/>
    <w:rsid w:val="001A11F0"/>
    <w:rsid w:val="001A1461"/>
    <w:rsid w:val="001A1986"/>
    <w:rsid w:val="001A1987"/>
    <w:rsid w:val="001A1F2B"/>
    <w:rsid w:val="001A2564"/>
    <w:rsid w:val="001A2625"/>
    <w:rsid w:val="001A26FB"/>
    <w:rsid w:val="001A2854"/>
    <w:rsid w:val="001A2CEF"/>
    <w:rsid w:val="001A3076"/>
    <w:rsid w:val="001A38BB"/>
    <w:rsid w:val="001A3CA8"/>
    <w:rsid w:val="001A3CE3"/>
    <w:rsid w:val="001A3FAB"/>
    <w:rsid w:val="001A45D5"/>
    <w:rsid w:val="001A4737"/>
    <w:rsid w:val="001A4812"/>
    <w:rsid w:val="001A4EF4"/>
    <w:rsid w:val="001A5065"/>
    <w:rsid w:val="001A5951"/>
    <w:rsid w:val="001A5B3F"/>
    <w:rsid w:val="001A5E45"/>
    <w:rsid w:val="001A6173"/>
    <w:rsid w:val="001A619F"/>
    <w:rsid w:val="001A626B"/>
    <w:rsid w:val="001A6ABE"/>
    <w:rsid w:val="001A73FD"/>
    <w:rsid w:val="001A771A"/>
    <w:rsid w:val="001B009F"/>
    <w:rsid w:val="001B0578"/>
    <w:rsid w:val="001B0D97"/>
    <w:rsid w:val="001B14BE"/>
    <w:rsid w:val="001B1523"/>
    <w:rsid w:val="001B1D92"/>
    <w:rsid w:val="001B21A6"/>
    <w:rsid w:val="001B27E7"/>
    <w:rsid w:val="001B2E5B"/>
    <w:rsid w:val="001B3010"/>
    <w:rsid w:val="001B3330"/>
    <w:rsid w:val="001B3458"/>
    <w:rsid w:val="001B34D1"/>
    <w:rsid w:val="001B36D6"/>
    <w:rsid w:val="001B379C"/>
    <w:rsid w:val="001B3C08"/>
    <w:rsid w:val="001B4E95"/>
    <w:rsid w:val="001B52D0"/>
    <w:rsid w:val="001B56D1"/>
    <w:rsid w:val="001B5A5D"/>
    <w:rsid w:val="001B5EC7"/>
    <w:rsid w:val="001B60B9"/>
    <w:rsid w:val="001B6365"/>
    <w:rsid w:val="001B653E"/>
    <w:rsid w:val="001B66D0"/>
    <w:rsid w:val="001B69DB"/>
    <w:rsid w:val="001B6D2B"/>
    <w:rsid w:val="001B6F0E"/>
    <w:rsid w:val="001B7034"/>
    <w:rsid w:val="001B74F6"/>
    <w:rsid w:val="001B7525"/>
    <w:rsid w:val="001B7A96"/>
    <w:rsid w:val="001C02A9"/>
    <w:rsid w:val="001C04B4"/>
    <w:rsid w:val="001C07F8"/>
    <w:rsid w:val="001C0AAE"/>
    <w:rsid w:val="001C0B35"/>
    <w:rsid w:val="001C13A0"/>
    <w:rsid w:val="001C1A1A"/>
    <w:rsid w:val="001C1BE4"/>
    <w:rsid w:val="001C1CE5"/>
    <w:rsid w:val="001C1E98"/>
    <w:rsid w:val="001C1F1B"/>
    <w:rsid w:val="001C2447"/>
    <w:rsid w:val="001C27E1"/>
    <w:rsid w:val="001C2ABC"/>
    <w:rsid w:val="001C36B2"/>
    <w:rsid w:val="001C3D2A"/>
    <w:rsid w:val="001C3D34"/>
    <w:rsid w:val="001C3D9F"/>
    <w:rsid w:val="001C4763"/>
    <w:rsid w:val="001C4C20"/>
    <w:rsid w:val="001C508D"/>
    <w:rsid w:val="001C550C"/>
    <w:rsid w:val="001C5A39"/>
    <w:rsid w:val="001C5B0C"/>
    <w:rsid w:val="001C6312"/>
    <w:rsid w:val="001C631B"/>
    <w:rsid w:val="001C664F"/>
    <w:rsid w:val="001C67D8"/>
    <w:rsid w:val="001C6E5D"/>
    <w:rsid w:val="001C7611"/>
    <w:rsid w:val="001D0064"/>
    <w:rsid w:val="001D03B3"/>
    <w:rsid w:val="001D04DE"/>
    <w:rsid w:val="001D0744"/>
    <w:rsid w:val="001D0F30"/>
    <w:rsid w:val="001D11ED"/>
    <w:rsid w:val="001D1452"/>
    <w:rsid w:val="001D1A31"/>
    <w:rsid w:val="001D1B44"/>
    <w:rsid w:val="001D2B1F"/>
    <w:rsid w:val="001D2C21"/>
    <w:rsid w:val="001D2C6B"/>
    <w:rsid w:val="001D2DB5"/>
    <w:rsid w:val="001D36A9"/>
    <w:rsid w:val="001D377E"/>
    <w:rsid w:val="001D37DE"/>
    <w:rsid w:val="001D3974"/>
    <w:rsid w:val="001D4A06"/>
    <w:rsid w:val="001D4CB3"/>
    <w:rsid w:val="001D4D1D"/>
    <w:rsid w:val="001D4EE6"/>
    <w:rsid w:val="001D51BA"/>
    <w:rsid w:val="001D52F5"/>
    <w:rsid w:val="001D53B5"/>
    <w:rsid w:val="001D5B87"/>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9B2"/>
    <w:rsid w:val="001E5F35"/>
    <w:rsid w:val="001E69BC"/>
    <w:rsid w:val="001E6A9F"/>
    <w:rsid w:val="001E6CA9"/>
    <w:rsid w:val="001E7927"/>
    <w:rsid w:val="001E7AED"/>
    <w:rsid w:val="001E7F86"/>
    <w:rsid w:val="001F055D"/>
    <w:rsid w:val="001F0A04"/>
    <w:rsid w:val="001F0B56"/>
    <w:rsid w:val="001F0CCF"/>
    <w:rsid w:val="001F1031"/>
    <w:rsid w:val="001F12F4"/>
    <w:rsid w:val="001F164F"/>
    <w:rsid w:val="001F243F"/>
    <w:rsid w:val="001F2F31"/>
    <w:rsid w:val="001F31BC"/>
    <w:rsid w:val="001F3266"/>
    <w:rsid w:val="001F36C3"/>
    <w:rsid w:val="001F3916"/>
    <w:rsid w:val="001F3EEA"/>
    <w:rsid w:val="001F4037"/>
    <w:rsid w:val="001F4676"/>
    <w:rsid w:val="001F54C5"/>
    <w:rsid w:val="001F58C2"/>
    <w:rsid w:val="001F5B50"/>
    <w:rsid w:val="001F5C7D"/>
    <w:rsid w:val="001F5CAF"/>
    <w:rsid w:val="001F61DB"/>
    <w:rsid w:val="001F662C"/>
    <w:rsid w:val="001F6ECA"/>
    <w:rsid w:val="001F7074"/>
    <w:rsid w:val="001F75E5"/>
    <w:rsid w:val="001F7A85"/>
    <w:rsid w:val="00200490"/>
    <w:rsid w:val="00200891"/>
    <w:rsid w:val="002009A4"/>
    <w:rsid w:val="002009FA"/>
    <w:rsid w:val="00200BBB"/>
    <w:rsid w:val="002015AA"/>
    <w:rsid w:val="00201702"/>
    <w:rsid w:val="002019B9"/>
    <w:rsid w:val="00201F3A"/>
    <w:rsid w:val="00202427"/>
    <w:rsid w:val="002026CA"/>
    <w:rsid w:val="002028F1"/>
    <w:rsid w:val="00202A30"/>
    <w:rsid w:val="00203174"/>
    <w:rsid w:val="0020327F"/>
    <w:rsid w:val="0020349F"/>
    <w:rsid w:val="00203A34"/>
    <w:rsid w:val="00203F96"/>
    <w:rsid w:val="002041BF"/>
    <w:rsid w:val="00204239"/>
    <w:rsid w:val="00204831"/>
    <w:rsid w:val="002048C5"/>
    <w:rsid w:val="00204E32"/>
    <w:rsid w:val="002050C4"/>
    <w:rsid w:val="00205362"/>
    <w:rsid w:val="002055D0"/>
    <w:rsid w:val="0020586D"/>
    <w:rsid w:val="00205CEA"/>
    <w:rsid w:val="002063BF"/>
    <w:rsid w:val="0020640E"/>
    <w:rsid w:val="00206935"/>
    <w:rsid w:val="002069B2"/>
    <w:rsid w:val="002078A4"/>
    <w:rsid w:val="00207A2D"/>
    <w:rsid w:val="00207DCD"/>
    <w:rsid w:val="00207FA3"/>
    <w:rsid w:val="00210051"/>
    <w:rsid w:val="00210241"/>
    <w:rsid w:val="0021025F"/>
    <w:rsid w:val="002103AB"/>
    <w:rsid w:val="00210521"/>
    <w:rsid w:val="002105C0"/>
    <w:rsid w:val="00210B61"/>
    <w:rsid w:val="00210C5F"/>
    <w:rsid w:val="002111FD"/>
    <w:rsid w:val="002113A2"/>
    <w:rsid w:val="00212329"/>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BDA"/>
    <w:rsid w:val="00215D3F"/>
    <w:rsid w:val="00215E60"/>
    <w:rsid w:val="00215F14"/>
    <w:rsid w:val="002160C0"/>
    <w:rsid w:val="002163FC"/>
    <w:rsid w:val="00216540"/>
    <w:rsid w:val="00216742"/>
    <w:rsid w:val="00216A4A"/>
    <w:rsid w:val="00217082"/>
    <w:rsid w:val="002179C2"/>
    <w:rsid w:val="00220495"/>
    <w:rsid w:val="00220600"/>
    <w:rsid w:val="00220819"/>
    <w:rsid w:val="0022091A"/>
    <w:rsid w:val="00220EAB"/>
    <w:rsid w:val="00221404"/>
    <w:rsid w:val="002221C0"/>
    <w:rsid w:val="002224DB"/>
    <w:rsid w:val="002226AB"/>
    <w:rsid w:val="00222FCD"/>
    <w:rsid w:val="00223094"/>
    <w:rsid w:val="002233E6"/>
    <w:rsid w:val="00223FCB"/>
    <w:rsid w:val="002243CE"/>
    <w:rsid w:val="002243EC"/>
    <w:rsid w:val="00224506"/>
    <w:rsid w:val="0022451F"/>
    <w:rsid w:val="002245DE"/>
    <w:rsid w:val="002248FB"/>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783"/>
    <w:rsid w:val="00227CC3"/>
    <w:rsid w:val="00227D7C"/>
    <w:rsid w:val="00227D97"/>
    <w:rsid w:val="002302D7"/>
    <w:rsid w:val="002306BA"/>
    <w:rsid w:val="002306F9"/>
    <w:rsid w:val="00230726"/>
    <w:rsid w:val="00230765"/>
    <w:rsid w:val="00230BDB"/>
    <w:rsid w:val="00231285"/>
    <w:rsid w:val="00231466"/>
    <w:rsid w:val="00231470"/>
    <w:rsid w:val="0023156D"/>
    <w:rsid w:val="002319E4"/>
    <w:rsid w:val="00231F5C"/>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37E3D"/>
    <w:rsid w:val="00240798"/>
    <w:rsid w:val="0024083C"/>
    <w:rsid w:val="0024093C"/>
    <w:rsid w:val="002413CC"/>
    <w:rsid w:val="00241559"/>
    <w:rsid w:val="0024155D"/>
    <w:rsid w:val="00241A87"/>
    <w:rsid w:val="00241BE6"/>
    <w:rsid w:val="00242362"/>
    <w:rsid w:val="002425B7"/>
    <w:rsid w:val="0024267E"/>
    <w:rsid w:val="002426E0"/>
    <w:rsid w:val="00242797"/>
    <w:rsid w:val="00242E10"/>
    <w:rsid w:val="0024309A"/>
    <w:rsid w:val="00243179"/>
    <w:rsid w:val="002434D0"/>
    <w:rsid w:val="0024350A"/>
    <w:rsid w:val="002435B3"/>
    <w:rsid w:val="00243CB0"/>
    <w:rsid w:val="00243D35"/>
    <w:rsid w:val="00244040"/>
    <w:rsid w:val="0024416E"/>
    <w:rsid w:val="00244473"/>
    <w:rsid w:val="00244E2C"/>
    <w:rsid w:val="0024524A"/>
    <w:rsid w:val="0024566A"/>
    <w:rsid w:val="00245766"/>
    <w:rsid w:val="002458EB"/>
    <w:rsid w:val="00245E3E"/>
    <w:rsid w:val="00245F87"/>
    <w:rsid w:val="002462D0"/>
    <w:rsid w:val="002464C8"/>
    <w:rsid w:val="00246594"/>
    <w:rsid w:val="002468B7"/>
    <w:rsid w:val="0024729C"/>
    <w:rsid w:val="00247BC4"/>
    <w:rsid w:val="002502F9"/>
    <w:rsid w:val="0025081A"/>
    <w:rsid w:val="00250E4C"/>
    <w:rsid w:val="00251316"/>
    <w:rsid w:val="00251615"/>
    <w:rsid w:val="002518B0"/>
    <w:rsid w:val="00251B4A"/>
    <w:rsid w:val="00251DE3"/>
    <w:rsid w:val="0025243C"/>
    <w:rsid w:val="002527DD"/>
    <w:rsid w:val="00252933"/>
    <w:rsid w:val="00252DA2"/>
    <w:rsid w:val="00253530"/>
    <w:rsid w:val="002536A0"/>
    <w:rsid w:val="00253ACC"/>
    <w:rsid w:val="002546FA"/>
    <w:rsid w:val="0025555E"/>
    <w:rsid w:val="00255D36"/>
    <w:rsid w:val="002568F4"/>
    <w:rsid w:val="00256CAC"/>
    <w:rsid w:val="00257543"/>
    <w:rsid w:val="002577E6"/>
    <w:rsid w:val="002602EB"/>
    <w:rsid w:val="00260656"/>
    <w:rsid w:val="002608DB"/>
    <w:rsid w:val="00260A05"/>
    <w:rsid w:val="00260EE0"/>
    <w:rsid w:val="00261375"/>
    <w:rsid w:val="00261782"/>
    <w:rsid w:val="002617E7"/>
    <w:rsid w:val="00261856"/>
    <w:rsid w:val="00261A3A"/>
    <w:rsid w:val="00262A43"/>
    <w:rsid w:val="00262A45"/>
    <w:rsid w:val="00262DA4"/>
    <w:rsid w:val="00262FAD"/>
    <w:rsid w:val="00263572"/>
    <w:rsid w:val="002635D9"/>
    <w:rsid w:val="00263725"/>
    <w:rsid w:val="002637AE"/>
    <w:rsid w:val="00263906"/>
    <w:rsid w:val="00264189"/>
    <w:rsid w:val="00264228"/>
    <w:rsid w:val="00264334"/>
    <w:rsid w:val="0026473E"/>
    <w:rsid w:val="002651E5"/>
    <w:rsid w:val="00265223"/>
    <w:rsid w:val="00265521"/>
    <w:rsid w:val="00265693"/>
    <w:rsid w:val="00265C81"/>
    <w:rsid w:val="00266214"/>
    <w:rsid w:val="0026633B"/>
    <w:rsid w:val="00266525"/>
    <w:rsid w:val="00266CC2"/>
    <w:rsid w:val="00267A3C"/>
    <w:rsid w:val="00267B5F"/>
    <w:rsid w:val="00267C83"/>
    <w:rsid w:val="002700E8"/>
    <w:rsid w:val="002709AB"/>
    <w:rsid w:val="00271215"/>
    <w:rsid w:val="0027144F"/>
    <w:rsid w:val="0027175A"/>
    <w:rsid w:val="002718A1"/>
    <w:rsid w:val="00271A63"/>
    <w:rsid w:val="00271F3A"/>
    <w:rsid w:val="00272A93"/>
    <w:rsid w:val="00272F4F"/>
    <w:rsid w:val="00273278"/>
    <w:rsid w:val="0027328E"/>
    <w:rsid w:val="002737F4"/>
    <w:rsid w:val="00273AFA"/>
    <w:rsid w:val="00273D70"/>
    <w:rsid w:val="00273E0E"/>
    <w:rsid w:val="00273E84"/>
    <w:rsid w:val="00273F2B"/>
    <w:rsid w:val="00274BB8"/>
    <w:rsid w:val="00274C41"/>
    <w:rsid w:val="00274DFF"/>
    <w:rsid w:val="00275676"/>
    <w:rsid w:val="00276081"/>
    <w:rsid w:val="00276B67"/>
    <w:rsid w:val="00276CF4"/>
    <w:rsid w:val="00276D6F"/>
    <w:rsid w:val="00277097"/>
    <w:rsid w:val="002771A6"/>
    <w:rsid w:val="00277490"/>
    <w:rsid w:val="002774AF"/>
    <w:rsid w:val="002777BC"/>
    <w:rsid w:val="00277B78"/>
    <w:rsid w:val="00280052"/>
    <w:rsid w:val="002805AB"/>
    <w:rsid w:val="002805F5"/>
    <w:rsid w:val="00280751"/>
    <w:rsid w:val="00280E8F"/>
    <w:rsid w:val="00281605"/>
    <w:rsid w:val="0028184F"/>
    <w:rsid w:val="002819A4"/>
    <w:rsid w:val="00281C9B"/>
    <w:rsid w:val="002821B7"/>
    <w:rsid w:val="0028265E"/>
    <w:rsid w:val="0028280A"/>
    <w:rsid w:val="00282CE5"/>
    <w:rsid w:val="00283037"/>
    <w:rsid w:val="0028305E"/>
    <w:rsid w:val="00283535"/>
    <w:rsid w:val="0028360D"/>
    <w:rsid w:val="002838A1"/>
    <w:rsid w:val="00283A0A"/>
    <w:rsid w:val="00283E3F"/>
    <w:rsid w:val="0028409E"/>
    <w:rsid w:val="0028475A"/>
    <w:rsid w:val="00284834"/>
    <w:rsid w:val="0028487A"/>
    <w:rsid w:val="002848AE"/>
    <w:rsid w:val="00284AA5"/>
    <w:rsid w:val="00284B81"/>
    <w:rsid w:val="002850AC"/>
    <w:rsid w:val="00285A09"/>
    <w:rsid w:val="00285B37"/>
    <w:rsid w:val="0028606E"/>
    <w:rsid w:val="00286560"/>
    <w:rsid w:val="00286ACD"/>
    <w:rsid w:val="00286BFC"/>
    <w:rsid w:val="00286EBD"/>
    <w:rsid w:val="0028719B"/>
    <w:rsid w:val="002871CF"/>
    <w:rsid w:val="00287838"/>
    <w:rsid w:val="0029074A"/>
    <w:rsid w:val="002907B5"/>
    <w:rsid w:val="002907DF"/>
    <w:rsid w:val="0029095B"/>
    <w:rsid w:val="00290CC2"/>
    <w:rsid w:val="00290E63"/>
    <w:rsid w:val="002911CE"/>
    <w:rsid w:val="00291249"/>
    <w:rsid w:val="002912B7"/>
    <w:rsid w:val="002912C6"/>
    <w:rsid w:val="0029135D"/>
    <w:rsid w:val="00291685"/>
    <w:rsid w:val="00291915"/>
    <w:rsid w:val="0029196F"/>
    <w:rsid w:val="00291C2B"/>
    <w:rsid w:val="00291FC4"/>
    <w:rsid w:val="00292174"/>
    <w:rsid w:val="002923C4"/>
    <w:rsid w:val="0029273B"/>
    <w:rsid w:val="00292EB7"/>
    <w:rsid w:val="00293203"/>
    <w:rsid w:val="00293483"/>
    <w:rsid w:val="00293541"/>
    <w:rsid w:val="002937A1"/>
    <w:rsid w:val="00294544"/>
    <w:rsid w:val="00294A68"/>
    <w:rsid w:val="00295702"/>
    <w:rsid w:val="00295BE1"/>
    <w:rsid w:val="00295FCF"/>
    <w:rsid w:val="00296227"/>
    <w:rsid w:val="00296314"/>
    <w:rsid w:val="002964A7"/>
    <w:rsid w:val="00296763"/>
    <w:rsid w:val="00296F44"/>
    <w:rsid w:val="0029777D"/>
    <w:rsid w:val="00297F35"/>
    <w:rsid w:val="002A055E"/>
    <w:rsid w:val="002A08C2"/>
    <w:rsid w:val="002A0AB8"/>
    <w:rsid w:val="002A0B05"/>
    <w:rsid w:val="002A0B4F"/>
    <w:rsid w:val="002A0E38"/>
    <w:rsid w:val="002A119E"/>
    <w:rsid w:val="002A1733"/>
    <w:rsid w:val="002A1D4E"/>
    <w:rsid w:val="002A1F3F"/>
    <w:rsid w:val="002A2107"/>
    <w:rsid w:val="002A2499"/>
    <w:rsid w:val="002A2869"/>
    <w:rsid w:val="002A2B92"/>
    <w:rsid w:val="002A3257"/>
    <w:rsid w:val="002A350D"/>
    <w:rsid w:val="002A37EE"/>
    <w:rsid w:val="002A3FC3"/>
    <w:rsid w:val="002A4063"/>
    <w:rsid w:val="002A4140"/>
    <w:rsid w:val="002A46E3"/>
    <w:rsid w:val="002A4C62"/>
    <w:rsid w:val="002A4CC1"/>
    <w:rsid w:val="002A5ADA"/>
    <w:rsid w:val="002A5CD1"/>
    <w:rsid w:val="002A5CEE"/>
    <w:rsid w:val="002A5F35"/>
    <w:rsid w:val="002A6158"/>
    <w:rsid w:val="002A67EE"/>
    <w:rsid w:val="002A6C19"/>
    <w:rsid w:val="002A6CFF"/>
    <w:rsid w:val="002A6FF8"/>
    <w:rsid w:val="002A7683"/>
    <w:rsid w:val="002A7E87"/>
    <w:rsid w:val="002A7EEF"/>
    <w:rsid w:val="002B0C6F"/>
    <w:rsid w:val="002B1194"/>
    <w:rsid w:val="002B21FE"/>
    <w:rsid w:val="002B248E"/>
    <w:rsid w:val="002B24D6"/>
    <w:rsid w:val="002B2C00"/>
    <w:rsid w:val="002B3A1B"/>
    <w:rsid w:val="002B3A7C"/>
    <w:rsid w:val="002B3B0D"/>
    <w:rsid w:val="002B3E74"/>
    <w:rsid w:val="002B3ED3"/>
    <w:rsid w:val="002B3FE9"/>
    <w:rsid w:val="002B40DC"/>
    <w:rsid w:val="002B4952"/>
    <w:rsid w:val="002B53C9"/>
    <w:rsid w:val="002B5E84"/>
    <w:rsid w:val="002B63FC"/>
    <w:rsid w:val="002B6D00"/>
    <w:rsid w:val="002B6FA2"/>
    <w:rsid w:val="002B74C5"/>
    <w:rsid w:val="002B77BF"/>
    <w:rsid w:val="002C07A8"/>
    <w:rsid w:val="002C0976"/>
    <w:rsid w:val="002C0B9F"/>
    <w:rsid w:val="002C0ED2"/>
    <w:rsid w:val="002C1083"/>
    <w:rsid w:val="002C1174"/>
    <w:rsid w:val="002C151A"/>
    <w:rsid w:val="002C1961"/>
    <w:rsid w:val="002C19EA"/>
    <w:rsid w:val="002C1B8D"/>
    <w:rsid w:val="002C26E7"/>
    <w:rsid w:val="002C2995"/>
    <w:rsid w:val="002C31B3"/>
    <w:rsid w:val="002C38A4"/>
    <w:rsid w:val="002C38A5"/>
    <w:rsid w:val="002C3FD2"/>
    <w:rsid w:val="002C400F"/>
    <w:rsid w:val="002C408C"/>
    <w:rsid w:val="002C41E6"/>
    <w:rsid w:val="002C4435"/>
    <w:rsid w:val="002C4558"/>
    <w:rsid w:val="002C458A"/>
    <w:rsid w:val="002C4674"/>
    <w:rsid w:val="002C48C7"/>
    <w:rsid w:val="002C4E28"/>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9F2"/>
    <w:rsid w:val="002E0B37"/>
    <w:rsid w:val="002E0B70"/>
    <w:rsid w:val="002E0BEF"/>
    <w:rsid w:val="002E1758"/>
    <w:rsid w:val="002E17F2"/>
    <w:rsid w:val="002E1D24"/>
    <w:rsid w:val="002E1EFB"/>
    <w:rsid w:val="002E2A11"/>
    <w:rsid w:val="002E2B4D"/>
    <w:rsid w:val="002E368E"/>
    <w:rsid w:val="002E3791"/>
    <w:rsid w:val="002E3866"/>
    <w:rsid w:val="002E4943"/>
    <w:rsid w:val="002E51C3"/>
    <w:rsid w:val="002E56A7"/>
    <w:rsid w:val="002E5796"/>
    <w:rsid w:val="002E5901"/>
    <w:rsid w:val="002E5972"/>
    <w:rsid w:val="002E659A"/>
    <w:rsid w:val="002E689B"/>
    <w:rsid w:val="002E7003"/>
    <w:rsid w:val="002E7578"/>
    <w:rsid w:val="002E7928"/>
    <w:rsid w:val="002E7CAE"/>
    <w:rsid w:val="002E7F8F"/>
    <w:rsid w:val="002F07A4"/>
    <w:rsid w:val="002F0878"/>
    <w:rsid w:val="002F15BF"/>
    <w:rsid w:val="002F1EF2"/>
    <w:rsid w:val="002F22CD"/>
    <w:rsid w:val="002F2771"/>
    <w:rsid w:val="002F29D5"/>
    <w:rsid w:val="002F2AB0"/>
    <w:rsid w:val="002F2F73"/>
    <w:rsid w:val="002F3744"/>
    <w:rsid w:val="002F37A9"/>
    <w:rsid w:val="002F3950"/>
    <w:rsid w:val="002F4794"/>
    <w:rsid w:val="002F4AE1"/>
    <w:rsid w:val="002F4D68"/>
    <w:rsid w:val="002F55B5"/>
    <w:rsid w:val="002F5609"/>
    <w:rsid w:val="002F585B"/>
    <w:rsid w:val="002F5AFC"/>
    <w:rsid w:val="002F6CB0"/>
    <w:rsid w:val="002F6E9C"/>
    <w:rsid w:val="002F6EF2"/>
    <w:rsid w:val="002F7154"/>
    <w:rsid w:val="002F771F"/>
    <w:rsid w:val="002F784D"/>
    <w:rsid w:val="002F7F5E"/>
    <w:rsid w:val="002F7FC6"/>
    <w:rsid w:val="003001B2"/>
    <w:rsid w:val="003003EF"/>
    <w:rsid w:val="003003F3"/>
    <w:rsid w:val="0030075F"/>
    <w:rsid w:val="00300A39"/>
    <w:rsid w:val="00301610"/>
    <w:rsid w:val="003018E3"/>
    <w:rsid w:val="00301BDB"/>
    <w:rsid w:val="00301CE6"/>
    <w:rsid w:val="00302569"/>
    <w:rsid w:val="0030256B"/>
    <w:rsid w:val="00302D11"/>
    <w:rsid w:val="00303666"/>
    <w:rsid w:val="003038EC"/>
    <w:rsid w:val="00303E77"/>
    <w:rsid w:val="0030455B"/>
    <w:rsid w:val="003045D2"/>
    <w:rsid w:val="003048C9"/>
    <w:rsid w:val="0030501F"/>
    <w:rsid w:val="00305444"/>
    <w:rsid w:val="00305541"/>
    <w:rsid w:val="003060F8"/>
    <w:rsid w:val="00306B83"/>
    <w:rsid w:val="0030704D"/>
    <w:rsid w:val="00307A42"/>
    <w:rsid w:val="00307A45"/>
    <w:rsid w:val="00307BA1"/>
    <w:rsid w:val="00307FF4"/>
    <w:rsid w:val="00310425"/>
    <w:rsid w:val="00311625"/>
    <w:rsid w:val="00311702"/>
    <w:rsid w:val="00311E82"/>
    <w:rsid w:val="003124BA"/>
    <w:rsid w:val="003127AA"/>
    <w:rsid w:val="00312AAE"/>
    <w:rsid w:val="00312C0A"/>
    <w:rsid w:val="00312E83"/>
    <w:rsid w:val="00313569"/>
    <w:rsid w:val="003135D2"/>
    <w:rsid w:val="00313AF5"/>
    <w:rsid w:val="00313C85"/>
    <w:rsid w:val="00313FD6"/>
    <w:rsid w:val="003143BD"/>
    <w:rsid w:val="00314608"/>
    <w:rsid w:val="00315304"/>
    <w:rsid w:val="003153C1"/>
    <w:rsid w:val="00315B19"/>
    <w:rsid w:val="00315C8E"/>
    <w:rsid w:val="003161A9"/>
    <w:rsid w:val="00316A01"/>
    <w:rsid w:val="00316E85"/>
    <w:rsid w:val="00316FEB"/>
    <w:rsid w:val="00317164"/>
    <w:rsid w:val="0031717E"/>
    <w:rsid w:val="00320177"/>
    <w:rsid w:val="003203ED"/>
    <w:rsid w:val="003206B6"/>
    <w:rsid w:val="0032130F"/>
    <w:rsid w:val="00321608"/>
    <w:rsid w:val="00321CBA"/>
    <w:rsid w:val="00321EDE"/>
    <w:rsid w:val="00322820"/>
    <w:rsid w:val="003228BE"/>
    <w:rsid w:val="00322C9F"/>
    <w:rsid w:val="00323083"/>
    <w:rsid w:val="003232C0"/>
    <w:rsid w:val="0032336B"/>
    <w:rsid w:val="003233E6"/>
    <w:rsid w:val="00323A9B"/>
    <w:rsid w:val="00323ED1"/>
    <w:rsid w:val="00324135"/>
    <w:rsid w:val="003242DD"/>
    <w:rsid w:val="00324AA1"/>
    <w:rsid w:val="00324D23"/>
    <w:rsid w:val="00324F79"/>
    <w:rsid w:val="00325768"/>
    <w:rsid w:val="00325884"/>
    <w:rsid w:val="00325F35"/>
    <w:rsid w:val="003260A9"/>
    <w:rsid w:val="00326F7F"/>
    <w:rsid w:val="00327158"/>
    <w:rsid w:val="003272FB"/>
    <w:rsid w:val="003273A2"/>
    <w:rsid w:val="00327F8C"/>
    <w:rsid w:val="003302A4"/>
    <w:rsid w:val="00330D80"/>
    <w:rsid w:val="00331751"/>
    <w:rsid w:val="003319E2"/>
    <w:rsid w:val="00331E4A"/>
    <w:rsid w:val="003329DD"/>
    <w:rsid w:val="003330BE"/>
    <w:rsid w:val="003334EA"/>
    <w:rsid w:val="0033352E"/>
    <w:rsid w:val="00333577"/>
    <w:rsid w:val="00333D09"/>
    <w:rsid w:val="00333FD7"/>
    <w:rsid w:val="00334078"/>
    <w:rsid w:val="00334165"/>
    <w:rsid w:val="00334578"/>
    <w:rsid w:val="00334579"/>
    <w:rsid w:val="00334612"/>
    <w:rsid w:val="00334926"/>
    <w:rsid w:val="00334D0C"/>
    <w:rsid w:val="00334EDE"/>
    <w:rsid w:val="0033520D"/>
    <w:rsid w:val="00335858"/>
    <w:rsid w:val="00336016"/>
    <w:rsid w:val="00336BDA"/>
    <w:rsid w:val="00337135"/>
    <w:rsid w:val="00337580"/>
    <w:rsid w:val="003375B2"/>
    <w:rsid w:val="00337B7A"/>
    <w:rsid w:val="00340426"/>
    <w:rsid w:val="00340B27"/>
    <w:rsid w:val="00340CA8"/>
    <w:rsid w:val="0034106C"/>
    <w:rsid w:val="0034166C"/>
    <w:rsid w:val="003419A8"/>
    <w:rsid w:val="00341D82"/>
    <w:rsid w:val="00341DA5"/>
    <w:rsid w:val="00342BD7"/>
    <w:rsid w:val="00342D27"/>
    <w:rsid w:val="003439CE"/>
    <w:rsid w:val="00343C63"/>
    <w:rsid w:val="00343CA5"/>
    <w:rsid w:val="00344306"/>
    <w:rsid w:val="0034447A"/>
    <w:rsid w:val="00344A72"/>
    <w:rsid w:val="00344B26"/>
    <w:rsid w:val="00345335"/>
    <w:rsid w:val="00345C64"/>
    <w:rsid w:val="00346012"/>
    <w:rsid w:val="00346113"/>
    <w:rsid w:val="00346514"/>
    <w:rsid w:val="003465F1"/>
    <w:rsid w:val="003469F2"/>
    <w:rsid w:val="00346DB5"/>
    <w:rsid w:val="00347574"/>
    <w:rsid w:val="003477B1"/>
    <w:rsid w:val="003478E4"/>
    <w:rsid w:val="003479F3"/>
    <w:rsid w:val="00347C8E"/>
    <w:rsid w:val="00347DB6"/>
    <w:rsid w:val="00347E7F"/>
    <w:rsid w:val="0035020E"/>
    <w:rsid w:val="0035047F"/>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3FCE"/>
    <w:rsid w:val="003545E7"/>
    <w:rsid w:val="00354F66"/>
    <w:rsid w:val="0035511B"/>
    <w:rsid w:val="00356081"/>
    <w:rsid w:val="00356DCA"/>
    <w:rsid w:val="00357380"/>
    <w:rsid w:val="00357B89"/>
    <w:rsid w:val="00357F10"/>
    <w:rsid w:val="00360259"/>
    <w:rsid w:val="003602D9"/>
    <w:rsid w:val="00361055"/>
    <w:rsid w:val="00361261"/>
    <w:rsid w:val="003616AD"/>
    <w:rsid w:val="00361E8C"/>
    <w:rsid w:val="003626B8"/>
    <w:rsid w:val="00362DD3"/>
    <w:rsid w:val="00362F2B"/>
    <w:rsid w:val="00362F2C"/>
    <w:rsid w:val="00363773"/>
    <w:rsid w:val="00363D8E"/>
    <w:rsid w:val="00364274"/>
    <w:rsid w:val="003649A8"/>
    <w:rsid w:val="00364B23"/>
    <w:rsid w:val="00364BF8"/>
    <w:rsid w:val="00364E62"/>
    <w:rsid w:val="00364F51"/>
    <w:rsid w:val="00365071"/>
    <w:rsid w:val="00365342"/>
    <w:rsid w:val="0036558A"/>
    <w:rsid w:val="00365611"/>
    <w:rsid w:val="003659DD"/>
    <w:rsid w:val="00365A4B"/>
    <w:rsid w:val="00365A67"/>
    <w:rsid w:val="00365BF7"/>
    <w:rsid w:val="00365ED8"/>
    <w:rsid w:val="00366A27"/>
    <w:rsid w:val="00366A3C"/>
    <w:rsid w:val="00366E87"/>
    <w:rsid w:val="00366F6A"/>
    <w:rsid w:val="0036722D"/>
    <w:rsid w:val="003673AE"/>
    <w:rsid w:val="00367632"/>
    <w:rsid w:val="00367B02"/>
    <w:rsid w:val="00367E4A"/>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ADE"/>
    <w:rsid w:val="00374F8B"/>
    <w:rsid w:val="00375278"/>
    <w:rsid w:val="00375359"/>
    <w:rsid w:val="00375719"/>
    <w:rsid w:val="0037673C"/>
    <w:rsid w:val="003768AA"/>
    <w:rsid w:val="00376B0A"/>
    <w:rsid w:val="00376C8E"/>
    <w:rsid w:val="003770EB"/>
    <w:rsid w:val="0037719F"/>
    <w:rsid w:val="00377CE1"/>
    <w:rsid w:val="00377DD1"/>
    <w:rsid w:val="003801B6"/>
    <w:rsid w:val="00380D1A"/>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8799C"/>
    <w:rsid w:val="003901FC"/>
    <w:rsid w:val="003906EB"/>
    <w:rsid w:val="003913DB"/>
    <w:rsid w:val="00391638"/>
    <w:rsid w:val="00391696"/>
    <w:rsid w:val="003918D0"/>
    <w:rsid w:val="00391F3D"/>
    <w:rsid w:val="003920C4"/>
    <w:rsid w:val="00392225"/>
    <w:rsid w:val="00392517"/>
    <w:rsid w:val="00392777"/>
    <w:rsid w:val="003927B8"/>
    <w:rsid w:val="0039299C"/>
    <w:rsid w:val="00392D70"/>
    <w:rsid w:val="00393702"/>
    <w:rsid w:val="003939FF"/>
    <w:rsid w:val="00393D28"/>
    <w:rsid w:val="00393FE3"/>
    <w:rsid w:val="0039424D"/>
    <w:rsid w:val="003944FB"/>
    <w:rsid w:val="00394549"/>
    <w:rsid w:val="003946B1"/>
    <w:rsid w:val="00394CB9"/>
    <w:rsid w:val="00394D8D"/>
    <w:rsid w:val="0039520F"/>
    <w:rsid w:val="0039565E"/>
    <w:rsid w:val="0039582E"/>
    <w:rsid w:val="00395948"/>
    <w:rsid w:val="00395CF1"/>
    <w:rsid w:val="00395F42"/>
    <w:rsid w:val="003964B5"/>
    <w:rsid w:val="003967CC"/>
    <w:rsid w:val="00396C06"/>
    <w:rsid w:val="00396C15"/>
    <w:rsid w:val="00396D1D"/>
    <w:rsid w:val="00397568"/>
    <w:rsid w:val="003976A0"/>
    <w:rsid w:val="003977C5"/>
    <w:rsid w:val="00397827"/>
    <w:rsid w:val="003978A8"/>
    <w:rsid w:val="00397B1B"/>
    <w:rsid w:val="003A0DAE"/>
    <w:rsid w:val="003A0E95"/>
    <w:rsid w:val="003A21A8"/>
    <w:rsid w:val="003A2207"/>
    <w:rsid w:val="003A221A"/>
    <w:rsid w:val="003A2223"/>
    <w:rsid w:val="003A2A0F"/>
    <w:rsid w:val="003A2DBF"/>
    <w:rsid w:val="003A2DD7"/>
    <w:rsid w:val="003A3994"/>
    <w:rsid w:val="003A3AD5"/>
    <w:rsid w:val="003A43FC"/>
    <w:rsid w:val="003A45A1"/>
    <w:rsid w:val="003A4C90"/>
    <w:rsid w:val="003A4EBD"/>
    <w:rsid w:val="003A4F81"/>
    <w:rsid w:val="003A5124"/>
    <w:rsid w:val="003A5669"/>
    <w:rsid w:val="003A5697"/>
    <w:rsid w:val="003A5B0A"/>
    <w:rsid w:val="003A5C85"/>
    <w:rsid w:val="003A5E2E"/>
    <w:rsid w:val="003A5EA3"/>
    <w:rsid w:val="003A5F02"/>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1A3"/>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A90"/>
    <w:rsid w:val="003B4EB4"/>
    <w:rsid w:val="003B53CC"/>
    <w:rsid w:val="003B5AE4"/>
    <w:rsid w:val="003B5DF1"/>
    <w:rsid w:val="003B670B"/>
    <w:rsid w:val="003B6931"/>
    <w:rsid w:val="003B69AA"/>
    <w:rsid w:val="003B69E0"/>
    <w:rsid w:val="003B6A34"/>
    <w:rsid w:val="003B6F9D"/>
    <w:rsid w:val="003B72C3"/>
    <w:rsid w:val="003B78B3"/>
    <w:rsid w:val="003B795B"/>
    <w:rsid w:val="003B7AB2"/>
    <w:rsid w:val="003B7AC3"/>
    <w:rsid w:val="003B7FE5"/>
    <w:rsid w:val="003C01C0"/>
    <w:rsid w:val="003C055D"/>
    <w:rsid w:val="003C077F"/>
    <w:rsid w:val="003C0D50"/>
    <w:rsid w:val="003C0D6D"/>
    <w:rsid w:val="003C11C8"/>
    <w:rsid w:val="003C12B9"/>
    <w:rsid w:val="003C179A"/>
    <w:rsid w:val="003C1955"/>
    <w:rsid w:val="003C1CA4"/>
    <w:rsid w:val="003C1DE1"/>
    <w:rsid w:val="003C2060"/>
    <w:rsid w:val="003C2097"/>
    <w:rsid w:val="003C20EE"/>
    <w:rsid w:val="003C22BF"/>
    <w:rsid w:val="003C2702"/>
    <w:rsid w:val="003C2907"/>
    <w:rsid w:val="003C3076"/>
    <w:rsid w:val="003C3107"/>
    <w:rsid w:val="003C359F"/>
    <w:rsid w:val="003C373C"/>
    <w:rsid w:val="003C3943"/>
    <w:rsid w:val="003C3A59"/>
    <w:rsid w:val="003C3AFA"/>
    <w:rsid w:val="003C3E39"/>
    <w:rsid w:val="003C3FC4"/>
    <w:rsid w:val="003C424F"/>
    <w:rsid w:val="003C4FFF"/>
    <w:rsid w:val="003C5378"/>
    <w:rsid w:val="003C5E41"/>
    <w:rsid w:val="003C62E9"/>
    <w:rsid w:val="003C62ED"/>
    <w:rsid w:val="003C639E"/>
    <w:rsid w:val="003C6C78"/>
    <w:rsid w:val="003C6D1B"/>
    <w:rsid w:val="003C6E0C"/>
    <w:rsid w:val="003C6E7D"/>
    <w:rsid w:val="003C733E"/>
    <w:rsid w:val="003C7806"/>
    <w:rsid w:val="003C7DF8"/>
    <w:rsid w:val="003C7F84"/>
    <w:rsid w:val="003D109F"/>
    <w:rsid w:val="003D1251"/>
    <w:rsid w:val="003D1288"/>
    <w:rsid w:val="003D15B3"/>
    <w:rsid w:val="003D1BD1"/>
    <w:rsid w:val="003D1D27"/>
    <w:rsid w:val="003D2478"/>
    <w:rsid w:val="003D2DB4"/>
    <w:rsid w:val="003D2E24"/>
    <w:rsid w:val="003D2FDA"/>
    <w:rsid w:val="003D3566"/>
    <w:rsid w:val="003D3577"/>
    <w:rsid w:val="003D366E"/>
    <w:rsid w:val="003D407C"/>
    <w:rsid w:val="003D41C3"/>
    <w:rsid w:val="003D4835"/>
    <w:rsid w:val="003D5634"/>
    <w:rsid w:val="003D5831"/>
    <w:rsid w:val="003D5B1F"/>
    <w:rsid w:val="003D6122"/>
    <w:rsid w:val="003D6509"/>
    <w:rsid w:val="003D65C0"/>
    <w:rsid w:val="003D6649"/>
    <w:rsid w:val="003D6E2E"/>
    <w:rsid w:val="003D7146"/>
    <w:rsid w:val="003D7917"/>
    <w:rsid w:val="003D7999"/>
    <w:rsid w:val="003D79E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C3A"/>
    <w:rsid w:val="003E2DEA"/>
    <w:rsid w:val="003E3483"/>
    <w:rsid w:val="003E3A77"/>
    <w:rsid w:val="003E3DD1"/>
    <w:rsid w:val="003E42D2"/>
    <w:rsid w:val="003E4493"/>
    <w:rsid w:val="003E45B0"/>
    <w:rsid w:val="003E46C7"/>
    <w:rsid w:val="003E4768"/>
    <w:rsid w:val="003E4789"/>
    <w:rsid w:val="003E517D"/>
    <w:rsid w:val="003E54E7"/>
    <w:rsid w:val="003E55E4"/>
    <w:rsid w:val="003E57E9"/>
    <w:rsid w:val="003E5B3A"/>
    <w:rsid w:val="003E5C81"/>
    <w:rsid w:val="003E5CCD"/>
    <w:rsid w:val="003E607B"/>
    <w:rsid w:val="003E64AD"/>
    <w:rsid w:val="003E7090"/>
    <w:rsid w:val="003E7230"/>
    <w:rsid w:val="003E74E3"/>
    <w:rsid w:val="003E7676"/>
    <w:rsid w:val="003E78B3"/>
    <w:rsid w:val="003F0329"/>
    <w:rsid w:val="003F05C7"/>
    <w:rsid w:val="003F077A"/>
    <w:rsid w:val="003F09E0"/>
    <w:rsid w:val="003F0B72"/>
    <w:rsid w:val="003F0D9D"/>
    <w:rsid w:val="003F17D5"/>
    <w:rsid w:val="003F1D3F"/>
    <w:rsid w:val="003F20BC"/>
    <w:rsid w:val="003F24A2"/>
    <w:rsid w:val="003F25D5"/>
    <w:rsid w:val="003F28C0"/>
    <w:rsid w:val="003F2CD4"/>
    <w:rsid w:val="003F370E"/>
    <w:rsid w:val="003F3B86"/>
    <w:rsid w:val="003F4036"/>
    <w:rsid w:val="003F43EB"/>
    <w:rsid w:val="003F4A38"/>
    <w:rsid w:val="003F4A65"/>
    <w:rsid w:val="003F4DD1"/>
    <w:rsid w:val="003F4FDC"/>
    <w:rsid w:val="003F5268"/>
    <w:rsid w:val="003F56A3"/>
    <w:rsid w:val="003F56D3"/>
    <w:rsid w:val="003F5B82"/>
    <w:rsid w:val="003F5CA0"/>
    <w:rsid w:val="003F5DCE"/>
    <w:rsid w:val="003F6392"/>
    <w:rsid w:val="003F6583"/>
    <w:rsid w:val="003F6BBE"/>
    <w:rsid w:val="003F77C3"/>
    <w:rsid w:val="003F77C8"/>
    <w:rsid w:val="004000E8"/>
    <w:rsid w:val="00400296"/>
    <w:rsid w:val="004008B0"/>
    <w:rsid w:val="00401229"/>
    <w:rsid w:val="00402353"/>
    <w:rsid w:val="0040255D"/>
    <w:rsid w:val="004028A6"/>
    <w:rsid w:val="00402E2B"/>
    <w:rsid w:val="00403293"/>
    <w:rsid w:val="00403745"/>
    <w:rsid w:val="00403C08"/>
    <w:rsid w:val="004040C0"/>
    <w:rsid w:val="00404D7B"/>
    <w:rsid w:val="0040512B"/>
    <w:rsid w:val="00405CA5"/>
    <w:rsid w:val="00405E9B"/>
    <w:rsid w:val="00406147"/>
    <w:rsid w:val="00406620"/>
    <w:rsid w:val="0040664A"/>
    <w:rsid w:val="004066FF"/>
    <w:rsid w:val="00406856"/>
    <w:rsid w:val="00406A49"/>
    <w:rsid w:val="00406BA2"/>
    <w:rsid w:val="00406C60"/>
    <w:rsid w:val="00406D09"/>
    <w:rsid w:val="00407A37"/>
    <w:rsid w:val="00407BDA"/>
    <w:rsid w:val="00407C29"/>
    <w:rsid w:val="00407CD3"/>
    <w:rsid w:val="00410134"/>
    <w:rsid w:val="0041078A"/>
    <w:rsid w:val="00410978"/>
    <w:rsid w:val="00410B4D"/>
    <w:rsid w:val="00410B72"/>
    <w:rsid w:val="00410C9B"/>
    <w:rsid w:val="00410F18"/>
    <w:rsid w:val="00411691"/>
    <w:rsid w:val="00411B1A"/>
    <w:rsid w:val="00411CBB"/>
    <w:rsid w:val="004120F8"/>
    <w:rsid w:val="0041258E"/>
    <w:rsid w:val="0041259A"/>
    <w:rsid w:val="0041263E"/>
    <w:rsid w:val="004128DF"/>
    <w:rsid w:val="00412923"/>
    <w:rsid w:val="00413604"/>
    <w:rsid w:val="00413830"/>
    <w:rsid w:val="0041384A"/>
    <w:rsid w:val="00413AAC"/>
    <w:rsid w:val="00413AC6"/>
    <w:rsid w:val="0041407A"/>
    <w:rsid w:val="00414AB1"/>
    <w:rsid w:val="00414C64"/>
    <w:rsid w:val="00415426"/>
    <w:rsid w:val="00415705"/>
    <w:rsid w:val="00415A1B"/>
    <w:rsid w:val="00415E8A"/>
    <w:rsid w:val="00415EB0"/>
    <w:rsid w:val="0041675E"/>
    <w:rsid w:val="00416DDF"/>
    <w:rsid w:val="00416EC3"/>
    <w:rsid w:val="0041704D"/>
    <w:rsid w:val="00417355"/>
    <w:rsid w:val="00420230"/>
    <w:rsid w:val="00420A08"/>
    <w:rsid w:val="00420A99"/>
    <w:rsid w:val="00421105"/>
    <w:rsid w:val="0042160A"/>
    <w:rsid w:val="00421616"/>
    <w:rsid w:val="0042167F"/>
    <w:rsid w:val="00421AA4"/>
    <w:rsid w:val="00421BC6"/>
    <w:rsid w:val="00421F66"/>
    <w:rsid w:val="004220B4"/>
    <w:rsid w:val="00422282"/>
    <w:rsid w:val="00422C60"/>
    <w:rsid w:val="00422D12"/>
    <w:rsid w:val="004232F5"/>
    <w:rsid w:val="004234DB"/>
    <w:rsid w:val="004234E7"/>
    <w:rsid w:val="0042399A"/>
    <w:rsid w:val="00423A90"/>
    <w:rsid w:val="0042401D"/>
    <w:rsid w:val="004241A0"/>
    <w:rsid w:val="004242F4"/>
    <w:rsid w:val="00424A05"/>
    <w:rsid w:val="00424AF7"/>
    <w:rsid w:val="004251E3"/>
    <w:rsid w:val="00425A2C"/>
    <w:rsid w:val="00425A2E"/>
    <w:rsid w:val="00425B5D"/>
    <w:rsid w:val="00425B68"/>
    <w:rsid w:val="00425ED8"/>
    <w:rsid w:val="0042614B"/>
    <w:rsid w:val="004263C9"/>
    <w:rsid w:val="00426910"/>
    <w:rsid w:val="00426A23"/>
    <w:rsid w:val="00426ADD"/>
    <w:rsid w:val="00426AE4"/>
    <w:rsid w:val="00426C43"/>
    <w:rsid w:val="00427248"/>
    <w:rsid w:val="004273B5"/>
    <w:rsid w:val="0042765B"/>
    <w:rsid w:val="004276E9"/>
    <w:rsid w:val="00427772"/>
    <w:rsid w:val="00430599"/>
    <w:rsid w:val="00430DA0"/>
    <w:rsid w:val="004319AA"/>
    <w:rsid w:val="00431A9F"/>
    <w:rsid w:val="00431DD9"/>
    <w:rsid w:val="004328D6"/>
    <w:rsid w:val="0043296D"/>
    <w:rsid w:val="0043299F"/>
    <w:rsid w:val="004329AF"/>
    <w:rsid w:val="00432F6D"/>
    <w:rsid w:val="00432F94"/>
    <w:rsid w:val="004330AA"/>
    <w:rsid w:val="00433436"/>
    <w:rsid w:val="00433752"/>
    <w:rsid w:val="00433B5E"/>
    <w:rsid w:val="00433CB2"/>
    <w:rsid w:val="004345C8"/>
    <w:rsid w:val="0043473D"/>
    <w:rsid w:val="00434B84"/>
    <w:rsid w:val="00434E58"/>
    <w:rsid w:val="00434ED0"/>
    <w:rsid w:val="00435A16"/>
    <w:rsid w:val="00435BC9"/>
    <w:rsid w:val="00436047"/>
    <w:rsid w:val="00436610"/>
    <w:rsid w:val="004371FB"/>
    <w:rsid w:val="00437447"/>
    <w:rsid w:val="0043758F"/>
    <w:rsid w:val="00437748"/>
    <w:rsid w:val="004377FB"/>
    <w:rsid w:val="0043787B"/>
    <w:rsid w:val="00437E7B"/>
    <w:rsid w:val="00437F6D"/>
    <w:rsid w:val="004407C2"/>
    <w:rsid w:val="00440C67"/>
    <w:rsid w:val="004410B9"/>
    <w:rsid w:val="0044145A"/>
    <w:rsid w:val="00441829"/>
    <w:rsid w:val="00441A92"/>
    <w:rsid w:val="00441FDA"/>
    <w:rsid w:val="00442587"/>
    <w:rsid w:val="004426A0"/>
    <w:rsid w:val="004427DC"/>
    <w:rsid w:val="00442A5F"/>
    <w:rsid w:val="00443474"/>
    <w:rsid w:val="00443A6F"/>
    <w:rsid w:val="00443C63"/>
    <w:rsid w:val="0044471A"/>
    <w:rsid w:val="00444B1D"/>
    <w:rsid w:val="00444F56"/>
    <w:rsid w:val="004452C3"/>
    <w:rsid w:val="00445530"/>
    <w:rsid w:val="00445828"/>
    <w:rsid w:val="004459C8"/>
    <w:rsid w:val="00445EC9"/>
    <w:rsid w:val="00446123"/>
    <w:rsid w:val="004462E3"/>
    <w:rsid w:val="00446488"/>
    <w:rsid w:val="004464E0"/>
    <w:rsid w:val="00446A99"/>
    <w:rsid w:val="0044705A"/>
    <w:rsid w:val="004475BC"/>
    <w:rsid w:val="0044795D"/>
    <w:rsid w:val="00447BC3"/>
    <w:rsid w:val="00447CC9"/>
    <w:rsid w:val="00450214"/>
    <w:rsid w:val="00450677"/>
    <w:rsid w:val="00450869"/>
    <w:rsid w:val="00450C8A"/>
    <w:rsid w:val="00450E98"/>
    <w:rsid w:val="00451253"/>
    <w:rsid w:val="004515D3"/>
    <w:rsid w:val="004517AA"/>
    <w:rsid w:val="00452864"/>
    <w:rsid w:val="00452CAC"/>
    <w:rsid w:val="0045334A"/>
    <w:rsid w:val="00453980"/>
    <w:rsid w:val="004545AE"/>
    <w:rsid w:val="004545FB"/>
    <w:rsid w:val="00454D49"/>
    <w:rsid w:val="004555E3"/>
    <w:rsid w:val="0045566F"/>
    <w:rsid w:val="004559DC"/>
    <w:rsid w:val="00455D0D"/>
    <w:rsid w:val="00455E5B"/>
    <w:rsid w:val="00455F58"/>
    <w:rsid w:val="0045606C"/>
    <w:rsid w:val="0045630F"/>
    <w:rsid w:val="00456425"/>
    <w:rsid w:val="00456753"/>
    <w:rsid w:val="00456D12"/>
    <w:rsid w:val="004571DE"/>
    <w:rsid w:val="00457565"/>
    <w:rsid w:val="00457903"/>
    <w:rsid w:val="00457B71"/>
    <w:rsid w:val="00460B63"/>
    <w:rsid w:val="00460D15"/>
    <w:rsid w:val="00460DE1"/>
    <w:rsid w:val="00460E56"/>
    <w:rsid w:val="00461301"/>
    <w:rsid w:val="004616E7"/>
    <w:rsid w:val="004617C1"/>
    <w:rsid w:val="00461892"/>
    <w:rsid w:val="00461FEE"/>
    <w:rsid w:val="00462C2A"/>
    <w:rsid w:val="00462C36"/>
    <w:rsid w:val="00462CDC"/>
    <w:rsid w:val="004633B5"/>
    <w:rsid w:val="0046357C"/>
    <w:rsid w:val="00464147"/>
    <w:rsid w:val="0046416D"/>
    <w:rsid w:val="004645BE"/>
    <w:rsid w:val="0046493F"/>
    <w:rsid w:val="0046589A"/>
    <w:rsid w:val="00465AB9"/>
    <w:rsid w:val="00465E93"/>
    <w:rsid w:val="004661B2"/>
    <w:rsid w:val="00466427"/>
    <w:rsid w:val="004669E2"/>
    <w:rsid w:val="00466C39"/>
    <w:rsid w:val="00466D07"/>
    <w:rsid w:val="00466F5E"/>
    <w:rsid w:val="00466FFC"/>
    <w:rsid w:val="00470299"/>
    <w:rsid w:val="00470334"/>
    <w:rsid w:val="00470B4B"/>
    <w:rsid w:val="00470C2E"/>
    <w:rsid w:val="00470C31"/>
    <w:rsid w:val="0047209E"/>
    <w:rsid w:val="0047271B"/>
    <w:rsid w:val="004729E3"/>
    <w:rsid w:val="00472B93"/>
    <w:rsid w:val="00472CF7"/>
    <w:rsid w:val="00472D27"/>
    <w:rsid w:val="00472FB6"/>
    <w:rsid w:val="0047336E"/>
    <w:rsid w:val="004734D0"/>
    <w:rsid w:val="00473BE8"/>
    <w:rsid w:val="00473DCE"/>
    <w:rsid w:val="0047400F"/>
    <w:rsid w:val="00474ED0"/>
    <w:rsid w:val="00474EE5"/>
    <w:rsid w:val="004751F6"/>
    <w:rsid w:val="004754CD"/>
    <w:rsid w:val="004754DA"/>
    <w:rsid w:val="0047556B"/>
    <w:rsid w:val="004755E0"/>
    <w:rsid w:val="004759C4"/>
    <w:rsid w:val="004762BF"/>
    <w:rsid w:val="00476675"/>
    <w:rsid w:val="0047683A"/>
    <w:rsid w:val="004769C7"/>
    <w:rsid w:val="00476AA1"/>
    <w:rsid w:val="00477493"/>
    <w:rsid w:val="0047758E"/>
    <w:rsid w:val="00477768"/>
    <w:rsid w:val="0047789C"/>
    <w:rsid w:val="004804AB"/>
    <w:rsid w:val="0048061C"/>
    <w:rsid w:val="004809D3"/>
    <w:rsid w:val="004809E0"/>
    <w:rsid w:val="00480E5D"/>
    <w:rsid w:val="00481203"/>
    <w:rsid w:val="004815FD"/>
    <w:rsid w:val="00481705"/>
    <w:rsid w:val="00481DE7"/>
    <w:rsid w:val="00481FB4"/>
    <w:rsid w:val="004824F0"/>
    <w:rsid w:val="0048266F"/>
    <w:rsid w:val="00482695"/>
    <w:rsid w:val="0048272D"/>
    <w:rsid w:val="00482780"/>
    <w:rsid w:val="00482AB6"/>
    <w:rsid w:val="00482B88"/>
    <w:rsid w:val="00482C3A"/>
    <w:rsid w:val="00482CA3"/>
    <w:rsid w:val="00482EA2"/>
    <w:rsid w:val="0048363F"/>
    <w:rsid w:val="00483C73"/>
    <w:rsid w:val="00483EFF"/>
    <w:rsid w:val="004842C3"/>
    <w:rsid w:val="004842F0"/>
    <w:rsid w:val="004843FA"/>
    <w:rsid w:val="00484787"/>
    <w:rsid w:val="004848F7"/>
    <w:rsid w:val="004850B4"/>
    <w:rsid w:val="004852CF"/>
    <w:rsid w:val="0048579F"/>
    <w:rsid w:val="00485B50"/>
    <w:rsid w:val="0048634B"/>
    <w:rsid w:val="00486739"/>
    <w:rsid w:val="00486944"/>
    <w:rsid w:val="00486B2E"/>
    <w:rsid w:val="00487362"/>
    <w:rsid w:val="00487711"/>
    <w:rsid w:val="00490025"/>
    <w:rsid w:val="00490684"/>
    <w:rsid w:val="00490A40"/>
    <w:rsid w:val="00490B24"/>
    <w:rsid w:val="00490BA0"/>
    <w:rsid w:val="00490C6F"/>
    <w:rsid w:val="00491816"/>
    <w:rsid w:val="00491A9E"/>
    <w:rsid w:val="00491B36"/>
    <w:rsid w:val="0049239A"/>
    <w:rsid w:val="00492BC5"/>
    <w:rsid w:val="00492E72"/>
    <w:rsid w:val="00492F1B"/>
    <w:rsid w:val="00493240"/>
    <w:rsid w:val="004939C9"/>
    <w:rsid w:val="0049447B"/>
    <w:rsid w:val="00494642"/>
    <w:rsid w:val="00494D21"/>
    <w:rsid w:val="00494F0A"/>
    <w:rsid w:val="00495043"/>
    <w:rsid w:val="0049521C"/>
    <w:rsid w:val="00495B69"/>
    <w:rsid w:val="00496164"/>
    <w:rsid w:val="00496498"/>
    <w:rsid w:val="004964F1"/>
    <w:rsid w:val="00496556"/>
    <w:rsid w:val="00496748"/>
    <w:rsid w:val="00496E03"/>
    <w:rsid w:val="00496FBF"/>
    <w:rsid w:val="0049704C"/>
    <w:rsid w:val="00497314"/>
    <w:rsid w:val="004974EB"/>
    <w:rsid w:val="00497932"/>
    <w:rsid w:val="00497C80"/>
    <w:rsid w:val="004A0373"/>
    <w:rsid w:val="004A059A"/>
    <w:rsid w:val="004A1384"/>
    <w:rsid w:val="004A1610"/>
    <w:rsid w:val="004A16BC"/>
    <w:rsid w:val="004A27DF"/>
    <w:rsid w:val="004A2A96"/>
    <w:rsid w:val="004A2B94"/>
    <w:rsid w:val="004A2D47"/>
    <w:rsid w:val="004A3A69"/>
    <w:rsid w:val="004A41F2"/>
    <w:rsid w:val="004A4A51"/>
    <w:rsid w:val="004A4AE6"/>
    <w:rsid w:val="004A4B81"/>
    <w:rsid w:val="004A4D69"/>
    <w:rsid w:val="004A5256"/>
    <w:rsid w:val="004A5392"/>
    <w:rsid w:val="004A55AF"/>
    <w:rsid w:val="004A574C"/>
    <w:rsid w:val="004A58C5"/>
    <w:rsid w:val="004A5BD8"/>
    <w:rsid w:val="004A5D77"/>
    <w:rsid w:val="004A60C7"/>
    <w:rsid w:val="004A614C"/>
    <w:rsid w:val="004A6A51"/>
    <w:rsid w:val="004A6E1B"/>
    <w:rsid w:val="004A75FE"/>
    <w:rsid w:val="004A7614"/>
    <w:rsid w:val="004A7D0F"/>
    <w:rsid w:val="004B0802"/>
    <w:rsid w:val="004B0840"/>
    <w:rsid w:val="004B0924"/>
    <w:rsid w:val="004B09DB"/>
    <w:rsid w:val="004B0BE0"/>
    <w:rsid w:val="004B0FC6"/>
    <w:rsid w:val="004B1049"/>
    <w:rsid w:val="004B13F6"/>
    <w:rsid w:val="004B1CFE"/>
    <w:rsid w:val="004B1DB8"/>
    <w:rsid w:val="004B208D"/>
    <w:rsid w:val="004B22D6"/>
    <w:rsid w:val="004B2532"/>
    <w:rsid w:val="004B2F6C"/>
    <w:rsid w:val="004B39A5"/>
    <w:rsid w:val="004B3B1F"/>
    <w:rsid w:val="004B3EA4"/>
    <w:rsid w:val="004B4245"/>
    <w:rsid w:val="004B4459"/>
    <w:rsid w:val="004B44CE"/>
    <w:rsid w:val="004B4593"/>
    <w:rsid w:val="004B5776"/>
    <w:rsid w:val="004B5D51"/>
    <w:rsid w:val="004B6060"/>
    <w:rsid w:val="004B6270"/>
    <w:rsid w:val="004B6678"/>
    <w:rsid w:val="004B711D"/>
    <w:rsid w:val="004B74DE"/>
    <w:rsid w:val="004B74E1"/>
    <w:rsid w:val="004B7C0C"/>
    <w:rsid w:val="004B7EB4"/>
    <w:rsid w:val="004C0C9D"/>
    <w:rsid w:val="004C0FBC"/>
    <w:rsid w:val="004C11D2"/>
    <w:rsid w:val="004C1260"/>
    <w:rsid w:val="004C1513"/>
    <w:rsid w:val="004C15A5"/>
    <w:rsid w:val="004C1E01"/>
    <w:rsid w:val="004C23B1"/>
    <w:rsid w:val="004C23BA"/>
    <w:rsid w:val="004C2B74"/>
    <w:rsid w:val="004C2B95"/>
    <w:rsid w:val="004C3147"/>
    <w:rsid w:val="004C3216"/>
    <w:rsid w:val="004C3898"/>
    <w:rsid w:val="004C3B35"/>
    <w:rsid w:val="004C3C55"/>
    <w:rsid w:val="004C44C3"/>
    <w:rsid w:val="004C4662"/>
    <w:rsid w:val="004C4E19"/>
    <w:rsid w:val="004C59C3"/>
    <w:rsid w:val="004C5EE9"/>
    <w:rsid w:val="004C5EF7"/>
    <w:rsid w:val="004C68C2"/>
    <w:rsid w:val="004C6A7A"/>
    <w:rsid w:val="004C6B51"/>
    <w:rsid w:val="004C6D2F"/>
    <w:rsid w:val="004C6D4F"/>
    <w:rsid w:val="004C6E36"/>
    <w:rsid w:val="004C6ED8"/>
    <w:rsid w:val="004C72BF"/>
    <w:rsid w:val="004C77F7"/>
    <w:rsid w:val="004C7C2D"/>
    <w:rsid w:val="004D023B"/>
    <w:rsid w:val="004D04B9"/>
    <w:rsid w:val="004D06BB"/>
    <w:rsid w:val="004D18C0"/>
    <w:rsid w:val="004D2254"/>
    <w:rsid w:val="004D22B0"/>
    <w:rsid w:val="004D240F"/>
    <w:rsid w:val="004D296C"/>
    <w:rsid w:val="004D36B1"/>
    <w:rsid w:val="004D3C15"/>
    <w:rsid w:val="004D3F2F"/>
    <w:rsid w:val="004D4467"/>
    <w:rsid w:val="004D4DCE"/>
    <w:rsid w:val="004D4DFC"/>
    <w:rsid w:val="004D50C4"/>
    <w:rsid w:val="004D5318"/>
    <w:rsid w:val="004D594B"/>
    <w:rsid w:val="004D6C54"/>
    <w:rsid w:val="004D6E88"/>
    <w:rsid w:val="004D7904"/>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93B"/>
    <w:rsid w:val="004E3A04"/>
    <w:rsid w:val="004E3B14"/>
    <w:rsid w:val="004E3BAF"/>
    <w:rsid w:val="004E3BC9"/>
    <w:rsid w:val="004E45AE"/>
    <w:rsid w:val="004E462E"/>
    <w:rsid w:val="004E4BB9"/>
    <w:rsid w:val="004E52CC"/>
    <w:rsid w:val="004E53C7"/>
    <w:rsid w:val="004E56DC"/>
    <w:rsid w:val="004E579C"/>
    <w:rsid w:val="004E5B49"/>
    <w:rsid w:val="004E5F91"/>
    <w:rsid w:val="004E6C03"/>
    <w:rsid w:val="004E6CC9"/>
    <w:rsid w:val="004E76F4"/>
    <w:rsid w:val="004E76F9"/>
    <w:rsid w:val="004E7873"/>
    <w:rsid w:val="004E7EB2"/>
    <w:rsid w:val="004F03B1"/>
    <w:rsid w:val="004F0445"/>
    <w:rsid w:val="004F0A81"/>
    <w:rsid w:val="004F0B19"/>
    <w:rsid w:val="004F0B6C"/>
    <w:rsid w:val="004F120D"/>
    <w:rsid w:val="004F147D"/>
    <w:rsid w:val="004F16DF"/>
    <w:rsid w:val="004F178F"/>
    <w:rsid w:val="004F19EB"/>
    <w:rsid w:val="004F2078"/>
    <w:rsid w:val="004F25CC"/>
    <w:rsid w:val="004F267A"/>
    <w:rsid w:val="004F277D"/>
    <w:rsid w:val="004F2796"/>
    <w:rsid w:val="004F27C9"/>
    <w:rsid w:val="004F27D0"/>
    <w:rsid w:val="004F30B7"/>
    <w:rsid w:val="004F3B21"/>
    <w:rsid w:val="004F3F02"/>
    <w:rsid w:val="004F4A8C"/>
    <w:rsid w:val="004F4B84"/>
    <w:rsid w:val="004F4BA4"/>
    <w:rsid w:val="004F4DA3"/>
    <w:rsid w:val="004F53E9"/>
    <w:rsid w:val="004F588D"/>
    <w:rsid w:val="004F5C8A"/>
    <w:rsid w:val="004F5FE4"/>
    <w:rsid w:val="004F631B"/>
    <w:rsid w:val="004F6322"/>
    <w:rsid w:val="004F6524"/>
    <w:rsid w:val="004F659D"/>
    <w:rsid w:val="004F66A7"/>
    <w:rsid w:val="004F698C"/>
    <w:rsid w:val="004F71F7"/>
    <w:rsid w:val="004F735E"/>
    <w:rsid w:val="004F7840"/>
    <w:rsid w:val="004F7A65"/>
    <w:rsid w:val="0050095C"/>
    <w:rsid w:val="00500B52"/>
    <w:rsid w:val="005011FB"/>
    <w:rsid w:val="00501AF6"/>
    <w:rsid w:val="00501D75"/>
    <w:rsid w:val="005021C7"/>
    <w:rsid w:val="0050268E"/>
    <w:rsid w:val="00502713"/>
    <w:rsid w:val="0050318E"/>
    <w:rsid w:val="00503877"/>
    <w:rsid w:val="00503EB6"/>
    <w:rsid w:val="00504426"/>
    <w:rsid w:val="00504512"/>
    <w:rsid w:val="00504551"/>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499"/>
    <w:rsid w:val="005116F9"/>
    <w:rsid w:val="00511AE3"/>
    <w:rsid w:val="00511B0B"/>
    <w:rsid w:val="00511E79"/>
    <w:rsid w:val="00511EA9"/>
    <w:rsid w:val="00512181"/>
    <w:rsid w:val="0051242F"/>
    <w:rsid w:val="0051249C"/>
    <w:rsid w:val="00512688"/>
    <w:rsid w:val="00512811"/>
    <w:rsid w:val="005128BB"/>
    <w:rsid w:val="00513248"/>
    <w:rsid w:val="00514531"/>
    <w:rsid w:val="005146A4"/>
    <w:rsid w:val="005148C7"/>
    <w:rsid w:val="005153A7"/>
    <w:rsid w:val="005158BD"/>
    <w:rsid w:val="0051596D"/>
    <w:rsid w:val="0051632E"/>
    <w:rsid w:val="005165E2"/>
    <w:rsid w:val="00516810"/>
    <w:rsid w:val="00516E54"/>
    <w:rsid w:val="0051769E"/>
    <w:rsid w:val="00517CF4"/>
    <w:rsid w:val="00517EBB"/>
    <w:rsid w:val="00517EDD"/>
    <w:rsid w:val="00517EF9"/>
    <w:rsid w:val="00517FD4"/>
    <w:rsid w:val="0052193B"/>
    <w:rsid w:val="005219CF"/>
    <w:rsid w:val="00521CCC"/>
    <w:rsid w:val="00522016"/>
    <w:rsid w:val="00522170"/>
    <w:rsid w:val="00522857"/>
    <w:rsid w:val="005234AA"/>
    <w:rsid w:val="00524318"/>
    <w:rsid w:val="005246C6"/>
    <w:rsid w:val="005251B0"/>
    <w:rsid w:val="005254EA"/>
    <w:rsid w:val="00525884"/>
    <w:rsid w:val="00525A40"/>
    <w:rsid w:val="005266DD"/>
    <w:rsid w:val="00526A8C"/>
    <w:rsid w:val="00527114"/>
    <w:rsid w:val="00527AD7"/>
    <w:rsid w:val="00527D2F"/>
    <w:rsid w:val="00527D68"/>
    <w:rsid w:val="00527F27"/>
    <w:rsid w:val="00530333"/>
    <w:rsid w:val="0053068B"/>
    <w:rsid w:val="00530A04"/>
    <w:rsid w:val="00530D7E"/>
    <w:rsid w:val="00530F9F"/>
    <w:rsid w:val="00532157"/>
    <w:rsid w:val="00532A25"/>
    <w:rsid w:val="00533C5F"/>
    <w:rsid w:val="00533EC3"/>
    <w:rsid w:val="00534AE0"/>
    <w:rsid w:val="00534B59"/>
    <w:rsid w:val="00534D24"/>
    <w:rsid w:val="00535499"/>
    <w:rsid w:val="00535666"/>
    <w:rsid w:val="00535D30"/>
    <w:rsid w:val="00536083"/>
    <w:rsid w:val="00536759"/>
    <w:rsid w:val="00536ABC"/>
    <w:rsid w:val="00536B29"/>
    <w:rsid w:val="00536B97"/>
    <w:rsid w:val="00536C0D"/>
    <w:rsid w:val="00536DF7"/>
    <w:rsid w:val="00536E14"/>
    <w:rsid w:val="00537C62"/>
    <w:rsid w:val="00537DB8"/>
    <w:rsid w:val="005403A9"/>
    <w:rsid w:val="005408C3"/>
    <w:rsid w:val="00541033"/>
    <w:rsid w:val="005412E7"/>
    <w:rsid w:val="0054189E"/>
    <w:rsid w:val="00541A0E"/>
    <w:rsid w:val="00541CF3"/>
    <w:rsid w:val="0054206F"/>
    <w:rsid w:val="0054246B"/>
    <w:rsid w:val="00542512"/>
    <w:rsid w:val="00542D12"/>
    <w:rsid w:val="0054329B"/>
    <w:rsid w:val="00543B3A"/>
    <w:rsid w:val="00543E1E"/>
    <w:rsid w:val="00543FF5"/>
    <w:rsid w:val="00544026"/>
    <w:rsid w:val="00544480"/>
    <w:rsid w:val="00544751"/>
    <w:rsid w:val="00544AC8"/>
    <w:rsid w:val="00545011"/>
    <w:rsid w:val="005454AE"/>
    <w:rsid w:val="00545796"/>
    <w:rsid w:val="0054634A"/>
    <w:rsid w:val="005464F6"/>
    <w:rsid w:val="005465A6"/>
    <w:rsid w:val="00546970"/>
    <w:rsid w:val="00546D33"/>
    <w:rsid w:val="00546F3E"/>
    <w:rsid w:val="005470E9"/>
    <w:rsid w:val="00547360"/>
    <w:rsid w:val="0054747F"/>
    <w:rsid w:val="00547601"/>
    <w:rsid w:val="00547FF5"/>
    <w:rsid w:val="005504A1"/>
    <w:rsid w:val="00550DB1"/>
    <w:rsid w:val="005516EE"/>
    <w:rsid w:val="00551810"/>
    <w:rsid w:val="00552DC5"/>
    <w:rsid w:val="00553960"/>
    <w:rsid w:val="00554164"/>
    <w:rsid w:val="0055446D"/>
    <w:rsid w:val="00554606"/>
    <w:rsid w:val="005549CC"/>
    <w:rsid w:val="00554D82"/>
    <w:rsid w:val="00554D8B"/>
    <w:rsid w:val="00554E19"/>
    <w:rsid w:val="00555048"/>
    <w:rsid w:val="00555F9F"/>
    <w:rsid w:val="0055688F"/>
    <w:rsid w:val="00556E66"/>
    <w:rsid w:val="005574AF"/>
    <w:rsid w:val="005574BD"/>
    <w:rsid w:val="005577B8"/>
    <w:rsid w:val="005577C0"/>
    <w:rsid w:val="00557E6A"/>
    <w:rsid w:val="00560C31"/>
    <w:rsid w:val="00560F5F"/>
    <w:rsid w:val="0056121F"/>
    <w:rsid w:val="005612B1"/>
    <w:rsid w:val="00563ABE"/>
    <w:rsid w:val="00563BB8"/>
    <w:rsid w:val="00563D67"/>
    <w:rsid w:val="005644B2"/>
    <w:rsid w:val="005647E4"/>
    <w:rsid w:val="00564E91"/>
    <w:rsid w:val="00564FBF"/>
    <w:rsid w:val="00565067"/>
    <w:rsid w:val="00565DED"/>
    <w:rsid w:val="00565E87"/>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2B6D"/>
    <w:rsid w:val="005735CE"/>
    <w:rsid w:val="00573D2B"/>
    <w:rsid w:val="005743DE"/>
    <w:rsid w:val="0057450F"/>
    <w:rsid w:val="00574855"/>
    <w:rsid w:val="005752DA"/>
    <w:rsid w:val="00575FE4"/>
    <w:rsid w:val="005764C7"/>
    <w:rsid w:val="0057660B"/>
    <w:rsid w:val="00576670"/>
    <w:rsid w:val="00576734"/>
    <w:rsid w:val="00576776"/>
    <w:rsid w:val="00576784"/>
    <w:rsid w:val="005768D5"/>
    <w:rsid w:val="005770FD"/>
    <w:rsid w:val="0057762F"/>
    <w:rsid w:val="00577AF9"/>
    <w:rsid w:val="0058054D"/>
    <w:rsid w:val="005807DC"/>
    <w:rsid w:val="0058172D"/>
    <w:rsid w:val="005817C9"/>
    <w:rsid w:val="00582192"/>
    <w:rsid w:val="00582388"/>
    <w:rsid w:val="00582561"/>
    <w:rsid w:val="005825A9"/>
    <w:rsid w:val="00582809"/>
    <w:rsid w:val="00582916"/>
    <w:rsid w:val="00583F52"/>
    <w:rsid w:val="00583F8C"/>
    <w:rsid w:val="00584471"/>
    <w:rsid w:val="005848FF"/>
    <w:rsid w:val="00584BEA"/>
    <w:rsid w:val="00584C8B"/>
    <w:rsid w:val="00584F00"/>
    <w:rsid w:val="00585C6A"/>
    <w:rsid w:val="00585DDD"/>
    <w:rsid w:val="00586023"/>
    <w:rsid w:val="00586222"/>
    <w:rsid w:val="0058638E"/>
    <w:rsid w:val="00586451"/>
    <w:rsid w:val="00586770"/>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4B1F"/>
    <w:rsid w:val="00594E7F"/>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259"/>
    <w:rsid w:val="005A02F4"/>
    <w:rsid w:val="005A03BD"/>
    <w:rsid w:val="005A04F4"/>
    <w:rsid w:val="005A0771"/>
    <w:rsid w:val="005A08A7"/>
    <w:rsid w:val="005A0942"/>
    <w:rsid w:val="005A0DAA"/>
    <w:rsid w:val="005A10ED"/>
    <w:rsid w:val="005A1131"/>
    <w:rsid w:val="005A154E"/>
    <w:rsid w:val="005A162B"/>
    <w:rsid w:val="005A1AB5"/>
    <w:rsid w:val="005A1BAA"/>
    <w:rsid w:val="005A1BCB"/>
    <w:rsid w:val="005A209A"/>
    <w:rsid w:val="005A43DB"/>
    <w:rsid w:val="005A47CD"/>
    <w:rsid w:val="005A4A47"/>
    <w:rsid w:val="005A567A"/>
    <w:rsid w:val="005A5838"/>
    <w:rsid w:val="005A59C6"/>
    <w:rsid w:val="005A5C8F"/>
    <w:rsid w:val="005A6049"/>
    <w:rsid w:val="005A6075"/>
    <w:rsid w:val="005A662D"/>
    <w:rsid w:val="005A6991"/>
    <w:rsid w:val="005A7465"/>
    <w:rsid w:val="005A752F"/>
    <w:rsid w:val="005B0105"/>
    <w:rsid w:val="005B0595"/>
    <w:rsid w:val="005B0BA9"/>
    <w:rsid w:val="005B0E9B"/>
    <w:rsid w:val="005B0EED"/>
    <w:rsid w:val="005B0EF4"/>
    <w:rsid w:val="005B1A18"/>
    <w:rsid w:val="005B20D6"/>
    <w:rsid w:val="005B2538"/>
    <w:rsid w:val="005B35BD"/>
    <w:rsid w:val="005B35D7"/>
    <w:rsid w:val="005B392A"/>
    <w:rsid w:val="005B3AA3"/>
    <w:rsid w:val="005B3B9F"/>
    <w:rsid w:val="005B4074"/>
    <w:rsid w:val="005B41D8"/>
    <w:rsid w:val="005B4B94"/>
    <w:rsid w:val="005B4C4E"/>
    <w:rsid w:val="005B4DCF"/>
    <w:rsid w:val="005B4F4D"/>
    <w:rsid w:val="005B5493"/>
    <w:rsid w:val="005B5511"/>
    <w:rsid w:val="005B576D"/>
    <w:rsid w:val="005B5A45"/>
    <w:rsid w:val="005B5EAF"/>
    <w:rsid w:val="005B6561"/>
    <w:rsid w:val="005B673A"/>
    <w:rsid w:val="005B6972"/>
    <w:rsid w:val="005B6D71"/>
    <w:rsid w:val="005B6F41"/>
    <w:rsid w:val="005B6F83"/>
    <w:rsid w:val="005C0042"/>
    <w:rsid w:val="005C037F"/>
    <w:rsid w:val="005C0634"/>
    <w:rsid w:val="005C071C"/>
    <w:rsid w:val="005C0738"/>
    <w:rsid w:val="005C089D"/>
    <w:rsid w:val="005C0B52"/>
    <w:rsid w:val="005C10B3"/>
    <w:rsid w:val="005C12D7"/>
    <w:rsid w:val="005C19C1"/>
    <w:rsid w:val="005C22B9"/>
    <w:rsid w:val="005C2555"/>
    <w:rsid w:val="005C2626"/>
    <w:rsid w:val="005C2834"/>
    <w:rsid w:val="005C325A"/>
    <w:rsid w:val="005C37F3"/>
    <w:rsid w:val="005C42CB"/>
    <w:rsid w:val="005C433B"/>
    <w:rsid w:val="005C43D1"/>
    <w:rsid w:val="005C618F"/>
    <w:rsid w:val="005C61AC"/>
    <w:rsid w:val="005C63F1"/>
    <w:rsid w:val="005C65B6"/>
    <w:rsid w:val="005C6773"/>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4C31"/>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B8A"/>
    <w:rsid w:val="005E0C50"/>
    <w:rsid w:val="005E0C55"/>
    <w:rsid w:val="005E141A"/>
    <w:rsid w:val="005E18FE"/>
    <w:rsid w:val="005E1D24"/>
    <w:rsid w:val="005E2556"/>
    <w:rsid w:val="005E28C0"/>
    <w:rsid w:val="005E2C9F"/>
    <w:rsid w:val="005E2DCB"/>
    <w:rsid w:val="005E2E16"/>
    <w:rsid w:val="005E33DA"/>
    <w:rsid w:val="005E37E5"/>
    <w:rsid w:val="005E385F"/>
    <w:rsid w:val="005E3E7C"/>
    <w:rsid w:val="005E44E8"/>
    <w:rsid w:val="005E4663"/>
    <w:rsid w:val="005E4FCF"/>
    <w:rsid w:val="005E53B7"/>
    <w:rsid w:val="005E5795"/>
    <w:rsid w:val="005E5853"/>
    <w:rsid w:val="005E5895"/>
    <w:rsid w:val="005E5B81"/>
    <w:rsid w:val="005E5CE9"/>
    <w:rsid w:val="005E631D"/>
    <w:rsid w:val="005E6366"/>
    <w:rsid w:val="005E6492"/>
    <w:rsid w:val="005E6C35"/>
    <w:rsid w:val="005E7122"/>
    <w:rsid w:val="005E7214"/>
    <w:rsid w:val="005E7873"/>
    <w:rsid w:val="005E7F09"/>
    <w:rsid w:val="005F0112"/>
    <w:rsid w:val="005F09EB"/>
    <w:rsid w:val="005F0F85"/>
    <w:rsid w:val="005F1F96"/>
    <w:rsid w:val="005F218E"/>
    <w:rsid w:val="005F2802"/>
    <w:rsid w:val="005F2C9C"/>
    <w:rsid w:val="005F2CB1"/>
    <w:rsid w:val="005F2D31"/>
    <w:rsid w:val="005F31A2"/>
    <w:rsid w:val="005F3D0B"/>
    <w:rsid w:val="005F3E78"/>
    <w:rsid w:val="005F40F1"/>
    <w:rsid w:val="005F4108"/>
    <w:rsid w:val="005F480C"/>
    <w:rsid w:val="005F4F01"/>
    <w:rsid w:val="005F523A"/>
    <w:rsid w:val="005F589E"/>
    <w:rsid w:val="005F5C6B"/>
    <w:rsid w:val="005F5F41"/>
    <w:rsid w:val="005F618C"/>
    <w:rsid w:val="005F643E"/>
    <w:rsid w:val="005F68AB"/>
    <w:rsid w:val="005F70BD"/>
    <w:rsid w:val="005F71CA"/>
    <w:rsid w:val="005F783A"/>
    <w:rsid w:val="005F7F27"/>
    <w:rsid w:val="0060064D"/>
    <w:rsid w:val="00600839"/>
    <w:rsid w:val="00601E6B"/>
    <w:rsid w:val="00601F2D"/>
    <w:rsid w:val="0060200F"/>
    <w:rsid w:val="0060224C"/>
    <w:rsid w:val="0060251F"/>
    <w:rsid w:val="006027B2"/>
    <w:rsid w:val="006027E5"/>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2D65"/>
    <w:rsid w:val="00613257"/>
    <w:rsid w:val="00613F7C"/>
    <w:rsid w:val="00614008"/>
    <w:rsid w:val="00614857"/>
    <w:rsid w:val="00614994"/>
    <w:rsid w:val="00614F40"/>
    <w:rsid w:val="006151D2"/>
    <w:rsid w:val="00615300"/>
    <w:rsid w:val="00615318"/>
    <w:rsid w:val="00616BE3"/>
    <w:rsid w:val="00616D03"/>
    <w:rsid w:val="00616FB8"/>
    <w:rsid w:val="00620B97"/>
    <w:rsid w:val="00620E38"/>
    <w:rsid w:val="00621662"/>
    <w:rsid w:val="00621751"/>
    <w:rsid w:val="0062188C"/>
    <w:rsid w:val="0062281D"/>
    <w:rsid w:val="00622AE1"/>
    <w:rsid w:val="00622DDE"/>
    <w:rsid w:val="00623058"/>
    <w:rsid w:val="006232E1"/>
    <w:rsid w:val="006234A6"/>
    <w:rsid w:val="006240E1"/>
    <w:rsid w:val="00624A25"/>
    <w:rsid w:val="006252E1"/>
    <w:rsid w:val="0062537A"/>
    <w:rsid w:val="006253D8"/>
    <w:rsid w:val="006254B7"/>
    <w:rsid w:val="00625CDA"/>
    <w:rsid w:val="00625DA0"/>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8F"/>
    <w:rsid w:val="00633697"/>
    <w:rsid w:val="006338EF"/>
    <w:rsid w:val="00634411"/>
    <w:rsid w:val="00634BF5"/>
    <w:rsid w:val="00634EEA"/>
    <w:rsid w:val="00635686"/>
    <w:rsid w:val="00635A6D"/>
    <w:rsid w:val="006362D2"/>
    <w:rsid w:val="0063632B"/>
    <w:rsid w:val="00636398"/>
    <w:rsid w:val="0063672F"/>
    <w:rsid w:val="006367D3"/>
    <w:rsid w:val="006368D3"/>
    <w:rsid w:val="006369E9"/>
    <w:rsid w:val="00636EF7"/>
    <w:rsid w:val="00637277"/>
    <w:rsid w:val="006373FA"/>
    <w:rsid w:val="00637648"/>
    <w:rsid w:val="006377EC"/>
    <w:rsid w:val="00637D76"/>
    <w:rsid w:val="00637FF8"/>
    <w:rsid w:val="00640060"/>
    <w:rsid w:val="00640A4D"/>
    <w:rsid w:val="00640E32"/>
    <w:rsid w:val="00640F0A"/>
    <w:rsid w:val="00640F1B"/>
    <w:rsid w:val="006411B9"/>
    <w:rsid w:val="0064151F"/>
    <w:rsid w:val="00641533"/>
    <w:rsid w:val="006415B3"/>
    <w:rsid w:val="006418BF"/>
    <w:rsid w:val="00641A63"/>
    <w:rsid w:val="00641A9A"/>
    <w:rsid w:val="0064208D"/>
    <w:rsid w:val="006421D0"/>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099"/>
    <w:rsid w:val="00647435"/>
    <w:rsid w:val="006477F5"/>
    <w:rsid w:val="00650351"/>
    <w:rsid w:val="006505C8"/>
    <w:rsid w:val="00650AB9"/>
    <w:rsid w:val="00650EA2"/>
    <w:rsid w:val="0065127D"/>
    <w:rsid w:val="0065134F"/>
    <w:rsid w:val="00651FB6"/>
    <w:rsid w:val="00652807"/>
    <w:rsid w:val="00652CED"/>
    <w:rsid w:val="00653266"/>
    <w:rsid w:val="006533E6"/>
    <w:rsid w:val="006538FC"/>
    <w:rsid w:val="00653B69"/>
    <w:rsid w:val="00653E2C"/>
    <w:rsid w:val="00653FB4"/>
    <w:rsid w:val="0065449A"/>
    <w:rsid w:val="00654886"/>
    <w:rsid w:val="00654A5B"/>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7A8"/>
    <w:rsid w:val="00661D79"/>
    <w:rsid w:val="006628F2"/>
    <w:rsid w:val="00662919"/>
    <w:rsid w:val="006634B9"/>
    <w:rsid w:val="006634E6"/>
    <w:rsid w:val="006635AD"/>
    <w:rsid w:val="0066393C"/>
    <w:rsid w:val="006639FE"/>
    <w:rsid w:val="00663AEB"/>
    <w:rsid w:val="006643AB"/>
    <w:rsid w:val="00664E1D"/>
    <w:rsid w:val="006655EE"/>
    <w:rsid w:val="006663E5"/>
    <w:rsid w:val="006664CC"/>
    <w:rsid w:val="00666866"/>
    <w:rsid w:val="00666D8A"/>
    <w:rsid w:val="006671D9"/>
    <w:rsid w:val="006676E2"/>
    <w:rsid w:val="00667789"/>
    <w:rsid w:val="00667EE7"/>
    <w:rsid w:val="006702C2"/>
    <w:rsid w:val="00670370"/>
    <w:rsid w:val="006707A0"/>
    <w:rsid w:val="006708E9"/>
    <w:rsid w:val="00670922"/>
    <w:rsid w:val="00670BE1"/>
    <w:rsid w:val="00670E64"/>
    <w:rsid w:val="00671074"/>
    <w:rsid w:val="00671247"/>
    <w:rsid w:val="0067129B"/>
    <w:rsid w:val="00671DC9"/>
    <w:rsid w:val="00671E18"/>
    <w:rsid w:val="00671E79"/>
    <w:rsid w:val="0067218F"/>
    <w:rsid w:val="00672740"/>
    <w:rsid w:val="00673784"/>
    <w:rsid w:val="00673798"/>
    <w:rsid w:val="00673B0F"/>
    <w:rsid w:val="006741F2"/>
    <w:rsid w:val="0067421C"/>
    <w:rsid w:val="006743C5"/>
    <w:rsid w:val="00674CC3"/>
    <w:rsid w:val="00674E9D"/>
    <w:rsid w:val="00674F8F"/>
    <w:rsid w:val="00674FD1"/>
    <w:rsid w:val="006751C4"/>
    <w:rsid w:val="0067586E"/>
    <w:rsid w:val="00675C72"/>
    <w:rsid w:val="00675C8F"/>
    <w:rsid w:val="00675D87"/>
    <w:rsid w:val="006763F8"/>
    <w:rsid w:val="0067649C"/>
    <w:rsid w:val="00676570"/>
    <w:rsid w:val="006766D2"/>
    <w:rsid w:val="006768BC"/>
    <w:rsid w:val="00676BC8"/>
    <w:rsid w:val="00676D1A"/>
    <w:rsid w:val="006770A9"/>
    <w:rsid w:val="006770C4"/>
    <w:rsid w:val="006771F9"/>
    <w:rsid w:val="006773A8"/>
    <w:rsid w:val="006776D7"/>
    <w:rsid w:val="00680D9E"/>
    <w:rsid w:val="00680F3B"/>
    <w:rsid w:val="00680FB1"/>
    <w:rsid w:val="00681003"/>
    <w:rsid w:val="00681153"/>
    <w:rsid w:val="00681194"/>
    <w:rsid w:val="006812CA"/>
    <w:rsid w:val="00681324"/>
    <w:rsid w:val="0068162E"/>
    <w:rsid w:val="006817C9"/>
    <w:rsid w:val="00681B96"/>
    <w:rsid w:val="00681C47"/>
    <w:rsid w:val="00682130"/>
    <w:rsid w:val="0068219E"/>
    <w:rsid w:val="006825E3"/>
    <w:rsid w:val="00682705"/>
    <w:rsid w:val="00682919"/>
    <w:rsid w:val="006830A2"/>
    <w:rsid w:val="006835C5"/>
    <w:rsid w:val="00683A3B"/>
    <w:rsid w:val="006840CF"/>
    <w:rsid w:val="00684179"/>
    <w:rsid w:val="00684721"/>
    <w:rsid w:val="006849D4"/>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09"/>
    <w:rsid w:val="006914F1"/>
    <w:rsid w:val="00691A2E"/>
    <w:rsid w:val="00691E83"/>
    <w:rsid w:val="006921F6"/>
    <w:rsid w:val="006922FD"/>
    <w:rsid w:val="0069231A"/>
    <w:rsid w:val="006929B2"/>
    <w:rsid w:val="00692C29"/>
    <w:rsid w:val="00692E06"/>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3C1"/>
    <w:rsid w:val="00697530"/>
    <w:rsid w:val="00697F2A"/>
    <w:rsid w:val="006A018B"/>
    <w:rsid w:val="006A06B2"/>
    <w:rsid w:val="006A0E56"/>
    <w:rsid w:val="006A0ECE"/>
    <w:rsid w:val="006A135D"/>
    <w:rsid w:val="006A18B1"/>
    <w:rsid w:val="006A21EA"/>
    <w:rsid w:val="006A2BEF"/>
    <w:rsid w:val="006A2F5F"/>
    <w:rsid w:val="006A325E"/>
    <w:rsid w:val="006A46FB"/>
    <w:rsid w:val="006A523B"/>
    <w:rsid w:val="006A52D5"/>
    <w:rsid w:val="006A5382"/>
    <w:rsid w:val="006A56E4"/>
    <w:rsid w:val="006A586C"/>
    <w:rsid w:val="006A5D46"/>
    <w:rsid w:val="006A5E09"/>
    <w:rsid w:val="006A5E28"/>
    <w:rsid w:val="006A613C"/>
    <w:rsid w:val="006A63BE"/>
    <w:rsid w:val="006A6526"/>
    <w:rsid w:val="006A6555"/>
    <w:rsid w:val="006A6789"/>
    <w:rsid w:val="006A697B"/>
    <w:rsid w:val="006A6F6A"/>
    <w:rsid w:val="006A78F3"/>
    <w:rsid w:val="006A7AFF"/>
    <w:rsid w:val="006A7E3F"/>
    <w:rsid w:val="006B040B"/>
    <w:rsid w:val="006B077A"/>
    <w:rsid w:val="006B0B8A"/>
    <w:rsid w:val="006B0EC6"/>
    <w:rsid w:val="006B12F8"/>
    <w:rsid w:val="006B1816"/>
    <w:rsid w:val="006B1FC4"/>
    <w:rsid w:val="006B2099"/>
    <w:rsid w:val="006B214F"/>
    <w:rsid w:val="006B2283"/>
    <w:rsid w:val="006B236C"/>
    <w:rsid w:val="006B247A"/>
    <w:rsid w:val="006B259E"/>
    <w:rsid w:val="006B28BD"/>
    <w:rsid w:val="006B2A51"/>
    <w:rsid w:val="006B2D22"/>
    <w:rsid w:val="006B2EEB"/>
    <w:rsid w:val="006B333F"/>
    <w:rsid w:val="006B37AA"/>
    <w:rsid w:val="006B3930"/>
    <w:rsid w:val="006B3DBE"/>
    <w:rsid w:val="006B419A"/>
    <w:rsid w:val="006B41A1"/>
    <w:rsid w:val="006B4329"/>
    <w:rsid w:val="006B49CD"/>
    <w:rsid w:val="006B4B55"/>
    <w:rsid w:val="006B4E52"/>
    <w:rsid w:val="006B50CF"/>
    <w:rsid w:val="006B528F"/>
    <w:rsid w:val="006B5578"/>
    <w:rsid w:val="006B56C6"/>
    <w:rsid w:val="006B5AA5"/>
    <w:rsid w:val="006B6CB5"/>
    <w:rsid w:val="006B6EA2"/>
    <w:rsid w:val="006B6F92"/>
    <w:rsid w:val="006B70C9"/>
    <w:rsid w:val="006B7277"/>
    <w:rsid w:val="006B7F40"/>
    <w:rsid w:val="006C03B8"/>
    <w:rsid w:val="006C047E"/>
    <w:rsid w:val="006C0AB8"/>
    <w:rsid w:val="006C0CA7"/>
    <w:rsid w:val="006C11DF"/>
    <w:rsid w:val="006C1C9E"/>
    <w:rsid w:val="006C1E3A"/>
    <w:rsid w:val="006C2575"/>
    <w:rsid w:val="006C29B0"/>
    <w:rsid w:val="006C29D7"/>
    <w:rsid w:val="006C2D02"/>
    <w:rsid w:val="006C30E2"/>
    <w:rsid w:val="006C32F5"/>
    <w:rsid w:val="006C368D"/>
    <w:rsid w:val="006C385B"/>
    <w:rsid w:val="006C3BFD"/>
    <w:rsid w:val="006C3E3A"/>
    <w:rsid w:val="006C3F60"/>
    <w:rsid w:val="006C405C"/>
    <w:rsid w:val="006C41C7"/>
    <w:rsid w:val="006C4BBA"/>
    <w:rsid w:val="006C4E5C"/>
    <w:rsid w:val="006C5022"/>
    <w:rsid w:val="006C545C"/>
    <w:rsid w:val="006C54D5"/>
    <w:rsid w:val="006C58DF"/>
    <w:rsid w:val="006C59FF"/>
    <w:rsid w:val="006C5B25"/>
    <w:rsid w:val="006C5D5C"/>
    <w:rsid w:val="006C5EC9"/>
    <w:rsid w:val="006C6059"/>
    <w:rsid w:val="006C6194"/>
    <w:rsid w:val="006C65D0"/>
    <w:rsid w:val="006C7522"/>
    <w:rsid w:val="006C7949"/>
    <w:rsid w:val="006D0AF4"/>
    <w:rsid w:val="006D0EF3"/>
    <w:rsid w:val="006D139D"/>
    <w:rsid w:val="006D1544"/>
    <w:rsid w:val="006D1FBD"/>
    <w:rsid w:val="006D22F5"/>
    <w:rsid w:val="006D2564"/>
    <w:rsid w:val="006D2655"/>
    <w:rsid w:val="006D269B"/>
    <w:rsid w:val="006D305F"/>
    <w:rsid w:val="006D30A9"/>
    <w:rsid w:val="006D351A"/>
    <w:rsid w:val="006D42EF"/>
    <w:rsid w:val="006D44A2"/>
    <w:rsid w:val="006D4ACC"/>
    <w:rsid w:val="006D4BF3"/>
    <w:rsid w:val="006D4C5B"/>
    <w:rsid w:val="006D5467"/>
    <w:rsid w:val="006D5774"/>
    <w:rsid w:val="006D5CE4"/>
    <w:rsid w:val="006D5F17"/>
    <w:rsid w:val="006D5FB2"/>
    <w:rsid w:val="006D6046"/>
    <w:rsid w:val="006D6645"/>
    <w:rsid w:val="006D6F08"/>
    <w:rsid w:val="006D6F9B"/>
    <w:rsid w:val="006D7109"/>
    <w:rsid w:val="006D74BE"/>
    <w:rsid w:val="006D79AB"/>
    <w:rsid w:val="006D7DA7"/>
    <w:rsid w:val="006E0100"/>
    <w:rsid w:val="006E062C"/>
    <w:rsid w:val="006E185E"/>
    <w:rsid w:val="006E258F"/>
    <w:rsid w:val="006E28B7"/>
    <w:rsid w:val="006E2B61"/>
    <w:rsid w:val="006E3199"/>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56D"/>
    <w:rsid w:val="006E565E"/>
    <w:rsid w:val="006E5A6E"/>
    <w:rsid w:val="006E61F2"/>
    <w:rsid w:val="006E6B73"/>
    <w:rsid w:val="006E6D22"/>
    <w:rsid w:val="006E6DFE"/>
    <w:rsid w:val="006E6E5E"/>
    <w:rsid w:val="006E73F9"/>
    <w:rsid w:val="006E786C"/>
    <w:rsid w:val="006E7D3B"/>
    <w:rsid w:val="006F028F"/>
    <w:rsid w:val="006F0450"/>
    <w:rsid w:val="006F0CF9"/>
    <w:rsid w:val="006F0D29"/>
    <w:rsid w:val="006F0E91"/>
    <w:rsid w:val="006F14DE"/>
    <w:rsid w:val="006F17CE"/>
    <w:rsid w:val="006F1B70"/>
    <w:rsid w:val="006F2504"/>
    <w:rsid w:val="006F3102"/>
    <w:rsid w:val="006F341D"/>
    <w:rsid w:val="006F388C"/>
    <w:rsid w:val="006F3B3A"/>
    <w:rsid w:val="006F4054"/>
    <w:rsid w:val="006F43CD"/>
    <w:rsid w:val="006F487D"/>
    <w:rsid w:val="006F49F5"/>
    <w:rsid w:val="006F4CE5"/>
    <w:rsid w:val="006F4D81"/>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60"/>
    <w:rsid w:val="007013F1"/>
    <w:rsid w:val="00701A05"/>
    <w:rsid w:val="00701CC8"/>
    <w:rsid w:val="00702402"/>
    <w:rsid w:val="0070263F"/>
    <w:rsid w:val="007028CD"/>
    <w:rsid w:val="00702C23"/>
    <w:rsid w:val="00702D4B"/>
    <w:rsid w:val="0070300D"/>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3ECC"/>
    <w:rsid w:val="007140A8"/>
    <w:rsid w:val="00714750"/>
    <w:rsid w:val="007148D3"/>
    <w:rsid w:val="00714FD4"/>
    <w:rsid w:val="007151EC"/>
    <w:rsid w:val="0071551B"/>
    <w:rsid w:val="00715638"/>
    <w:rsid w:val="00715A32"/>
    <w:rsid w:val="00715B9A"/>
    <w:rsid w:val="0071600C"/>
    <w:rsid w:val="007161DA"/>
    <w:rsid w:val="007163B5"/>
    <w:rsid w:val="00717413"/>
    <w:rsid w:val="0071746C"/>
    <w:rsid w:val="00717FEC"/>
    <w:rsid w:val="007208F7"/>
    <w:rsid w:val="00720CB6"/>
    <w:rsid w:val="00721224"/>
    <w:rsid w:val="00721E95"/>
    <w:rsid w:val="00721FEC"/>
    <w:rsid w:val="007227FA"/>
    <w:rsid w:val="00723001"/>
    <w:rsid w:val="007245A0"/>
    <w:rsid w:val="00724649"/>
    <w:rsid w:val="00724AE1"/>
    <w:rsid w:val="00724FC1"/>
    <w:rsid w:val="00725161"/>
    <w:rsid w:val="00725300"/>
    <w:rsid w:val="007256CD"/>
    <w:rsid w:val="007257C1"/>
    <w:rsid w:val="00725B07"/>
    <w:rsid w:val="00725B5C"/>
    <w:rsid w:val="00725C20"/>
    <w:rsid w:val="00726EA6"/>
    <w:rsid w:val="00727208"/>
    <w:rsid w:val="00727299"/>
    <w:rsid w:val="00727680"/>
    <w:rsid w:val="00727B1D"/>
    <w:rsid w:val="00727D2C"/>
    <w:rsid w:val="0073001B"/>
    <w:rsid w:val="0073054C"/>
    <w:rsid w:val="00730C7D"/>
    <w:rsid w:val="00731066"/>
    <w:rsid w:val="0073146E"/>
    <w:rsid w:val="0073190B"/>
    <w:rsid w:val="007319F9"/>
    <w:rsid w:val="00731A6F"/>
    <w:rsid w:val="00731B0D"/>
    <w:rsid w:val="00731F6D"/>
    <w:rsid w:val="00731FEC"/>
    <w:rsid w:val="00732344"/>
    <w:rsid w:val="00733521"/>
    <w:rsid w:val="00733553"/>
    <w:rsid w:val="007342C6"/>
    <w:rsid w:val="00734693"/>
    <w:rsid w:val="007346D3"/>
    <w:rsid w:val="007348B1"/>
    <w:rsid w:val="00734E42"/>
    <w:rsid w:val="00734FCD"/>
    <w:rsid w:val="00735383"/>
    <w:rsid w:val="0073580E"/>
    <w:rsid w:val="007358BA"/>
    <w:rsid w:val="007358C2"/>
    <w:rsid w:val="00736143"/>
    <w:rsid w:val="00736266"/>
    <w:rsid w:val="007362A6"/>
    <w:rsid w:val="007362DB"/>
    <w:rsid w:val="0073680F"/>
    <w:rsid w:val="00736AA2"/>
    <w:rsid w:val="00736D09"/>
    <w:rsid w:val="00736D7D"/>
    <w:rsid w:val="007374F9"/>
    <w:rsid w:val="00737564"/>
    <w:rsid w:val="007375AE"/>
    <w:rsid w:val="007377A2"/>
    <w:rsid w:val="00740340"/>
    <w:rsid w:val="0074063A"/>
    <w:rsid w:val="00740C6B"/>
    <w:rsid w:val="00740E58"/>
    <w:rsid w:val="007412BA"/>
    <w:rsid w:val="00741368"/>
    <w:rsid w:val="007427AE"/>
    <w:rsid w:val="00742935"/>
    <w:rsid w:val="00742BE1"/>
    <w:rsid w:val="00742E0F"/>
    <w:rsid w:val="00742F67"/>
    <w:rsid w:val="00743A91"/>
    <w:rsid w:val="00743B80"/>
    <w:rsid w:val="00743C58"/>
    <w:rsid w:val="0074444D"/>
    <w:rsid w:val="007445A0"/>
    <w:rsid w:val="00744664"/>
    <w:rsid w:val="00744720"/>
    <w:rsid w:val="00744AD8"/>
    <w:rsid w:val="007451E7"/>
    <w:rsid w:val="0074524B"/>
    <w:rsid w:val="00745283"/>
    <w:rsid w:val="0074545D"/>
    <w:rsid w:val="007463D6"/>
    <w:rsid w:val="007465FC"/>
    <w:rsid w:val="00746608"/>
    <w:rsid w:val="00746CE2"/>
    <w:rsid w:val="00746EAC"/>
    <w:rsid w:val="007471D5"/>
    <w:rsid w:val="007474A3"/>
    <w:rsid w:val="00747D8B"/>
    <w:rsid w:val="00747FAA"/>
    <w:rsid w:val="00747FD3"/>
    <w:rsid w:val="00750104"/>
    <w:rsid w:val="00750AB9"/>
    <w:rsid w:val="00750B16"/>
    <w:rsid w:val="00750C91"/>
    <w:rsid w:val="00751228"/>
    <w:rsid w:val="00751890"/>
    <w:rsid w:val="00751C3D"/>
    <w:rsid w:val="00752044"/>
    <w:rsid w:val="00752742"/>
    <w:rsid w:val="00752C50"/>
    <w:rsid w:val="00752F79"/>
    <w:rsid w:val="00753230"/>
    <w:rsid w:val="007540AD"/>
    <w:rsid w:val="007543CB"/>
    <w:rsid w:val="00755DEE"/>
    <w:rsid w:val="00755EC7"/>
    <w:rsid w:val="0075651F"/>
    <w:rsid w:val="007565C6"/>
    <w:rsid w:val="00756CED"/>
    <w:rsid w:val="00756F2A"/>
    <w:rsid w:val="007571E1"/>
    <w:rsid w:val="007575D7"/>
    <w:rsid w:val="00757A17"/>
    <w:rsid w:val="00757A7D"/>
    <w:rsid w:val="00757F5E"/>
    <w:rsid w:val="00760024"/>
    <w:rsid w:val="007602E4"/>
    <w:rsid w:val="007604B2"/>
    <w:rsid w:val="00760600"/>
    <w:rsid w:val="00760AE5"/>
    <w:rsid w:val="00760C05"/>
    <w:rsid w:val="00760C78"/>
    <w:rsid w:val="007619D7"/>
    <w:rsid w:val="00761C8C"/>
    <w:rsid w:val="00761D30"/>
    <w:rsid w:val="007623FB"/>
    <w:rsid w:val="0076319A"/>
    <w:rsid w:val="00763B30"/>
    <w:rsid w:val="00763CCC"/>
    <w:rsid w:val="00764724"/>
    <w:rsid w:val="0076472E"/>
    <w:rsid w:val="00764AF3"/>
    <w:rsid w:val="00764CC6"/>
    <w:rsid w:val="007651FB"/>
    <w:rsid w:val="00765281"/>
    <w:rsid w:val="0076581A"/>
    <w:rsid w:val="00765851"/>
    <w:rsid w:val="0076588C"/>
    <w:rsid w:val="007663C4"/>
    <w:rsid w:val="00766B76"/>
    <w:rsid w:val="00766BAD"/>
    <w:rsid w:val="00767E19"/>
    <w:rsid w:val="00770099"/>
    <w:rsid w:val="00770226"/>
    <w:rsid w:val="00771313"/>
    <w:rsid w:val="00771706"/>
    <w:rsid w:val="00771AA0"/>
    <w:rsid w:val="007720F1"/>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990"/>
    <w:rsid w:val="00775F6F"/>
    <w:rsid w:val="00775FF9"/>
    <w:rsid w:val="00776971"/>
    <w:rsid w:val="00776B09"/>
    <w:rsid w:val="007801CE"/>
    <w:rsid w:val="0078059A"/>
    <w:rsid w:val="007808CF"/>
    <w:rsid w:val="00780929"/>
    <w:rsid w:val="0078122E"/>
    <w:rsid w:val="0078127C"/>
    <w:rsid w:val="007812F3"/>
    <w:rsid w:val="0078177E"/>
    <w:rsid w:val="0078281F"/>
    <w:rsid w:val="00782868"/>
    <w:rsid w:val="00782BE4"/>
    <w:rsid w:val="00782DF0"/>
    <w:rsid w:val="00782F54"/>
    <w:rsid w:val="0078304C"/>
    <w:rsid w:val="00783210"/>
    <w:rsid w:val="007833E7"/>
    <w:rsid w:val="00783673"/>
    <w:rsid w:val="00783878"/>
    <w:rsid w:val="00783DAC"/>
    <w:rsid w:val="00783E38"/>
    <w:rsid w:val="00783F0B"/>
    <w:rsid w:val="0078417D"/>
    <w:rsid w:val="007845D1"/>
    <w:rsid w:val="007848CC"/>
    <w:rsid w:val="0078496B"/>
    <w:rsid w:val="00785490"/>
    <w:rsid w:val="0078563A"/>
    <w:rsid w:val="0078563C"/>
    <w:rsid w:val="00785863"/>
    <w:rsid w:val="00785889"/>
    <w:rsid w:val="00785A80"/>
    <w:rsid w:val="00785D29"/>
    <w:rsid w:val="007866D5"/>
    <w:rsid w:val="00786C41"/>
    <w:rsid w:val="00786E64"/>
    <w:rsid w:val="00786ECC"/>
    <w:rsid w:val="00786F56"/>
    <w:rsid w:val="00787349"/>
    <w:rsid w:val="00787850"/>
    <w:rsid w:val="00787E61"/>
    <w:rsid w:val="00790115"/>
    <w:rsid w:val="00790779"/>
    <w:rsid w:val="00791032"/>
    <w:rsid w:val="00791568"/>
    <w:rsid w:val="00791A2B"/>
    <w:rsid w:val="00791FCE"/>
    <w:rsid w:val="007925EA"/>
    <w:rsid w:val="007928AD"/>
    <w:rsid w:val="00792975"/>
    <w:rsid w:val="007929C8"/>
    <w:rsid w:val="00793339"/>
    <w:rsid w:val="0079357F"/>
    <w:rsid w:val="00793CD8"/>
    <w:rsid w:val="00794251"/>
    <w:rsid w:val="00794330"/>
    <w:rsid w:val="00794596"/>
    <w:rsid w:val="00794BA7"/>
    <w:rsid w:val="00794C40"/>
    <w:rsid w:val="007950AF"/>
    <w:rsid w:val="00795778"/>
    <w:rsid w:val="007957B1"/>
    <w:rsid w:val="00795C92"/>
    <w:rsid w:val="00795D9E"/>
    <w:rsid w:val="00795F92"/>
    <w:rsid w:val="007962A5"/>
    <w:rsid w:val="0079631A"/>
    <w:rsid w:val="00796C48"/>
    <w:rsid w:val="00796E85"/>
    <w:rsid w:val="00797322"/>
    <w:rsid w:val="007978F6"/>
    <w:rsid w:val="00797AFF"/>
    <w:rsid w:val="00797C1E"/>
    <w:rsid w:val="00797D03"/>
    <w:rsid w:val="007A0313"/>
    <w:rsid w:val="007A035C"/>
    <w:rsid w:val="007A0E6E"/>
    <w:rsid w:val="007A1010"/>
    <w:rsid w:val="007A109B"/>
    <w:rsid w:val="007A19CE"/>
    <w:rsid w:val="007A1CB3"/>
    <w:rsid w:val="007A23D9"/>
    <w:rsid w:val="007A23F2"/>
    <w:rsid w:val="007A2553"/>
    <w:rsid w:val="007A2642"/>
    <w:rsid w:val="007A27AD"/>
    <w:rsid w:val="007A2977"/>
    <w:rsid w:val="007A2CF7"/>
    <w:rsid w:val="007A2D45"/>
    <w:rsid w:val="007A306F"/>
    <w:rsid w:val="007A32A4"/>
    <w:rsid w:val="007A3DEE"/>
    <w:rsid w:val="007A43A6"/>
    <w:rsid w:val="007A4B72"/>
    <w:rsid w:val="007A57A2"/>
    <w:rsid w:val="007A58A6"/>
    <w:rsid w:val="007A5EED"/>
    <w:rsid w:val="007A61D2"/>
    <w:rsid w:val="007A6261"/>
    <w:rsid w:val="007A648E"/>
    <w:rsid w:val="007A6495"/>
    <w:rsid w:val="007A64AE"/>
    <w:rsid w:val="007A6F2F"/>
    <w:rsid w:val="007A7049"/>
    <w:rsid w:val="007A7053"/>
    <w:rsid w:val="007A73AF"/>
    <w:rsid w:val="007B07B0"/>
    <w:rsid w:val="007B080A"/>
    <w:rsid w:val="007B08BB"/>
    <w:rsid w:val="007B10FC"/>
    <w:rsid w:val="007B1615"/>
    <w:rsid w:val="007B1B7A"/>
    <w:rsid w:val="007B1FD7"/>
    <w:rsid w:val="007B215B"/>
    <w:rsid w:val="007B2680"/>
    <w:rsid w:val="007B29DB"/>
    <w:rsid w:val="007B2B0A"/>
    <w:rsid w:val="007B2C0F"/>
    <w:rsid w:val="007B35ED"/>
    <w:rsid w:val="007B36A4"/>
    <w:rsid w:val="007B39FE"/>
    <w:rsid w:val="007B3D2D"/>
    <w:rsid w:val="007B437F"/>
    <w:rsid w:val="007B485F"/>
    <w:rsid w:val="007B4939"/>
    <w:rsid w:val="007B4D23"/>
    <w:rsid w:val="007B50AE"/>
    <w:rsid w:val="007B51DF"/>
    <w:rsid w:val="007B5303"/>
    <w:rsid w:val="007B596E"/>
    <w:rsid w:val="007B5C47"/>
    <w:rsid w:val="007B5F90"/>
    <w:rsid w:val="007B6B74"/>
    <w:rsid w:val="007B75D5"/>
    <w:rsid w:val="007B777C"/>
    <w:rsid w:val="007B7875"/>
    <w:rsid w:val="007C0476"/>
    <w:rsid w:val="007C05DD"/>
    <w:rsid w:val="007C0601"/>
    <w:rsid w:val="007C0F8A"/>
    <w:rsid w:val="007C13CB"/>
    <w:rsid w:val="007C140B"/>
    <w:rsid w:val="007C15EB"/>
    <w:rsid w:val="007C19C1"/>
    <w:rsid w:val="007C1EDD"/>
    <w:rsid w:val="007C21DD"/>
    <w:rsid w:val="007C22DA"/>
    <w:rsid w:val="007C255A"/>
    <w:rsid w:val="007C28B9"/>
    <w:rsid w:val="007C2B96"/>
    <w:rsid w:val="007C2D7D"/>
    <w:rsid w:val="007C2E46"/>
    <w:rsid w:val="007C3052"/>
    <w:rsid w:val="007C3336"/>
    <w:rsid w:val="007C343B"/>
    <w:rsid w:val="007C3D18"/>
    <w:rsid w:val="007C441A"/>
    <w:rsid w:val="007C459E"/>
    <w:rsid w:val="007C46A1"/>
    <w:rsid w:val="007C4B39"/>
    <w:rsid w:val="007C4C84"/>
    <w:rsid w:val="007C60BF"/>
    <w:rsid w:val="007C61AB"/>
    <w:rsid w:val="007C6A07"/>
    <w:rsid w:val="007C7002"/>
    <w:rsid w:val="007C7280"/>
    <w:rsid w:val="007C75A1"/>
    <w:rsid w:val="007C77A5"/>
    <w:rsid w:val="007C7C77"/>
    <w:rsid w:val="007C7F58"/>
    <w:rsid w:val="007D0217"/>
    <w:rsid w:val="007D04E5"/>
    <w:rsid w:val="007D05DB"/>
    <w:rsid w:val="007D08CC"/>
    <w:rsid w:val="007D0D21"/>
    <w:rsid w:val="007D12C7"/>
    <w:rsid w:val="007D14B7"/>
    <w:rsid w:val="007D1740"/>
    <w:rsid w:val="007D1E22"/>
    <w:rsid w:val="007D236C"/>
    <w:rsid w:val="007D2496"/>
    <w:rsid w:val="007D261C"/>
    <w:rsid w:val="007D28AC"/>
    <w:rsid w:val="007D2F17"/>
    <w:rsid w:val="007D31C0"/>
    <w:rsid w:val="007D32F7"/>
    <w:rsid w:val="007D4242"/>
    <w:rsid w:val="007D4508"/>
    <w:rsid w:val="007D4FCA"/>
    <w:rsid w:val="007D5247"/>
    <w:rsid w:val="007D5809"/>
    <w:rsid w:val="007D5858"/>
    <w:rsid w:val="007D5901"/>
    <w:rsid w:val="007D5A1E"/>
    <w:rsid w:val="007D6354"/>
    <w:rsid w:val="007D65F7"/>
    <w:rsid w:val="007D6889"/>
    <w:rsid w:val="007D6907"/>
    <w:rsid w:val="007D6C7C"/>
    <w:rsid w:val="007D7526"/>
    <w:rsid w:val="007E011A"/>
    <w:rsid w:val="007E0451"/>
    <w:rsid w:val="007E0747"/>
    <w:rsid w:val="007E0784"/>
    <w:rsid w:val="007E09A8"/>
    <w:rsid w:val="007E13FD"/>
    <w:rsid w:val="007E1E03"/>
    <w:rsid w:val="007E252D"/>
    <w:rsid w:val="007E2FA0"/>
    <w:rsid w:val="007E3EF5"/>
    <w:rsid w:val="007E4610"/>
    <w:rsid w:val="007E4715"/>
    <w:rsid w:val="007E49D5"/>
    <w:rsid w:val="007E4D98"/>
    <w:rsid w:val="007E4E18"/>
    <w:rsid w:val="007E505B"/>
    <w:rsid w:val="007E52B2"/>
    <w:rsid w:val="007E533C"/>
    <w:rsid w:val="007E53BD"/>
    <w:rsid w:val="007E589F"/>
    <w:rsid w:val="007E5AC5"/>
    <w:rsid w:val="007E7091"/>
    <w:rsid w:val="007E7475"/>
    <w:rsid w:val="007E78E3"/>
    <w:rsid w:val="007E7A34"/>
    <w:rsid w:val="007E7FBB"/>
    <w:rsid w:val="007F090E"/>
    <w:rsid w:val="007F11B5"/>
    <w:rsid w:val="007F12B6"/>
    <w:rsid w:val="007F142E"/>
    <w:rsid w:val="007F1726"/>
    <w:rsid w:val="007F17C2"/>
    <w:rsid w:val="007F1FEA"/>
    <w:rsid w:val="007F2363"/>
    <w:rsid w:val="007F2A7A"/>
    <w:rsid w:val="007F3F4A"/>
    <w:rsid w:val="007F40D7"/>
    <w:rsid w:val="007F42E1"/>
    <w:rsid w:val="007F43B0"/>
    <w:rsid w:val="007F4875"/>
    <w:rsid w:val="007F4904"/>
    <w:rsid w:val="007F49F9"/>
    <w:rsid w:val="007F57DC"/>
    <w:rsid w:val="007F5988"/>
    <w:rsid w:val="007F7C42"/>
    <w:rsid w:val="007F7D2E"/>
    <w:rsid w:val="007F7F41"/>
    <w:rsid w:val="0080009E"/>
    <w:rsid w:val="00800249"/>
    <w:rsid w:val="0080079E"/>
    <w:rsid w:val="008008A2"/>
    <w:rsid w:val="00800927"/>
    <w:rsid w:val="00800A4C"/>
    <w:rsid w:val="00800C71"/>
    <w:rsid w:val="00800F21"/>
    <w:rsid w:val="008014EF"/>
    <w:rsid w:val="00801562"/>
    <w:rsid w:val="008015C5"/>
    <w:rsid w:val="0080187F"/>
    <w:rsid w:val="00801CC4"/>
    <w:rsid w:val="008021B4"/>
    <w:rsid w:val="0080253D"/>
    <w:rsid w:val="008028F0"/>
    <w:rsid w:val="00802DEB"/>
    <w:rsid w:val="00803091"/>
    <w:rsid w:val="0080325D"/>
    <w:rsid w:val="00803546"/>
    <w:rsid w:val="008036C5"/>
    <w:rsid w:val="008037AF"/>
    <w:rsid w:val="00803F66"/>
    <w:rsid w:val="00803FAE"/>
    <w:rsid w:val="00805143"/>
    <w:rsid w:val="0080528A"/>
    <w:rsid w:val="008052C1"/>
    <w:rsid w:val="00805927"/>
    <w:rsid w:val="0080605F"/>
    <w:rsid w:val="00806B28"/>
    <w:rsid w:val="00807786"/>
    <w:rsid w:val="00807802"/>
    <w:rsid w:val="008101B0"/>
    <w:rsid w:val="008103DD"/>
    <w:rsid w:val="008104E8"/>
    <w:rsid w:val="00810886"/>
    <w:rsid w:val="00810F8A"/>
    <w:rsid w:val="008115C7"/>
    <w:rsid w:val="00811FCB"/>
    <w:rsid w:val="008123FA"/>
    <w:rsid w:val="008125BB"/>
    <w:rsid w:val="008129EC"/>
    <w:rsid w:val="00812B68"/>
    <w:rsid w:val="00812CE9"/>
    <w:rsid w:val="0081333C"/>
    <w:rsid w:val="008138E3"/>
    <w:rsid w:val="00813D91"/>
    <w:rsid w:val="008143BB"/>
    <w:rsid w:val="00814AD5"/>
    <w:rsid w:val="00814F7B"/>
    <w:rsid w:val="00815133"/>
    <w:rsid w:val="008153BB"/>
    <w:rsid w:val="00815681"/>
    <w:rsid w:val="008156D5"/>
    <w:rsid w:val="008158D6"/>
    <w:rsid w:val="00815979"/>
    <w:rsid w:val="0081598F"/>
    <w:rsid w:val="00816B5B"/>
    <w:rsid w:val="00816F09"/>
    <w:rsid w:val="00817196"/>
    <w:rsid w:val="0081757C"/>
    <w:rsid w:val="0082012D"/>
    <w:rsid w:val="00820715"/>
    <w:rsid w:val="00820DBB"/>
    <w:rsid w:val="008213E6"/>
    <w:rsid w:val="008216C3"/>
    <w:rsid w:val="00821960"/>
    <w:rsid w:val="00821C42"/>
    <w:rsid w:val="00821FF9"/>
    <w:rsid w:val="00822B63"/>
    <w:rsid w:val="00823512"/>
    <w:rsid w:val="008235DB"/>
    <w:rsid w:val="008238A0"/>
    <w:rsid w:val="00823AF2"/>
    <w:rsid w:val="008240DA"/>
    <w:rsid w:val="0082461E"/>
    <w:rsid w:val="00824AB4"/>
    <w:rsid w:val="00824F71"/>
    <w:rsid w:val="00825AB5"/>
    <w:rsid w:val="00825C42"/>
    <w:rsid w:val="00825D25"/>
    <w:rsid w:val="00825D9F"/>
    <w:rsid w:val="00825EEF"/>
    <w:rsid w:val="00825F51"/>
    <w:rsid w:val="008260E1"/>
    <w:rsid w:val="00826BDC"/>
    <w:rsid w:val="00826FF8"/>
    <w:rsid w:val="00827825"/>
    <w:rsid w:val="00827CAB"/>
    <w:rsid w:val="00827D6F"/>
    <w:rsid w:val="0083002B"/>
    <w:rsid w:val="00830677"/>
    <w:rsid w:val="00830E87"/>
    <w:rsid w:val="00831273"/>
    <w:rsid w:val="0083207E"/>
    <w:rsid w:val="008326C1"/>
    <w:rsid w:val="008328DA"/>
    <w:rsid w:val="0083384A"/>
    <w:rsid w:val="0083391C"/>
    <w:rsid w:val="00833938"/>
    <w:rsid w:val="00833F49"/>
    <w:rsid w:val="0083464F"/>
    <w:rsid w:val="0083495F"/>
    <w:rsid w:val="00834A9F"/>
    <w:rsid w:val="00834BEA"/>
    <w:rsid w:val="00834C82"/>
    <w:rsid w:val="0083546F"/>
    <w:rsid w:val="0083565C"/>
    <w:rsid w:val="00835837"/>
    <w:rsid w:val="00836909"/>
    <w:rsid w:val="00836F03"/>
    <w:rsid w:val="00836F4A"/>
    <w:rsid w:val="008376AC"/>
    <w:rsid w:val="008376D3"/>
    <w:rsid w:val="0083778B"/>
    <w:rsid w:val="00837A0B"/>
    <w:rsid w:val="00837A15"/>
    <w:rsid w:val="008401AF"/>
    <w:rsid w:val="0084088C"/>
    <w:rsid w:val="00840C25"/>
    <w:rsid w:val="00840F75"/>
    <w:rsid w:val="00841446"/>
    <w:rsid w:val="008427B2"/>
    <w:rsid w:val="00842A83"/>
    <w:rsid w:val="00842B22"/>
    <w:rsid w:val="00843039"/>
    <w:rsid w:val="00843877"/>
    <w:rsid w:val="00843FEE"/>
    <w:rsid w:val="008443C2"/>
    <w:rsid w:val="008444AB"/>
    <w:rsid w:val="008444E8"/>
    <w:rsid w:val="008444E9"/>
    <w:rsid w:val="00844541"/>
    <w:rsid w:val="0084493A"/>
    <w:rsid w:val="00844DF1"/>
    <w:rsid w:val="00844E80"/>
    <w:rsid w:val="0084546E"/>
    <w:rsid w:val="00845AC0"/>
    <w:rsid w:val="00845BE3"/>
    <w:rsid w:val="00845E1A"/>
    <w:rsid w:val="0084655B"/>
    <w:rsid w:val="00846698"/>
    <w:rsid w:val="00846CB9"/>
    <w:rsid w:val="00846DF4"/>
    <w:rsid w:val="00846EE2"/>
    <w:rsid w:val="00846FE7"/>
    <w:rsid w:val="0084761A"/>
    <w:rsid w:val="00847D83"/>
    <w:rsid w:val="008500C9"/>
    <w:rsid w:val="00850451"/>
    <w:rsid w:val="00851238"/>
    <w:rsid w:val="00851274"/>
    <w:rsid w:val="008514E3"/>
    <w:rsid w:val="00851C3F"/>
    <w:rsid w:val="00851C95"/>
    <w:rsid w:val="00851CFF"/>
    <w:rsid w:val="008529CC"/>
    <w:rsid w:val="00852A9E"/>
    <w:rsid w:val="00852AF2"/>
    <w:rsid w:val="00852F25"/>
    <w:rsid w:val="00852FDF"/>
    <w:rsid w:val="008530DA"/>
    <w:rsid w:val="00853BC9"/>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95E"/>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A97"/>
    <w:rsid w:val="00865CA0"/>
    <w:rsid w:val="00865F3B"/>
    <w:rsid w:val="0086607D"/>
    <w:rsid w:val="008669E1"/>
    <w:rsid w:val="00866E1D"/>
    <w:rsid w:val="0086717B"/>
    <w:rsid w:val="008677FD"/>
    <w:rsid w:val="00867981"/>
    <w:rsid w:val="00867B26"/>
    <w:rsid w:val="00867CFA"/>
    <w:rsid w:val="00870006"/>
    <w:rsid w:val="0087055F"/>
    <w:rsid w:val="008705C2"/>
    <w:rsid w:val="008705D4"/>
    <w:rsid w:val="008706D4"/>
    <w:rsid w:val="00870786"/>
    <w:rsid w:val="00870CC9"/>
    <w:rsid w:val="00870F8A"/>
    <w:rsid w:val="008714EE"/>
    <w:rsid w:val="008716BF"/>
    <w:rsid w:val="008719A4"/>
    <w:rsid w:val="00871D23"/>
    <w:rsid w:val="00871D25"/>
    <w:rsid w:val="00871D26"/>
    <w:rsid w:val="00871FBC"/>
    <w:rsid w:val="008721D0"/>
    <w:rsid w:val="0087239D"/>
    <w:rsid w:val="00872407"/>
    <w:rsid w:val="0087265B"/>
    <w:rsid w:val="008728A2"/>
    <w:rsid w:val="00872ADB"/>
    <w:rsid w:val="00872DD4"/>
    <w:rsid w:val="00872DF0"/>
    <w:rsid w:val="00872E99"/>
    <w:rsid w:val="008735D7"/>
    <w:rsid w:val="00873921"/>
    <w:rsid w:val="008739E4"/>
    <w:rsid w:val="00873AAD"/>
    <w:rsid w:val="00873DAF"/>
    <w:rsid w:val="008741D2"/>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D6B"/>
    <w:rsid w:val="00877F18"/>
    <w:rsid w:val="0088083A"/>
    <w:rsid w:val="00880FCF"/>
    <w:rsid w:val="008814A6"/>
    <w:rsid w:val="00881595"/>
    <w:rsid w:val="00881658"/>
    <w:rsid w:val="008816D0"/>
    <w:rsid w:val="00881AAA"/>
    <w:rsid w:val="00881CDD"/>
    <w:rsid w:val="00882012"/>
    <w:rsid w:val="008820E7"/>
    <w:rsid w:val="008820FE"/>
    <w:rsid w:val="00882349"/>
    <w:rsid w:val="00882ED2"/>
    <w:rsid w:val="00883005"/>
    <w:rsid w:val="008833F8"/>
    <w:rsid w:val="008846AC"/>
    <w:rsid w:val="008846F9"/>
    <w:rsid w:val="008848F9"/>
    <w:rsid w:val="00885A29"/>
    <w:rsid w:val="00886CCB"/>
    <w:rsid w:val="00886D00"/>
    <w:rsid w:val="00886D44"/>
    <w:rsid w:val="00886F61"/>
    <w:rsid w:val="00887B43"/>
    <w:rsid w:val="00887BD9"/>
    <w:rsid w:val="00887E51"/>
    <w:rsid w:val="00890526"/>
    <w:rsid w:val="008907CA"/>
    <w:rsid w:val="00890F59"/>
    <w:rsid w:val="00891245"/>
    <w:rsid w:val="008913FE"/>
    <w:rsid w:val="00891608"/>
    <w:rsid w:val="00891DA1"/>
    <w:rsid w:val="00892CFF"/>
    <w:rsid w:val="00892F7F"/>
    <w:rsid w:val="0089313E"/>
    <w:rsid w:val="0089347C"/>
    <w:rsid w:val="00893F17"/>
    <w:rsid w:val="008947E4"/>
    <w:rsid w:val="008948D3"/>
    <w:rsid w:val="00894A88"/>
    <w:rsid w:val="00894CAB"/>
    <w:rsid w:val="00894D83"/>
    <w:rsid w:val="00895310"/>
    <w:rsid w:val="00895386"/>
    <w:rsid w:val="00895C27"/>
    <w:rsid w:val="00895E4D"/>
    <w:rsid w:val="00896299"/>
    <w:rsid w:val="00896985"/>
    <w:rsid w:val="00897391"/>
    <w:rsid w:val="0089757A"/>
    <w:rsid w:val="00897BA6"/>
    <w:rsid w:val="008A0210"/>
    <w:rsid w:val="008A03D1"/>
    <w:rsid w:val="008A08E0"/>
    <w:rsid w:val="008A0B24"/>
    <w:rsid w:val="008A0B9C"/>
    <w:rsid w:val="008A0FF9"/>
    <w:rsid w:val="008A1299"/>
    <w:rsid w:val="008A151A"/>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D37"/>
    <w:rsid w:val="008A4E29"/>
    <w:rsid w:val="008A4F62"/>
    <w:rsid w:val="008A51A8"/>
    <w:rsid w:val="008A5447"/>
    <w:rsid w:val="008A547F"/>
    <w:rsid w:val="008A54C7"/>
    <w:rsid w:val="008A5766"/>
    <w:rsid w:val="008A5C5D"/>
    <w:rsid w:val="008A5E77"/>
    <w:rsid w:val="008A618B"/>
    <w:rsid w:val="008A620C"/>
    <w:rsid w:val="008A646C"/>
    <w:rsid w:val="008A6764"/>
    <w:rsid w:val="008A67A1"/>
    <w:rsid w:val="008A6A00"/>
    <w:rsid w:val="008A6C28"/>
    <w:rsid w:val="008A76D3"/>
    <w:rsid w:val="008A77D8"/>
    <w:rsid w:val="008B0483"/>
    <w:rsid w:val="008B05B8"/>
    <w:rsid w:val="008B120C"/>
    <w:rsid w:val="008B212C"/>
    <w:rsid w:val="008B23ED"/>
    <w:rsid w:val="008B2932"/>
    <w:rsid w:val="008B2C1F"/>
    <w:rsid w:val="008B2CE3"/>
    <w:rsid w:val="008B301C"/>
    <w:rsid w:val="008B4016"/>
    <w:rsid w:val="008B411F"/>
    <w:rsid w:val="008B4535"/>
    <w:rsid w:val="008B45A3"/>
    <w:rsid w:val="008B47DE"/>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03A"/>
    <w:rsid w:val="008C02B0"/>
    <w:rsid w:val="008C035B"/>
    <w:rsid w:val="008C081A"/>
    <w:rsid w:val="008C08D7"/>
    <w:rsid w:val="008C0C99"/>
    <w:rsid w:val="008C10C9"/>
    <w:rsid w:val="008C17FA"/>
    <w:rsid w:val="008C188D"/>
    <w:rsid w:val="008C1A68"/>
    <w:rsid w:val="008C1C27"/>
    <w:rsid w:val="008C1F0E"/>
    <w:rsid w:val="008C1FC4"/>
    <w:rsid w:val="008C2017"/>
    <w:rsid w:val="008C267A"/>
    <w:rsid w:val="008C2979"/>
    <w:rsid w:val="008C2C96"/>
    <w:rsid w:val="008C2FE5"/>
    <w:rsid w:val="008C31C0"/>
    <w:rsid w:val="008C386F"/>
    <w:rsid w:val="008C3A3B"/>
    <w:rsid w:val="008C3D46"/>
    <w:rsid w:val="008C40C1"/>
    <w:rsid w:val="008C468F"/>
    <w:rsid w:val="008C48F8"/>
    <w:rsid w:val="008C4958"/>
    <w:rsid w:val="008C4BAA"/>
    <w:rsid w:val="008C4D22"/>
    <w:rsid w:val="008C5977"/>
    <w:rsid w:val="008C636D"/>
    <w:rsid w:val="008C6AE8"/>
    <w:rsid w:val="008C7573"/>
    <w:rsid w:val="008C7D4E"/>
    <w:rsid w:val="008C7F2C"/>
    <w:rsid w:val="008C7F46"/>
    <w:rsid w:val="008D027D"/>
    <w:rsid w:val="008D114A"/>
    <w:rsid w:val="008D13F8"/>
    <w:rsid w:val="008D1742"/>
    <w:rsid w:val="008D191E"/>
    <w:rsid w:val="008D19A6"/>
    <w:rsid w:val="008D19AA"/>
    <w:rsid w:val="008D1DD4"/>
    <w:rsid w:val="008D1FB0"/>
    <w:rsid w:val="008D1FC0"/>
    <w:rsid w:val="008D224C"/>
    <w:rsid w:val="008D2E1D"/>
    <w:rsid w:val="008D2EBF"/>
    <w:rsid w:val="008D2EE6"/>
    <w:rsid w:val="008D3299"/>
    <w:rsid w:val="008D34F1"/>
    <w:rsid w:val="008D35CF"/>
    <w:rsid w:val="008D39D8"/>
    <w:rsid w:val="008D413C"/>
    <w:rsid w:val="008D42D1"/>
    <w:rsid w:val="008D4785"/>
    <w:rsid w:val="008D4A3D"/>
    <w:rsid w:val="008D4FAD"/>
    <w:rsid w:val="008D5111"/>
    <w:rsid w:val="008D517C"/>
    <w:rsid w:val="008D556C"/>
    <w:rsid w:val="008D5DD5"/>
    <w:rsid w:val="008D6225"/>
    <w:rsid w:val="008D680E"/>
    <w:rsid w:val="008D68F2"/>
    <w:rsid w:val="008D6D1A"/>
    <w:rsid w:val="008D6D69"/>
    <w:rsid w:val="008D751A"/>
    <w:rsid w:val="008D75C6"/>
    <w:rsid w:val="008D7AC2"/>
    <w:rsid w:val="008E07F0"/>
    <w:rsid w:val="008E07F9"/>
    <w:rsid w:val="008E0927"/>
    <w:rsid w:val="008E0DC8"/>
    <w:rsid w:val="008E0E1F"/>
    <w:rsid w:val="008E10C0"/>
    <w:rsid w:val="008E1909"/>
    <w:rsid w:val="008E19B5"/>
    <w:rsid w:val="008E2A65"/>
    <w:rsid w:val="008E2E80"/>
    <w:rsid w:val="008E30B6"/>
    <w:rsid w:val="008E33E0"/>
    <w:rsid w:val="008E3A37"/>
    <w:rsid w:val="008E3C1B"/>
    <w:rsid w:val="008E3E1F"/>
    <w:rsid w:val="008E3FD3"/>
    <w:rsid w:val="008E436E"/>
    <w:rsid w:val="008E4DF6"/>
    <w:rsid w:val="008E4E82"/>
    <w:rsid w:val="008E548A"/>
    <w:rsid w:val="008E54CF"/>
    <w:rsid w:val="008E5E7C"/>
    <w:rsid w:val="008E6099"/>
    <w:rsid w:val="008E61F0"/>
    <w:rsid w:val="008E6321"/>
    <w:rsid w:val="008E647E"/>
    <w:rsid w:val="008E64C2"/>
    <w:rsid w:val="008E654E"/>
    <w:rsid w:val="008E66A4"/>
    <w:rsid w:val="008E68D8"/>
    <w:rsid w:val="008E6D79"/>
    <w:rsid w:val="008E6E06"/>
    <w:rsid w:val="008E6E68"/>
    <w:rsid w:val="008E715E"/>
    <w:rsid w:val="008E75BD"/>
    <w:rsid w:val="008E7791"/>
    <w:rsid w:val="008E781E"/>
    <w:rsid w:val="008E7821"/>
    <w:rsid w:val="008E7ABB"/>
    <w:rsid w:val="008E7B34"/>
    <w:rsid w:val="008F022B"/>
    <w:rsid w:val="008F0A25"/>
    <w:rsid w:val="008F0FDC"/>
    <w:rsid w:val="008F139E"/>
    <w:rsid w:val="008F13AF"/>
    <w:rsid w:val="008F15F3"/>
    <w:rsid w:val="008F197A"/>
    <w:rsid w:val="008F19BC"/>
    <w:rsid w:val="008F1EAB"/>
    <w:rsid w:val="008F1ECD"/>
    <w:rsid w:val="008F205C"/>
    <w:rsid w:val="008F3283"/>
    <w:rsid w:val="008F33DC"/>
    <w:rsid w:val="008F37D2"/>
    <w:rsid w:val="008F3CD3"/>
    <w:rsid w:val="008F4050"/>
    <w:rsid w:val="008F44A2"/>
    <w:rsid w:val="008F477F"/>
    <w:rsid w:val="008F4D11"/>
    <w:rsid w:val="008F4F67"/>
    <w:rsid w:val="008F53D0"/>
    <w:rsid w:val="008F6075"/>
    <w:rsid w:val="008F6274"/>
    <w:rsid w:val="008F6A01"/>
    <w:rsid w:val="008F6B1A"/>
    <w:rsid w:val="008F6BDC"/>
    <w:rsid w:val="008F6F19"/>
    <w:rsid w:val="008F715B"/>
    <w:rsid w:val="008F7228"/>
    <w:rsid w:val="008F7390"/>
    <w:rsid w:val="008F7C08"/>
    <w:rsid w:val="00900B04"/>
    <w:rsid w:val="00900CA0"/>
    <w:rsid w:val="00900E3C"/>
    <w:rsid w:val="0090151D"/>
    <w:rsid w:val="009015A5"/>
    <w:rsid w:val="00901CFD"/>
    <w:rsid w:val="00901D15"/>
    <w:rsid w:val="00902491"/>
    <w:rsid w:val="00902BDA"/>
    <w:rsid w:val="00902E62"/>
    <w:rsid w:val="00902F3E"/>
    <w:rsid w:val="00903134"/>
    <w:rsid w:val="0090336B"/>
    <w:rsid w:val="00903880"/>
    <w:rsid w:val="00903AB3"/>
    <w:rsid w:val="00903D79"/>
    <w:rsid w:val="00903F57"/>
    <w:rsid w:val="00904368"/>
    <w:rsid w:val="00904602"/>
    <w:rsid w:val="0090475B"/>
    <w:rsid w:val="00904A50"/>
    <w:rsid w:val="00904F5D"/>
    <w:rsid w:val="0090507A"/>
    <w:rsid w:val="00905214"/>
    <w:rsid w:val="00905285"/>
    <w:rsid w:val="00905307"/>
    <w:rsid w:val="009053AA"/>
    <w:rsid w:val="00905561"/>
    <w:rsid w:val="00906431"/>
    <w:rsid w:val="00906481"/>
    <w:rsid w:val="00906482"/>
    <w:rsid w:val="009066B2"/>
    <w:rsid w:val="009066D0"/>
    <w:rsid w:val="00906939"/>
    <w:rsid w:val="00906A8B"/>
    <w:rsid w:val="00906C12"/>
    <w:rsid w:val="00907136"/>
    <w:rsid w:val="0090796B"/>
    <w:rsid w:val="00907F4E"/>
    <w:rsid w:val="0091017E"/>
    <w:rsid w:val="00910390"/>
    <w:rsid w:val="00910735"/>
    <w:rsid w:val="00910B7D"/>
    <w:rsid w:val="00911017"/>
    <w:rsid w:val="00911284"/>
    <w:rsid w:val="009112F7"/>
    <w:rsid w:val="009117F4"/>
    <w:rsid w:val="00911977"/>
    <w:rsid w:val="00911C40"/>
    <w:rsid w:val="00911DFB"/>
    <w:rsid w:val="009121B5"/>
    <w:rsid w:val="0091237C"/>
    <w:rsid w:val="009123E0"/>
    <w:rsid w:val="0091244C"/>
    <w:rsid w:val="009125E0"/>
    <w:rsid w:val="009127BA"/>
    <w:rsid w:val="00913227"/>
    <w:rsid w:val="009132C6"/>
    <w:rsid w:val="0091386C"/>
    <w:rsid w:val="009139D9"/>
    <w:rsid w:val="009139E4"/>
    <w:rsid w:val="00913A43"/>
    <w:rsid w:val="00913C79"/>
    <w:rsid w:val="00913D7D"/>
    <w:rsid w:val="009141FF"/>
    <w:rsid w:val="00914233"/>
    <w:rsid w:val="00914893"/>
    <w:rsid w:val="009148C8"/>
    <w:rsid w:val="009148D2"/>
    <w:rsid w:val="00914AD8"/>
    <w:rsid w:val="00914BC0"/>
    <w:rsid w:val="00914BCA"/>
    <w:rsid w:val="00914CC7"/>
    <w:rsid w:val="009153EB"/>
    <w:rsid w:val="009155B4"/>
    <w:rsid w:val="0091563D"/>
    <w:rsid w:val="00916079"/>
    <w:rsid w:val="009160FB"/>
    <w:rsid w:val="009164BD"/>
    <w:rsid w:val="0091691E"/>
    <w:rsid w:val="00916FCC"/>
    <w:rsid w:val="00917191"/>
    <w:rsid w:val="0091767D"/>
    <w:rsid w:val="00917956"/>
    <w:rsid w:val="00917CE9"/>
    <w:rsid w:val="00917E2D"/>
    <w:rsid w:val="009201A7"/>
    <w:rsid w:val="0092027E"/>
    <w:rsid w:val="00920AAF"/>
    <w:rsid w:val="00920BF2"/>
    <w:rsid w:val="00920D3C"/>
    <w:rsid w:val="009212AB"/>
    <w:rsid w:val="0092137F"/>
    <w:rsid w:val="00921B3E"/>
    <w:rsid w:val="00922010"/>
    <w:rsid w:val="00922060"/>
    <w:rsid w:val="009223AA"/>
    <w:rsid w:val="0092265D"/>
    <w:rsid w:val="009226F0"/>
    <w:rsid w:val="0092270D"/>
    <w:rsid w:val="0092272E"/>
    <w:rsid w:val="00922BFE"/>
    <w:rsid w:val="00922FBF"/>
    <w:rsid w:val="00922FF1"/>
    <w:rsid w:val="00923033"/>
    <w:rsid w:val="009232E2"/>
    <w:rsid w:val="009237EC"/>
    <w:rsid w:val="0092390C"/>
    <w:rsid w:val="00923BD4"/>
    <w:rsid w:val="00923F3A"/>
    <w:rsid w:val="009242BD"/>
    <w:rsid w:val="00924343"/>
    <w:rsid w:val="00924657"/>
    <w:rsid w:val="0092533B"/>
    <w:rsid w:val="0092560F"/>
    <w:rsid w:val="00925846"/>
    <w:rsid w:val="00925878"/>
    <w:rsid w:val="00925CBD"/>
    <w:rsid w:val="00925E12"/>
    <w:rsid w:val="009266CD"/>
    <w:rsid w:val="00926C8B"/>
    <w:rsid w:val="00927A8E"/>
    <w:rsid w:val="00927AAE"/>
    <w:rsid w:val="00927FE2"/>
    <w:rsid w:val="0093059C"/>
    <w:rsid w:val="00930DC0"/>
    <w:rsid w:val="00930E74"/>
    <w:rsid w:val="0093109A"/>
    <w:rsid w:val="00931AB9"/>
    <w:rsid w:val="00931BD9"/>
    <w:rsid w:val="00932130"/>
    <w:rsid w:val="00932952"/>
    <w:rsid w:val="00932CED"/>
    <w:rsid w:val="00933367"/>
    <w:rsid w:val="00933500"/>
    <w:rsid w:val="00933A27"/>
    <w:rsid w:val="00933E7A"/>
    <w:rsid w:val="00933E80"/>
    <w:rsid w:val="00934396"/>
    <w:rsid w:val="00934714"/>
    <w:rsid w:val="009349BB"/>
    <w:rsid w:val="00934BDA"/>
    <w:rsid w:val="00934D5B"/>
    <w:rsid w:val="00935221"/>
    <w:rsid w:val="00935A7F"/>
    <w:rsid w:val="00935BE1"/>
    <w:rsid w:val="009362A7"/>
    <w:rsid w:val="00937541"/>
    <w:rsid w:val="00937AEB"/>
    <w:rsid w:val="0094060B"/>
    <w:rsid w:val="009408F8"/>
    <w:rsid w:val="00940C00"/>
    <w:rsid w:val="00940D2D"/>
    <w:rsid w:val="00941636"/>
    <w:rsid w:val="0094165A"/>
    <w:rsid w:val="009417F7"/>
    <w:rsid w:val="00942260"/>
    <w:rsid w:val="0094270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31D"/>
    <w:rsid w:val="00947713"/>
    <w:rsid w:val="0094782B"/>
    <w:rsid w:val="00947CC8"/>
    <w:rsid w:val="00947D62"/>
    <w:rsid w:val="0095092C"/>
    <w:rsid w:val="00950DE7"/>
    <w:rsid w:val="00951383"/>
    <w:rsid w:val="00951A64"/>
    <w:rsid w:val="00951B19"/>
    <w:rsid w:val="00951FE9"/>
    <w:rsid w:val="00952013"/>
    <w:rsid w:val="0095278F"/>
    <w:rsid w:val="00953098"/>
    <w:rsid w:val="00953213"/>
    <w:rsid w:val="00953637"/>
    <w:rsid w:val="00953920"/>
    <w:rsid w:val="00953988"/>
    <w:rsid w:val="009539FB"/>
    <w:rsid w:val="00953D47"/>
    <w:rsid w:val="00954090"/>
    <w:rsid w:val="009541BE"/>
    <w:rsid w:val="0095461F"/>
    <w:rsid w:val="00954663"/>
    <w:rsid w:val="00954BB4"/>
    <w:rsid w:val="00954F7B"/>
    <w:rsid w:val="00955405"/>
    <w:rsid w:val="009559ED"/>
    <w:rsid w:val="00955D24"/>
    <w:rsid w:val="0095681E"/>
    <w:rsid w:val="00956901"/>
    <w:rsid w:val="0095703A"/>
    <w:rsid w:val="009572D4"/>
    <w:rsid w:val="009612A8"/>
    <w:rsid w:val="009615DC"/>
    <w:rsid w:val="009615FF"/>
    <w:rsid w:val="00961921"/>
    <w:rsid w:val="00961964"/>
    <w:rsid w:val="0096240B"/>
    <w:rsid w:val="009626B3"/>
    <w:rsid w:val="0096355B"/>
    <w:rsid w:val="00963BD3"/>
    <w:rsid w:val="00963C1E"/>
    <w:rsid w:val="00963E14"/>
    <w:rsid w:val="0096430A"/>
    <w:rsid w:val="00964464"/>
    <w:rsid w:val="0096475B"/>
    <w:rsid w:val="00964F05"/>
    <w:rsid w:val="0096554B"/>
    <w:rsid w:val="00965561"/>
    <w:rsid w:val="0096584A"/>
    <w:rsid w:val="00965A15"/>
    <w:rsid w:val="00965A4F"/>
    <w:rsid w:val="00965BD7"/>
    <w:rsid w:val="00965E61"/>
    <w:rsid w:val="00967013"/>
    <w:rsid w:val="0096753B"/>
    <w:rsid w:val="00967573"/>
    <w:rsid w:val="0096766E"/>
    <w:rsid w:val="00967764"/>
    <w:rsid w:val="00967AB1"/>
    <w:rsid w:val="009707FF"/>
    <w:rsid w:val="009708E5"/>
    <w:rsid w:val="009708F3"/>
    <w:rsid w:val="00970A56"/>
    <w:rsid w:val="0097100A"/>
    <w:rsid w:val="0097106B"/>
    <w:rsid w:val="009713D9"/>
    <w:rsid w:val="00971464"/>
    <w:rsid w:val="00971530"/>
    <w:rsid w:val="00971608"/>
    <w:rsid w:val="00971837"/>
    <w:rsid w:val="0097188B"/>
    <w:rsid w:val="00971A83"/>
    <w:rsid w:val="00971A9C"/>
    <w:rsid w:val="00971CA8"/>
    <w:rsid w:val="00971E19"/>
    <w:rsid w:val="00971F08"/>
    <w:rsid w:val="00971F70"/>
    <w:rsid w:val="00972109"/>
    <w:rsid w:val="009727F4"/>
    <w:rsid w:val="009728BF"/>
    <w:rsid w:val="00972E1B"/>
    <w:rsid w:val="00972FC4"/>
    <w:rsid w:val="0097322D"/>
    <w:rsid w:val="0097329C"/>
    <w:rsid w:val="009741A3"/>
    <w:rsid w:val="009746F7"/>
    <w:rsid w:val="009746FE"/>
    <w:rsid w:val="00974722"/>
    <w:rsid w:val="00974A18"/>
    <w:rsid w:val="00974C50"/>
    <w:rsid w:val="00974D5A"/>
    <w:rsid w:val="009750FB"/>
    <w:rsid w:val="00975D06"/>
    <w:rsid w:val="00976949"/>
    <w:rsid w:val="0097695B"/>
    <w:rsid w:val="00976B34"/>
    <w:rsid w:val="00976D35"/>
    <w:rsid w:val="00977193"/>
    <w:rsid w:val="00977A89"/>
    <w:rsid w:val="00977C76"/>
    <w:rsid w:val="00977F6E"/>
    <w:rsid w:val="00980477"/>
    <w:rsid w:val="0098062F"/>
    <w:rsid w:val="009817BF"/>
    <w:rsid w:val="00981923"/>
    <w:rsid w:val="00981B5A"/>
    <w:rsid w:val="00981FD7"/>
    <w:rsid w:val="009820F4"/>
    <w:rsid w:val="00982C4C"/>
    <w:rsid w:val="0098311B"/>
    <w:rsid w:val="00983521"/>
    <w:rsid w:val="009835A1"/>
    <w:rsid w:val="0098362A"/>
    <w:rsid w:val="0098390D"/>
    <w:rsid w:val="00983B15"/>
    <w:rsid w:val="009840D2"/>
    <w:rsid w:val="00984221"/>
    <w:rsid w:val="009842FC"/>
    <w:rsid w:val="009846D5"/>
    <w:rsid w:val="00984738"/>
    <w:rsid w:val="00984A8A"/>
    <w:rsid w:val="00984D19"/>
    <w:rsid w:val="00984EF7"/>
    <w:rsid w:val="0098508F"/>
    <w:rsid w:val="00985253"/>
    <w:rsid w:val="009853B3"/>
    <w:rsid w:val="00985796"/>
    <w:rsid w:val="00985879"/>
    <w:rsid w:val="00986635"/>
    <w:rsid w:val="009866A1"/>
    <w:rsid w:val="00986B3C"/>
    <w:rsid w:val="00986E3E"/>
    <w:rsid w:val="009870B6"/>
    <w:rsid w:val="00987439"/>
    <w:rsid w:val="00987D50"/>
    <w:rsid w:val="00987F9C"/>
    <w:rsid w:val="009900E5"/>
    <w:rsid w:val="00990194"/>
    <w:rsid w:val="00990630"/>
    <w:rsid w:val="0099093F"/>
    <w:rsid w:val="00990B5A"/>
    <w:rsid w:val="009911DF"/>
    <w:rsid w:val="00991761"/>
    <w:rsid w:val="00991D38"/>
    <w:rsid w:val="0099235B"/>
    <w:rsid w:val="0099266D"/>
    <w:rsid w:val="00992C14"/>
    <w:rsid w:val="00992C62"/>
    <w:rsid w:val="00992C63"/>
    <w:rsid w:val="00992CDF"/>
    <w:rsid w:val="00993321"/>
    <w:rsid w:val="009935E5"/>
    <w:rsid w:val="00993D8D"/>
    <w:rsid w:val="00994309"/>
    <w:rsid w:val="00994B02"/>
    <w:rsid w:val="00994DCA"/>
    <w:rsid w:val="00995017"/>
    <w:rsid w:val="009955D8"/>
    <w:rsid w:val="00995692"/>
    <w:rsid w:val="00995B06"/>
    <w:rsid w:val="0099603E"/>
    <w:rsid w:val="009965BD"/>
    <w:rsid w:val="009966F5"/>
    <w:rsid w:val="009966F8"/>
    <w:rsid w:val="0099682A"/>
    <w:rsid w:val="00996BDC"/>
    <w:rsid w:val="009970DD"/>
    <w:rsid w:val="009977EF"/>
    <w:rsid w:val="009A005D"/>
    <w:rsid w:val="009A0722"/>
    <w:rsid w:val="009A0FAB"/>
    <w:rsid w:val="009A0FBA"/>
    <w:rsid w:val="009A0FE1"/>
    <w:rsid w:val="009A10D6"/>
    <w:rsid w:val="009A13D5"/>
    <w:rsid w:val="009A1601"/>
    <w:rsid w:val="009A1C6E"/>
    <w:rsid w:val="009A1F67"/>
    <w:rsid w:val="009A24C8"/>
    <w:rsid w:val="009A257B"/>
    <w:rsid w:val="009A2F3C"/>
    <w:rsid w:val="009A31D4"/>
    <w:rsid w:val="009A3AA2"/>
    <w:rsid w:val="009A3EE8"/>
    <w:rsid w:val="009A42E3"/>
    <w:rsid w:val="009A462D"/>
    <w:rsid w:val="009A48BB"/>
    <w:rsid w:val="009A4D54"/>
    <w:rsid w:val="009A4D84"/>
    <w:rsid w:val="009A58CF"/>
    <w:rsid w:val="009A5CBA"/>
    <w:rsid w:val="009A6274"/>
    <w:rsid w:val="009A627F"/>
    <w:rsid w:val="009A645B"/>
    <w:rsid w:val="009A663F"/>
    <w:rsid w:val="009A6738"/>
    <w:rsid w:val="009A6914"/>
    <w:rsid w:val="009A6C0B"/>
    <w:rsid w:val="009A71C9"/>
    <w:rsid w:val="009A747D"/>
    <w:rsid w:val="009A755E"/>
    <w:rsid w:val="009A7801"/>
    <w:rsid w:val="009B0D91"/>
    <w:rsid w:val="009B0E03"/>
    <w:rsid w:val="009B111D"/>
    <w:rsid w:val="009B13D8"/>
    <w:rsid w:val="009B14FE"/>
    <w:rsid w:val="009B235B"/>
    <w:rsid w:val="009B3104"/>
    <w:rsid w:val="009B396D"/>
    <w:rsid w:val="009B3AC2"/>
    <w:rsid w:val="009B3B3E"/>
    <w:rsid w:val="009B3BD4"/>
    <w:rsid w:val="009B4103"/>
    <w:rsid w:val="009B421A"/>
    <w:rsid w:val="009B44CE"/>
    <w:rsid w:val="009B45BC"/>
    <w:rsid w:val="009B4750"/>
    <w:rsid w:val="009B47DE"/>
    <w:rsid w:val="009B4A4D"/>
    <w:rsid w:val="009B4DF4"/>
    <w:rsid w:val="009B4E5C"/>
    <w:rsid w:val="009B564E"/>
    <w:rsid w:val="009B5DC8"/>
    <w:rsid w:val="009B63E2"/>
    <w:rsid w:val="009B6662"/>
    <w:rsid w:val="009B6725"/>
    <w:rsid w:val="009B67E7"/>
    <w:rsid w:val="009B6871"/>
    <w:rsid w:val="009B6ADC"/>
    <w:rsid w:val="009B6F63"/>
    <w:rsid w:val="009B6F97"/>
    <w:rsid w:val="009B7902"/>
    <w:rsid w:val="009B7AA5"/>
    <w:rsid w:val="009B7ADC"/>
    <w:rsid w:val="009B7B75"/>
    <w:rsid w:val="009B7E87"/>
    <w:rsid w:val="009C0587"/>
    <w:rsid w:val="009C153C"/>
    <w:rsid w:val="009C19B7"/>
    <w:rsid w:val="009C205A"/>
    <w:rsid w:val="009C21A2"/>
    <w:rsid w:val="009C273D"/>
    <w:rsid w:val="009C2BC5"/>
    <w:rsid w:val="009C2DAB"/>
    <w:rsid w:val="009C30B2"/>
    <w:rsid w:val="009C403E"/>
    <w:rsid w:val="009C4755"/>
    <w:rsid w:val="009C4923"/>
    <w:rsid w:val="009C4BB8"/>
    <w:rsid w:val="009C5410"/>
    <w:rsid w:val="009C5948"/>
    <w:rsid w:val="009C59CF"/>
    <w:rsid w:val="009C5A31"/>
    <w:rsid w:val="009C5A65"/>
    <w:rsid w:val="009C61B2"/>
    <w:rsid w:val="009C62EF"/>
    <w:rsid w:val="009C659F"/>
    <w:rsid w:val="009C6698"/>
    <w:rsid w:val="009C6704"/>
    <w:rsid w:val="009C6B59"/>
    <w:rsid w:val="009C6D8B"/>
    <w:rsid w:val="009C6F05"/>
    <w:rsid w:val="009C742A"/>
    <w:rsid w:val="009C78AC"/>
    <w:rsid w:val="009D04DC"/>
    <w:rsid w:val="009D0714"/>
    <w:rsid w:val="009D111B"/>
    <w:rsid w:val="009D17AD"/>
    <w:rsid w:val="009D1829"/>
    <w:rsid w:val="009D1AEF"/>
    <w:rsid w:val="009D2044"/>
    <w:rsid w:val="009D2091"/>
    <w:rsid w:val="009D2ACB"/>
    <w:rsid w:val="009D31CD"/>
    <w:rsid w:val="009D34E4"/>
    <w:rsid w:val="009D378A"/>
    <w:rsid w:val="009D3FDC"/>
    <w:rsid w:val="009D3FEA"/>
    <w:rsid w:val="009D460D"/>
    <w:rsid w:val="009D492B"/>
    <w:rsid w:val="009D4D49"/>
    <w:rsid w:val="009D4F5A"/>
    <w:rsid w:val="009D4FF0"/>
    <w:rsid w:val="009D50FB"/>
    <w:rsid w:val="009D5262"/>
    <w:rsid w:val="009D564C"/>
    <w:rsid w:val="009D58A2"/>
    <w:rsid w:val="009D58E2"/>
    <w:rsid w:val="009D5BB6"/>
    <w:rsid w:val="009D5DD5"/>
    <w:rsid w:val="009D62ED"/>
    <w:rsid w:val="009D67C7"/>
    <w:rsid w:val="009D6C0B"/>
    <w:rsid w:val="009D6C52"/>
    <w:rsid w:val="009D6CD8"/>
    <w:rsid w:val="009D6FE7"/>
    <w:rsid w:val="009D703C"/>
    <w:rsid w:val="009D70FA"/>
    <w:rsid w:val="009D718F"/>
    <w:rsid w:val="009D75B7"/>
    <w:rsid w:val="009D7788"/>
    <w:rsid w:val="009D7E42"/>
    <w:rsid w:val="009E0213"/>
    <w:rsid w:val="009E054A"/>
    <w:rsid w:val="009E068F"/>
    <w:rsid w:val="009E07DE"/>
    <w:rsid w:val="009E0B09"/>
    <w:rsid w:val="009E0C0A"/>
    <w:rsid w:val="009E138A"/>
    <w:rsid w:val="009E16E5"/>
    <w:rsid w:val="009E1B36"/>
    <w:rsid w:val="009E1EAB"/>
    <w:rsid w:val="009E23F6"/>
    <w:rsid w:val="009E35DB"/>
    <w:rsid w:val="009E3618"/>
    <w:rsid w:val="009E371A"/>
    <w:rsid w:val="009E3889"/>
    <w:rsid w:val="009E3F28"/>
    <w:rsid w:val="009E4004"/>
    <w:rsid w:val="009E47A3"/>
    <w:rsid w:val="009E4AF8"/>
    <w:rsid w:val="009E4E22"/>
    <w:rsid w:val="009E5072"/>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0CDF"/>
    <w:rsid w:val="009F0D16"/>
    <w:rsid w:val="009F0FD3"/>
    <w:rsid w:val="009F1A8F"/>
    <w:rsid w:val="009F1B7E"/>
    <w:rsid w:val="009F2089"/>
    <w:rsid w:val="009F217D"/>
    <w:rsid w:val="009F21E3"/>
    <w:rsid w:val="009F2AE7"/>
    <w:rsid w:val="009F2AF7"/>
    <w:rsid w:val="009F2B2C"/>
    <w:rsid w:val="009F2BF3"/>
    <w:rsid w:val="009F2E03"/>
    <w:rsid w:val="009F3011"/>
    <w:rsid w:val="009F3137"/>
    <w:rsid w:val="009F344F"/>
    <w:rsid w:val="009F348C"/>
    <w:rsid w:val="009F3AEE"/>
    <w:rsid w:val="009F3B1B"/>
    <w:rsid w:val="009F3C3D"/>
    <w:rsid w:val="009F4396"/>
    <w:rsid w:val="009F448E"/>
    <w:rsid w:val="009F469F"/>
    <w:rsid w:val="009F4892"/>
    <w:rsid w:val="009F6082"/>
    <w:rsid w:val="009F63D2"/>
    <w:rsid w:val="009F6BA1"/>
    <w:rsid w:val="009F6E68"/>
    <w:rsid w:val="009F7369"/>
    <w:rsid w:val="009F74EE"/>
    <w:rsid w:val="009F753B"/>
    <w:rsid w:val="009F7BA1"/>
    <w:rsid w:val="009F7BDB"/>
    <w:rsid w:val="009F7C5C"/>
    <w:rsid w:val="009F7DAD"/>
    <w:rsid w:val="00A00254"/>
    <w:rsid w:val="00A0026D"/>
    <w:rsid w:val="00A0039D"/>
    <w:rsid w:val="00A0060F"/>
    <w:rsid w:val="00A0201C"/>
    <w:rsid w:val="00A021CA"/>
    <w:rsid w:val="00A02377"/>
    <w:rsid w:val="00A02996"/>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1F0"/>
    <w:rsid w:val="00A079D6"/>
    <w:rsid w:val="00A10B1A"/>
    <w:rsid w:val="00A10D5D"/>
    <w:rsid w:val="00A10F17"/>
    <w:rsid w:val="00A10FBB"/>
    <w:rsid w:val="00A110BC"/>
    <w:rsid w:val="00A11BA9"/>
    <w:rsid w:val="00A12492"/>
    <w:rsid w:val="00A13A81"/>
    <w:rsid w:val="00A13DD6"/>
    <w:rsid w:val="00A13E54"/>
    <w:rsid w:val="00A1420D"/>
    <w:rsid w:val="00A144B1"/>
    <w:rsid w:val="00A147B5"/>
    <w:rsid w:val="00A147FB"/>
    <w:rsid w:val="00A14872"/>
    <w:rsid w:val="00A149B8"/>
    <w:rsid w:val="00A15385"/>
    <w:rsid w:val="00A163E3"/>
    <w:rsid w:val="00A164E3"/>
    <w:rsid w:val="00A168B5"/>
    <w:rsid w:val="00A16D58"/>
    <w:rsid w:val="00A16D7C"/>
    <w:rsid w:val="00A16EE6"/>
    <w:rsid w:val="00A17099"/>
    <w:rsid w:val="00A17F63"/>
    <w:rsid w:val="00A200EF"/>
    <w:rsid w:val="00A202B8"/>
    <w:rsid w:val="00A20E4F"/>
    <w:rsid w:val="00A2149F"/>
    <w:rsid w:val="00A214F4"/>
    <w:rsid w:val="00A2162A"/>
    <w:rsid w:val="00A2193B"/>
    <w:rsid w:val="00A21B62"/>
    <w:rsid w:val="00A2209A"/>
    <w:rsid w:val="00A229BF"/>
    <w:rsid w:val="00A22EE1"/>
    <w:rsid w:val="00A2351A"/>
    <w:rsid w:val="00A23C5A"/>
    <w:rsid w:val="00A23DFC"/>
    <w:rsid w:val="00A23F25"/>
    <w:rsid w:val="00A24349"/>
    <w:rsid w:val="00A2479F"/>
    <w:rsid w:val="00A24EAC"/>
    <w:rsid w:val="00A2501E"/>
    <w:rsid w:val="00A253A7"/>
    <w:rsid w:val="00A25887"/>
    <w:rsid w:val="00A264A9"/>
    <w:rsid w:val="00A26637"/>
    <w:rsid w:val="00A2663B"/>
    <w:rsid w:val="00A26849"/>
    <w:rsid w:val="00A269B0"/>
    <w:rsid w:val="00A26DD2"/>
    <w:rsid w:val="00A27785"/>
    <w:rsid w:val="00A27A7B"/>
    <w:rsid w:val="00A27C27"/>
    <w:rsid w:val="00A27F9E"/>
    <w:rsid w:val="00A30187"/>
    <w:rsid w:val="00A30920"/>
    <w:rsid w:val="00A30B84"/>
    <w:rsid w:val="00A30C0E"/>
    <w:rsid w:val="00A30D72"/>
    <w:rsid w:val="00A30ECA"/>
    <w:rsid w:val="00A315E6"/>
    <w:rsid w:val="00A318D6"/>
    <w:rsid w:val="00A319C8"/>
    <w:rsid w:val="00A31D70"/>
    <w:rsid w:val="00A320BF"/>
    <w:rsid w:val="00A323CE"/>
    <w:rsid w:val="00A325D3"/>
    <w:rsid w:val="00A33041"/>
    <w:rsid w:val="00A33D37"/>
    <w:rsid w:val="00A33EF5"/>
    <w:rsid w:val="00A3413D"/>
    <w:rsid w:val="00A34314"/>
    <w:rsid w:val="00A3431B"/>
    <w:rsid w:val="00A3448A"/>
    <w:rsid w:val="00A35160"/>
    <w:rsid w:val="00A35469"/>
    <w:rsid w:val="00A35D03"/>
    <w:rsid w:val="00A35EC7"/>
    <w:rsid w:val="00A36297"/>
    <w:rsid w:val="00A36EAD"/>
    <w:rsid w:val="00A37342"/>
    <w:rsid w:val="00A3755F"/>
    <w:rsid w:val="00A37E7B"/>
    <w:rsid w:val="00A4060A"/>
    <w:rsid w:val="00A408D4"/>
    <w:rsid w:val="00A40E1E"/>
    <w:rsid w:val="00A41763"/>
    <w:rsid w:val="00A419C2"/>
    <w:rsid w:val="00A41E2B"/>
    <w:rsid w:val="00A42250"/>
    <w:rsid w:val="00A4252A"/>
    <w:rsid w:val="00A4264A"/>
    <w:rsid w:val="00A42DC3"/>
    <w:rsid w:val="00A43013"/>
    <w:rsid w:val="00A4318D"/>
    <w:rsid w:val="00A433F0"/>
    <w:rsid w:val="00A43E2C"/>
    <w:rsid w:val="00A43ECE"/>
    <w:rsid w:val="00A44BC9"/>
    <w:rsid w:val="00A453DB"/>
    <w:rsid w:val="00A45AD5"/>
    <w:rsid w:val="00A45B74"/>
    <w:rsid w:val="00A45BB0"/>
    <w:rsid w:val="00A460E8"/>
    <w:rsid w:val="00A4665B"/>
    <w:rsid w:val="00A4678B"/>
    <w:rsid w:val="00A469EB"/>
    <w:rsid w:val="00A469ED"/>
    <w:rsid w:val="00A46A95"/>
    <w:rsid w:val="00A473FB"/>
    <w:rsid w:val="00A47A09"/>
    <w:rsid w:val="00A500DD"/>
    <w:rsid w:val="00A50156"/>
    <w:rsid w:val="00A50F41"/>
    <w:rsid w:val="00A510C1"/>
    <w:rsid w:val="00A5140E"/>
    <w:rsid w:val="00A51508"/>
    <w:rsid w:val="00A51622"/>
    <w:rsid w:val="00A51827"/>
    <w:rsid w:val="00A51D60"/>
    <w:rsid w:val="00A51E32"/>
    <w:rsid w:val="00A51F20"/>
    <w:rsid w:val="00A51FE3"/>
    <w:rsid w:val="00A522DB"/>
    <w:rsid w:val="00A523A0"/>
    <w:rsid w:val="00A52558"/>
    <w:rsid w:val="00A525A0"/>
    <w:rsid w:val="00A525C9"/>
    <w:rsid w:val="00A5262A"/>
    <w:rsid w:val="00A52839"/>
    <w:rsid w:val="00A52A91"/>
    <w:rsid w:val="00A52B3E"/>
    <w:rsid w:val="00A52E1D"/>
    <w:rsid w:val="00A52F16"/>
    <w:rsid w:val="00A53344"/>
    <w:rsid w:val="00A5341A"/>
    <w:rsid w:val="00A53632"/>
    <w:rsid w:val="00A538F0"/>
    <w:rsid w:val="00A54049"/>
    <w:rsid w:val="00A54350"/>
    <w:rsid w:val="00A54975"/>
    <w:rsid w:val="00A54A43"/>
    <w:rsid w:val="00A54B6E"/>
    <w:rsid w:val="00A55667"/>
    <w:rsid w:val="00A55844"/>
    <w:rsid w:val="00A55EE6"/>
    <w:rsid w:val="00A561E0"/>
    <w:rsid w:val="00A56605"/>
    <w:rsid w:val="00A56674"/>
    <w:rsid w:val="00A56688"/>
    <w:rsid w:val="00A56C21"/>
    <w:rsid w:val="00A56E10"/>
    <w:rsid w:val="00A5705E"/>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3D71"/>
    <w:rsid w:val="00A64043"/>
    <w:rsid w:val="00A64603"/>
    <w:rsid w:val="00A647D1"/>
    <w:rsid w:val="00A64AFE"/>
    <w:rsid w:val="00A64C24"/>
    <w:rsid w:val="00A64DD4"/>
    <w:rsid w:val="00A64E27"/>
    <w:rsid w:val="00A65943"/>
    <w:rsid w:val="00A65B6B"/>
    <w:rsid w:val="00A660AC"/>
    <w:rsid w:val="00A66720"/>
    <w:rsid w:val="00A66740"/>
    <w:rsid w:val="00A670EF"/>
    <w:rsid w:val="00A67B0E"/>
    <w:rsid w:val="00A67D49"/>
    <w:rsid w:val="00A67E6C"/>
    <w:rsid w:val="00A7014E"/>
    <w:rsid w:val="00A705D7"/>
    <w:rsid w:val="00A70AF3"/>
    <w:rsid w:val="00A70E93"/>
    <w:rsid w:val="00A71528"/>
    <w:rsid w:val="00A71557"/>
    <w:rsid w:val="00A71B99"/>
    <w:rsid w:val="00A71E0A"/>
    <w:rsid w:val="00A7246D"/>
    <w:rsid w:val="00A7263C"/>
    <w:rsid w:val="00A72A7B"/>
    <w:rsid w:val="00A72E81"/>
    <w:rsid w:val="00A73989"/>
    <w:rsid w:val="00A739D0"/>
    <w:rsid w:val="00A73B53"/>
    <w:rsid w:val="00A73D7E"/>
    <w:rsid w:val="00A743D8"/>
    <w:rsid w:val="00A746CE"/>
    <w:rsid w:val="00A74F54"/>
    <w:rsid w:val="00A74F7D"/>
    <w:rsid w:val="00A754EE"/>
    <w:rsid w:val="00A7557E"/>
    <w:rsid w:val="00A761D4"/>
    <w:rsid w:val="00A761F0"/>
    <w:rsid w:val="00A773F0"/>
    <w:rsid w:val="00A776B4"/>
    <w:rsid w:val="00A77C40"/>
    <w:rsid w:val="00A77EC4"/>
    <w:rsid w:val="00A805CE"/>
    <w:rsid w:val="00A80633"/>
    <w:rsid w:val="00A807B8"/>
    <w:rsid w:val="00A81327"/>
    <w:rsid w:val="00A81391"/>
    <w:rsid w:val="00A819AD"/>
    <w:rsid w:val="00A82369"/>
    <w:rsid w:val="00A8342C"/>
    <w:rsid w:val="00A83B47"/>
    <w:rsid w:val="00A843A4"/>
    <w:rsid w:val="00A8445F"/>
    <w:rsid w:val="00A8496C"/>
    <w:rsid w:val="00A852ED"/>
    <w:rsid w:val="00A8531C"/>
    <w:rsid w:val="00A855C3"/>
    <w:rsid w:val="00A85A38"/>
    <w:rsid w:val="00A85D63"/>
    <w:rsid w:val="00A871A3"/>
    <w:rsid w:val="00A8722C"/>
    <w:rsid w:val="00A8722D"/>
    <w:rsid w:val="00A877A9"/>
    <w:rsid w:val="00A87D6A"/>
    <w:rsid w:val="00A87DC0"/>
    <w:rsid w:val="00A90376"/>
    <w:rsid w:val="00A90B2A"/>
    <w:rsid w:val="00A91938"/>
    <w:rsid w:val="00A91E00"/>
    <w:rsid w:val="00A91F23"/>
    <w:rsid w:val="00A920C7"/>
    <w:rsid w:val="00A924AA"/>
    <w:rsid w:val="00A92879"/>
    <w:rsid w:val="00A92A9D"/>
    <w:rsid w:val="00A92B43"/>
    <w:rsid w:val="00A92EC0"/>
    <w:rsid w:val="00A93D59"/>
    <w:rsid w:val="00A94CBB"/>
    <w:rsid w:val="00A9544C"/>
    <w:rsid w:val="00A9568B"/>
    <w:rsid w:val="00A956A5"/>
    <w:rsid w:val="00A9594B"/>
    <w:rsid w:val="00A96357"/>
    <w:rsid w:val="00A977DC"/>
    <w:rsid w:val="00A97883"/>
    <w:rsid w:val="00A9789F"/>
    <w:rsid w:val="00A979EE"/>
    <w:rsid w:val="00A97EE2"/>
    <w:rsid w:val="00AA010A"/>
    <w:rsid w:val="00AA0156"/>
    <w:rsid w:val="00AA016F"/>
    <w:rsid w:val="00AA05E2"/>
    <w:rsid w:val="00AA0EDA"/>
    <w:rsid w:val="00AA1D8A"/>
    <w:rsid w:val="00AA1ED6"/>
    <w:rsid w:val="00AA20E0"/>
    <w:rsid w:val="00AA2187"/>
    <w:rsid w:val="00AA23DA"/>
    <w:rsid w:val="00AA2901"/>
    <w:rsid w:val="00AA2D9C"/>
    <w:rsid w:val="00AA34ED"/>
    <w:rsid w:val="00AA3748"/>
    <w:rsid w:val="00AA446F"/>
    <w:rsid w:val="00AA4F37"/>
    <w:rsid w:val="00AA51D6"/>
    <w:rsid w:val="00AA5389"/>
    <w:rsid w:val="00AA548E"/>
    <w:rsid w:val="00AA5C57"/>
    <w:rsid w:val="00AA5D17"/>
    <w:rsid w:val="00AA64E2"/>
    <w:rsid w:val="00AA6A05"/>
    <w:rsid w:val="00AA73C9"/>
    <w:rsid w:val="00AA76CD"/>
    <w:rsid w:val="00AA78F0"/>
    <w:rsid w:val="00AB0138"/>
    <w:rsid w:val="00AB0338"/>
    <w:rsid w:val="00AB04D2"/>
    <w:rsid w:val="00AB0BC8"/>
    <w:rsid w:val="00AB0D3C"/>
    <w:rsid w:val="00AB0D46"/>
    <w:rsid w:val="00AB11CA"/>
    <w:rsid w:val="00AB1387"/>
    <w:rsid w:val="00AB143E"/>
    <w:rsid w:val="00AB14D9"/>
    <w:rsid w:val="00AB186E"/>
    <w:rsid w:val="00AB19C7"/>
    <w:rsid w:val="00AB1B76"/>
    <w:rsid w:val="00AB1C24"/>
    <w:rsid w:val="00AB1C41"/>
    <w:rsid w:val="00AB20F6"/>
    <w:rsid w:val="00AB2F4D"/>
    <w:rsid w:val="00AB3026"/>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6D3"/>
    <w:rsid w:val="00AC0822"/>
    <w:rsid w:val="00AC158C"/>
    <w:rsid w:val="00AC1AB7"/>
    <w:rsid w:val="00AC1D55"/>
    <w:rsid w:val="00AC2ECD"/>
    <w:rsid w:val="00AC3119"/>
    <w:rsid w:val="00AC3124"/>
    <w:rsid w:val="00AC38AE"/>
    <w:rsid w:val="00AC3FEF"/>
    <w:rsid w:val="00AC42DD"/>
    <w:rsid w:val="00AC49FB"/>
    <w:rsid w:val="00AC4E1C"/>
    <w:rsid w:val="00AC5199"/>
    <w:rsid w:val="00AC5569"/>
    <w:rsid w:val="00AC5A10"/>
    <w:rsid w:val="00AC5A30"/>
    <w:rsid w:val="00AC5B90"/>
    <w:rsid w:val="00AC630A"/>
    <w:rsid w:val="00AC6962"/>
    <w:rsid w:val="00AC69A1"/>
    <w:rsid w:val="00AC70C1"/>
    <w:rsid w:val="00AC76DF"/>
    <w:rsid w:val="00AC786A"/>
    <w:rsid w:val="00AC79B5"/>
    <w:rsid w:val="00AD01BD"/>
    <w:rsid w:val="00AD0460"/>
    <w:rsid w:val="00AD048C"/>
    <w:rsid w:val="00AD0AA3"/>
    <w:rsid w:val="00AD0B4E"/>
    <w:rsid w:val="00AD1023"/>
    <w:rsid w:val="00AD107B"/>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95E"/>
    <w:rsid w:val="00AD3DC4"/>
    <w:rsid w:val="00AD3F6F"/>
    <w:rsid w:val="00AD3F94"/>
    <w:rsid w:val="00AD4389"/>
    <w:rsid w:val="00AD489C"/>
    <w:rsid w:val="00AD4A5A"/>
    <w:rsid w:val="00AD5247"/>
    <w:rsid w:val="00AD574E"/>
    <w:rsid w:val="00AD5AEA"/>
    <w:rsid w:val="00AD5F33"/>
    <w:rsid w:val="00AD6059"/>
    <w:rsid w:val="00AD696E"/>
    <w:rsid w:val="00AD6D53"/>
    <w:rsid w:val="00AD748F"/>
    <w:rsid w:val="00AD753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3C6"/>
    <w:rsid w:val="00AE4DBA"/>
    <w:rsid w:val="00AE4F07"/>
    <w:rsid w:val="00AE5783"/>
    <w:rsid w:val="00AE6492"/>
    <w:rsid w:val="00AE66E0"/>
    <w:rsid w:val="00AE6857"/>
    <w:rsid w:val="00AE7103"/>
    <w:rsid w:val="00AE71F0"/>
    <w:rsid w:val="00AE7707"/>
    <w:rsid w:val="00AF0104"/>
    <w:rsid w:val="00AF06AE"/>
    <w:rsid w:val="00AF0E08"/>
    <w:rsid w:val="00AF0F3A"/>
    <w:rsid w:val="00AF104B"/>
    <w:rsid w:val="00AF1BE8"/>
    <w:rsid w:val="00AF1C5D"/>
    <w:rsid w:val="00AF1E22"/>
    <w:rsid w:val="00AF2419"/>
    <w:rsid w:val="00AF2619"/>
    <w:rsid w:val="00AF26E4"/>
    <w:rsid w:val="00AF271A"/>
    <w:rsid w:val="00AF3219"/>
    <w:rsid w:val="00AF3576"/>
    <w:rsid w:val="00AF429B"/>
    <w:rsid w:val="00AF42D7"/>
    <w:rsid w:val="00AF44E2"/>
    <w:rsid w:val="00AF474B"/>
    <w:rsid w:val="00AF4AFF"/>
    <w:rsid w:val="00AF4F17"/>
    <w:rsid w:val="00AF530A"/>
    <w:rsid w:val="00AF557A"/>
    <w:rsid w:val="00AF59D1"/>
    <w:rsid w:val="00AF643F"/>
    <w:rsid w:val="00AF67CA"/>
    <w:rsid w:val="00AF6DA0"/>
    <w:rsid w:val="00AF7245"/>
    <w:rsid w:val="00AF795D"/>
    <w:rsid w:val="00B006FE"/>
    <w:rsid w:val="00B007CB"/>
    <w:rsid w:val="00B00A65"/>
    <w:rsid w:val="00B00D5C"/>
    <w:rsid w:val="00B00F84"/>
    <w:rsid w:val="00B01371"/>
    <w:rsid w:val="00B02AA9"/>
    <w:rsid w:val="00B02D93"/>
    <w:rsid w:val="00B02FA3"/>
    <w:rsid w:val="00B03281"/>
    <w:rsid w:val="00B037A1"/>
    <w:rsid w:val="00B038D2"/>
    <w:rsid w:val="00B043E5"/>
    <w:rsid w:val="00B04F0D"/>
    <w:rsid w:val="00B05084"/>
    <w:rsid w:val="00B05732"/>
    <w:rsid w:val="00B05E15"/>
    <w:rsid w:val="00B06362"/>
    <w:rsid w:val="00B0636A"/>
    <w:rsid w:val="00B067C2"/>
    <w:rsid w:val="00B069D3"/>
    <w:rsid w:val="00B0775C"/>
    <w:rsid w:val="00B07EBE"/>
    <w:rsid w:val="00B102A3"/>
    <w:rsid w:val="00B103C4"/>
    <w:rsid w:val="00B10477"/>
    <w:rsid w:val="00B10EEB"/>
    <w:rsid w:val="00B11356"/>
    <w:rsid w:val="00B11379"/>
    <w:rsid w:val="00B1177A"/>
    <w:rsid w:val="00B11D83"/>
    <w:rsid w:val="00B1230C"/>
    <w:rsid w:val="00B12447"/>
    <w:rsid w:val="00B128C5"/>
    <w:rsid w:val="00B132FF"/>
    <w:rsid w:val="00B13FDC"/>
    <w:rsid w:val="00B14057"/>
    <w:rsid w:val="00B14356"/>
    <w:rsid w:val="00B143FA"/>
    <w:rsid w:val="00B146E4"/>
    <w:rsid w:val="00B14B52"/>
    <w:rsid w:val="00B14DD4"/>
    <w:rsid w:val="00B15674"/>
    <w:rsid w:val="00B15781"/>
    <w:rsid w:val="00B157F9"/>
    <w:rsid w:val="00B159ED"/>
    <w:rsid w:val="00B15EB8"/>
    <w:rsid w:val="00B163B6"/>
    <w:rsid w:val="00B16527"/>
    <w:rsid w:val="00B168FB"/>
    <w:rsid w:val="00B169C0"/>
    <w:rsid w:val="00B17242"/>
    <w:rsid w:val="00B1739D"/>
    <w:rsid w:val="00B17846"/>
    <w:rsid w:val="00B17D61"/>
    <w:rsid w:val="00B200BB"/>
    <w:rsid w:val="00B200EB"/>
    <w:rsid w:val="00B20256"/>
    <w:rsid w:val="00B20379"/>
    <w:rsid w:val="00B206FF"/>
    <w:rsid w:val="00B20D09"/>
    <w:rsid w:val="00B20DD9"/>
    <w:rsid w:val="00B21BD0"/>
    <w:rsid w:val="00B21D5E"/>
    <w:rsid w:val="00B21F50"/>
    <w:rsid w:val="00B220EB"/>
    <w:rsid w:val="00B2233F"/>
    <w:rsid w:val="00B223A0"/>
    <w:rsid w:val="00B22634"/>
    <w:rsid w:val="00B231A3"/>
    <w:rsid w:val="00B233BC"/>
    <w:rsid w:val="00B233DF"/>
    <w:rsid w:val="00B23473"/>
    <w:rsid w:val="00B23755"/>
    <w:rsid w:val="00B23D38"/>
    <w:rsid w:val="00B2409E"/>
    <w:rsid w:val="00B2424E"/>
    <w:rsid w:val="00B24598"/>
    <w:rsid w:val="00B24D34"/>
    <w:rsid w:val="00B24D44"/>
    <w:rsid w:val="00B25A7A"/>
    <w:rsid w:val="00B25C41"/>
    <w:rsid w:val="00B25FA4"/>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4A8"/>
    <w:rsid w:val="00B318DF"/>
    <w:rsid w:val="00B31A5E"/>
    <w:rsid w:val="00B32210"/>
    <w:rsid w:val="00B3262E"/>
    <w:rsid w:val="00B327BA"/>
    <w:rsid w:val="00B32BC1"/>
    <w:rsid w:val="00B32E34"/>
    <w:rsid w:val="00B32F87"/>
    <w:rsid w:val="00B337BC"/>
    <w:rsid w:val="00B344CC"/>
    <w:rsid w:val="00B34984"/>
    <w:rsid w:val="00B34A46"/>
    <w:rsid w:val="00B356E2"/>
    <w:rsid w:val="00B35997"/>
    <w:rsid w:val="00B35999"/>
    <w:rsid w:val="00B3635D"/>
    <w:rsid w:val="00B36823"/>
    <w:rsid w:val="00B36A64"/>
    <w:rsid w:val="00B36BFB"/>
    <w:rsid w:val="00B36F25"/>
    <w:rsid w:val="00B36F3A"/>
    <w:rsid w:val="00B372AA"/>
    <w:rsid w:val="00B377A3"/>
    <w:rsid w:val="00B37E84"/>
    <w:rsid w:val="00B4001C"/>
    <w:rsid w:val="00B40445"/>
    <w:rsid w:val="00B40B51"/>
    <w:rsid w:val="00B410F7"/>
    <w:rsid w:val="00B415A5"/>
    <w:rsid w:val="00B41888"/>
    <w:rsid w:val="00B41E7A"/>
    <w:rsid w:val="00B425E1"/>
    <w:rsid w:val="00B43ACA"/>
    <w:rsid w:val="00B43B76"/>
    <w:rsid w:val="00B44019"/>
    <w:rsid w:val="00B444D3"/>
    <w:rsid w:val="00B44A42"/>
    <w:rsid w:val="00B44B37"/>
    <w:rsid w:val="00B459C2"/>
    <w:rsid w:val="00B45A52"/>
    <w:rsid w:val="00B46175"/>
    <w:rsid w:val="00B4650C"/>
    <w:rsid w:val="00B46833"/>
    <w:rsid w:val="00B46CA5"/>
    <w:rsid w:val="00B47435"/>
    <w:rsid w:val="00B47446"/>
    <w:rsid w:val="00B477B8"/>
    <w:rsid w:val="00B47803"/>
    <w:rsid w:val="00B4791A"/>
    <w:rsid w:val="00B47C29"/>
    <w:rsid w:val="00B47D21"/>
    <w:rsid w:val="00B50584"/>
    <w:rsid w:val="00B50916"/>
    <w:rsid w:val="00B50ABF"/>
    <w:rsid w:val="00B51008"/>
    <w:rsid w:val="00B51031"/>
    <w:rsid w:val="00B51D73"/>
    <w:rsid w:val="00B52318"/>
    <w:rsid w:val="00B5250A"/>
    <w:rsid w:val="00B5286A"/>
    <w:rsid w:val="00B53485"/>
    <w:rsid w:val="00B537CE"/>
    <w:rsid w:val="00B53861"/>
    <w:rsid w:val="00B53924"/>
    <w:rsid w:val="00B54858"/>
    <w:rsid w:val="00B54A32"/>
    <w:rsid w:val="00B5520F"/>
    <w:rsid w:val="00B556DC"/>
    <w:rsid w:val="00B558AD"/>
    <w:rsid w:val="00B56BC0"/>
    <w:rsid w:val="00B57004"/>
    <w:rsid w:val="00B57291"/>
    <w:rsid w:val="00B575E0"/>
    <w:rsid w:val="00B57A4E"/>
    <w:rsid w:val="00B57B83"/>
    <w:rsid w:val="00B57D38"/>
    <w:rsid w:val="00B57D49"/>
    <w:rsid w:val="00B57FF9"/>
    <w:rsid w:val="00B60031"/>
    <w:rsid w:val="00B60441"/>
    <w:rsid w:val="00B60762"/>
    <w:rsid w:val="00B60BB3"/>
    <w:rsid w:val="00B60BE7"/>
    <w:rsid w:val="00B62199"/>
    <w:rsid w:val="00B6248A"/>
    <w:rsid w:val="00B62BEF"/>
    <w:rsid w:val="00B630FC"/>
    <w:rsid w:val="00B63246"/>
    <w:rsid w:val="00B63658"/>
    <w:rsid w:val="00B63B96"/>
    <w:rsid w:val="00B63CEF"/>
    <w:rsid w:val="00B64357"/>
    <w:rsid w:val="00B64A5E"/>
    <w:rsid w:val="00B64B37"/>
    <w:rsid w:val="00B64B6F"/>
    <w:rsid w:val="00B64B93"/>
    <w:rsid w:val="00B65A30"/>
    <w:rsid w:val="00B66456"/>
    <w:rsid w:val="00B664BF"/>
    <w:rsid w:val="00B664C7"/>
    <w:rsid w:val="00B6659C"/>
    <w:rsid w:val="00B66EBD"/>
    <w:rsid w:val="00B66F4E"/>
    <w:rsid w:val="00B67119"/>
    <w:rsid w:val="00B7019D"/>
    <w:rsid w:val="00B70936"/>
    <w:rsid w:val="00B7227E"/>
    <w:rsid w:val="00B7285B"/>
    <w:rsid w:val="00B72868"/>
    <w:rsid w:val="00B7293C"/>
    <w:rsid w:val="00B731CF"/>
    <w:rsid w:val="00B7331C"/>
    <w:rsid w:val="00B73583"/>
    <w:rsid w:val="00B736C8"/>
    <w:rsid w:val="00B739F6"/>
    <w:rsid w:val="00B750BF"/>
    <w:rsid w:val="00B75541"/>
    <w:rsid w:val="00B758A1"/>
    <w:rsid w:val="00B758D4"/>
    <w:rsid w:val="00B75F5A"/>
    <w:rsid w:val="00B7656B"/>
    <w:rsid w:val="00B76D2A"/>
    <w:rsid w:val="00B777F2"/>
    <w:rsid w:val="00B77FFB"/>
    <w:rsid w:val="00B801F3"/>
    <w:rsid w:val="00B804B5"/>
    <w:rsid w:val="00B80C96"/>
    <w:rsid w:val="00B81462"/>
    <w:rsid w:val="00B81A7B"/>
    <w:rsid w:val="00B81FF6"/>
    <w:rsid w:val="00B8209E"/>
    <w:rsid w:val="00B82C42"/>
    <w:rsid w:val="00B82D5A"/>
    <w:rsid w:val="00B830CB"/>
    <w:rsid w:val="00B83969"/>
    <w:rsid w:val="00B8397C"/>
    <w:rsid w:val="00B84B14"/>
    <w:rsid w:val="00B84C08"/>
    <w:rsid w:val="00B85203"/>
    <w:rsid w:val="00B852E5"/>
    <w:rsid w:val="00B85920"/>
    <w:rsid w:val="00B85A43"/>
    <w:rsid w:val="00B85CCF"/>
    <w:rsid w:val="00B85DE5"/>
    <w:rsid w:val="00B85F55"/>
    <w:rsid w:val="00B85F9D"/>
    <w:rsid w:val="00B86343"/>
    <w:rsid w:val="00B863E8"/>
    <w:rsid w:val="00B866B2"/>
    <w:rsid w:val="00B86AEA"/>
    <w:rsid w:val="00B86D43"/>
    <w:rsid w:val="00B870C6"/>
    <w:rsid w:val="00B87A0F"/>
    <w:rsid w:val="00B87D4D"/>
    <w:rsid w:val="00B9021E"/>
    <w:rsid w:val="00B905B4"/>
    <w:rsid w:val="00B909B5"/>
    <w:rsid w:val="00B90BFF"/>
    <w:rsid w:val="00B90E29"/>
    <w:rsid w:val="00B90F73"/>
    <w:rsid w:val="00B911CA"/>
    <w:rsid w:val="00B91287"/>
    <w:rsid w:val="00B91449"/>
    <w:rsid w:val="00B915F9"/>
    <w:rsid w:val="00B917F9"/>
    <w:rsid w:val="00B91D56"/>
    <w:rsid w:val="00B92509"/>
    <w:rsid w:val="00B92C7A"/>
    <w:rsid w:val="00B92CED"/>
    <w:rsid w:val="00B92FF8"/>
    <w:rsid w:val="00B93454"/>
    <w:rsid w:val="00B9362D"/>
    <w:rsid w:val="00B93A56"/>
    <w:rsid w:val="00B93B59"/>
    <w:rsid w:val="00B93E70"/>
    <w:rsid w:val="00B9406A"/>
    <w:rsid w:val="00B942F0"/>
    <w:rsid w:val="00B94676"/>
    <w:rsid w:val="00B94CF9"/>
    <w:rsid w:val="00B95811"/>
    <w:rsid w:val="00B95C20"/>
    <w:rsid w:val="00B95DF2"/>
    <w:rsid w:val="00B95EE9"/>
    <w:rsid w:val="00B95F33"/>
    <w:rsid w:val="00B9659A"/>
    <w:rsid w:val="00B97BB4"/>
    <w:rsid w:val="00B97C21"/>
    <w:rsid w:val="00B97D91"/>
    <w:rsid w:val="00B97EC2"/>
    <w:rsid w:val="00BA0038"/>
    <w:rsid w:val="00BA08A3"/>
    <w:rsid w:val="00BA1458"/>
    <w:rsid w:val="00BA1DFD"/>
    <w:rsid w:val="00BA1EFD"/>
    <w:rsid w:val="00BA2280"/>
    <w:rsid w:val="00BA229E"/>
    <w:rsid w:val="00BA27B1"/>
    <w:rsid w:val="00BA2812"/>
    <w:rsid w:val="00BA2A08"/>
    <w:rsid w:val="00BA33E1"/>
    <w:rsid w:val="00BA48BF"/>
    <w:rsid w:val="00BA4908"/>
    <w:rsid w:val="00BA4E8B"/>
    <w:rsid w:val="00BA5484"/>
    <w:rsid w:val="00BA552C"/>
    <w:rsid w:val="00BA56D2"/>
    <w:rsid w:val="00BA5887"/>
    <w:rsid w:val="00BA58F5"/>
    <w:rsid w:val="00BA5A66"/>
    <w:rsid w:val="00BA6649"/>
    <w:rsid w:val="00BA6D4A"/>
    <w:rsid w:val="00BA6F8B"/>
    <w:rsid w:val="00BA70BB"/>
    <w:rsid w:val="00BA76E0"/>
    <w:rsid w:val="00BB017F"/>
    <w:rsid w:val="00BB0416"/>
    <w:rsid w:val="00BB04F1"/>
    <w:rsid w:val="00BB066E"/>
    <w:rsid w:val="00BB0A24"/>
    <w:rsid w:val="00BB0DE4"/>
    <w:rsid w:val="00BB11AE"/>
    <w:rsid w:val="00BB194E"/>
    <w:rsid w:val="00BB1B23"/>
    <w:rsid w:val="00BB21B4"/>
    <w:rsid w:val="00BB25C6"/>
    <w:rsid w:val="00BB278D"/>
    <w:rsid w:val="00BB2863"/>
    <w:rsid w:val="00BB2A25"/>
    <w:rsid w:val="00BB2B8E"/>
    <w:rsid w:val="00BB2BED"/>
    <w:rsid w:val="00BB2EEF"/>
    <w:rsid w:val="00BB30F3"/>
    <w:rsid w:val="00BB3CD1"/>
    <w:rsid w:val="00BB4179"/>
    <w:rsid w:val="00BB42DE"/>
    <w:rsid w:val="00BB4A33"/>
    <w:rsid w:val="00BB51F7"/>
    <w:rsid w:val="00BB5589"/>
    <w:rsid w:val="00BB56A9"/>
    <w:rsid w:val="00BB61B4"/>
    <w:rsid w:val="00BB6BE1"/>
    <w:rsid w:val="00BB6E21"/>
    <w:rsid w:val="00BB703C"/>
    <w:rsid w:val="00BB71B3"/>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30D1"/>
    <w:rsid w:val="00BC31CC"/>
    <w:rsid w:val="00BC4D2E"/>
    <w:rsid w:val="00BC4E54"/>
    <w:rsid w:val="00BC5517"/>
    <w:rsid w:val="00BC5AD6"/>
    <w:rsid w:val="00BC5E5A"/>
    <w:rsid w:val="00BC67E7"/>
    <w:rsid w:val="00BC6A3C"/>
    <w:rsid w:val="00BC71AA"/>
    <w:rsid w:val="00BC74D1"/>
    <w:rsid w:val="00BD0073"/>
    <w:rsid w:val="00BD07BA"/>
    <w:rsid w:val="00BD10B7"/>
    <w:rsid w:val="00BD18D6"/>
    <w:rsid w:val="00BD3DF3"/>
    <w:rsid w:val="00BD48AC"/>
    <w:rsid w:val="00BD4A4B"/>
    <w:rsid w:val="00BD4AE4"/>
    <w:rsid w:val="00BD5504"/>
    <w:rsid w:val="00BD55BA"/>
    <w:rsid w:val="00BD5659"/>
    <w:rsid w:val="00BD5762"/>
    <w:rsid w:val="00BD5F1A"/>
    <w:rsid w:val="00BD6165"/>
    <w:rsid w:val="00BD6C3D"/>
    <w:rsid w:val="00BD7908"/>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45"/>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168"/>
    <w:rsid w:val="00BF17FD"/>
    <w:rsid w:val="00BF192B"/>
    <w:rsid w:val="00BF1EDF"/>
    <w:rsid w:val="00BF1EE5"/>
    <w:rsid w:val="00BF25A9"/>
    <w:rsid w:val="00BF265F"/>
    <w:rsid w:val="00BF2A6A"/>
    <w:rsid w:val="00BF2E9A"/>
    <w:rsid w:val="00BF3279"/>
    <w:rsid w:val="00BF3CBA"/>
    <w:rsid w:val="00BF3F37"/>
    <w:rsid w:val="00BF45FB"/>
    <w:rsid w:val="00BF4B69"/>
    <w:rsid w:val="00BF4BBF"/>
    <w:rsid w:val="00BF512B"/>
    <w:rsid w:val="00BF51F4"/>
    <w:rsid w:val="00BF6454"/>
    <w:rsid w:val="00BF657B"/>
    <w:rsid w:val="00BF6EEA"/>
    <w:rsid w:val="00BF6FD7"/>
    <w:rsid w:val="00BF74C7"/>
    <w:rsid w:val="00BF7BF6"/>
    <w:rsid w:val="00C0068C"/>
    <w:rsid w:val="00C00C1C"/>
    <w:rsid w:val="00C00CCF"/>
    <w:rsid w:val="00C014D9"/>
    <w:rsid w:val="00C015F1"/>
    <w:rsid w:val="00C01CD7"/>
    <w:rsid w:val="00C01E7A"/>
    <w:rsid w:val="00C01F33"/>
    <w:rsid w:val="00C0209C"/>
    <w:rsid w:val="00C0213C"/>
    <w:rsid w:val="00C02309"/>
    <w:rsid w:val="00C024F1"/>
    <w:rsid w:val="00C02729"/>
    <w:rsid w:val="00C02917"/>
    <w:rsid w:val="00C02CC6"/>
    <w:rsid w:val="00C02D1A"/>
    <w:rsid w:val="00C0342D"/>
    <w:rsid w:val="00C035C2"/>
    <w:rsid w:val="00C040F7"/>
    <w:rsid w:val="00C0414E"/>
    <w:rsid w:val="00C044AB"/>
    <w:rsid w:val="00C04579"/>
    <w:rsid w:val="00C04B99"/>
    <w:rsid w:val="00C04C9F"/>
    <w:rsid w:val="00C05458"/>
    <w:rsid w:val="00C05706"/>
    <w:rsid w:val="00C05984"/>
    <w:rsid w:val="00C06071"/>
    <w:rsid w:val="00C06386"/>
    <w:rsid w:val="00C063D5"/>
    <w:rsid w:val="00C06638"/>
    <w:rsid w:val="00C07118"/>
    <w:rsid w:val="00C07377"/>
    <w:rsid w:val="00C073D5"/>
    <w:rsid w:val="00C0744C"/>
    <w:rsid w:val="00C1034F"/>
    <w:rsid w:val="00C10478"/>
    <w:rsid w:val="00C10506"/>
    <w:rsid w:val="00C109BC"/>
    <w:rsid w:val="00C11103"/>
    <w:rsid w:val="00C11633"/>
    <w:rsid w:val="00C11AF4"/>
    <w:rsid w:val="00C11E79"/>
    <w:rsid w:val="00C12107"/>
    <w:rsid w:val="00C12AF8"/>
    <w:rsid w:val="00C12B1B"/>
    <w:rsid w:val="00C12CBB"/>
    <w:rsid w:val="00C1349A"/>
    <w:rsid w:val="00C13905"/>
    <w:rsid w:val="00C13962"/>
    <w:rsid w:val="00C14011"/>
    <w:rsid w:val="00C1492C"/>
    <w:rsid w:val="00C14D4B"/>
    <w:rsid w:val="00C14D92"/>
    <w:rsid w:val="00C14EA3"/>
    <w:rsid w:val="00C152C6"/>
    <w:rsid w:val="00C154BB"/>
    <w:rsid w:val="00C157CF"/>
    <w:rsid w:val="00C15D1A"/>
    <w:rsid w:val="00C1608A"/>
    <w:rsid w:val="00C16757"/>
    <w:rsid w:val="00C172FE"/>
    <w:rsid w:val="00C17316"/>
    <w:rsid w:val="00C2056D"/>
    <w:rsid w:val="00C2219C"/>
    <w:rsid w:val="00C22548"/>
    <w:rsid w:val="00C226CD"/>
    <w:rsid w:val="00C22A66"/>
    <w:rsid w:val="00C22B85"/>
    <w:rsid w:val="00C23826"/>
    <w:rsid w:val="00C23EAD"/>
    <w:rsid w:val="00C23F85"/>
    <w:rsid w:val="00C24AA4"/>
    <w:rsid w:val="00C24D21"/>
    <w:rsid w:val="00C24FC1"/>
    <w:rsid w:val="00C25C48"/>
    <w:rsid w:val="00C26007"/>
    <w:rsid w:val="00C260D1"/>
    <w:rsid w:val="00C2671D"/>
    <w:rsid w:val="00C27022"/>
    <w:rsid w:val="00C27556"/>
    <w:rsid w:val="00C279B5"/>
    <w:rsid w:val="00C27C45"/>
    <w:rsid w:val="00C27C8E"/>
    <w:rsid w:val="00C3137E"/>
    <w:rsid w:val="00C3171B"/>
    <w:rsid w:val="00C31BA5"/>
    <w:rsid w:val="00C31D66"/>
    <w:rsid w:val="00C321D2"/>
    <w:rsid w:val="00C3248C"/>
    <w:rsid w:val="00C32FA7"/>
    <w:rsid w:val="00C331F5"/>
    <w:rsid w:val="00C3366C"/>
    <w:rsid w:val="00C33C76"/>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892"/>
    <w:rsid w:val="00C41EB7"/>
    <w:rsid w:val="00C42467"/>
    <w:rsid w:val="00C42E43"/>
    <w:rsid w:val="00C436A2"/>
    <w:rsid w:val="00C43A6C"/>
    <w:rsid w:val="00C43D2A"/>
    <w:rsid w:val="00C43FCC"/>
    <w:rsid w:val="00C44972"/>
    <w:rsid w:val="00C44CA7"/>
    <w:rsid w:val="00C44F4B"/>
    <w:rsid w:val="00C45190"/>
    <w:rsid w:val="00C45574"/>
    <w:rsid w:val="00C45739"/>
    <w:rsid w:val="00C45DD1"/>
    <w:rsid w:val="00C45F08"/>
    <w:rsid w:val="00C46B52"/>
    <w:rsid w:val="00C46B7B"/>
    <w:rsid w:val="00C46BB7"/>
    <w:rsid w:val="00C4721B"/>
    <w:rsid w:val="00C47842"/>
    <w:rsid w:val="00C479CE"/>
    <w:rsid w:val="00C47EED"/>
    <w:rsid w:val="00C500B5"/>
    <w:rsid w:val="00C5010D"/>
    <w:rsid w:val="00C504D3"/>
    <w:rsid w:val="00C5097D"/>
    <w:rsid w:val="00C5141D"/>
    <w:rsid w:val="00C515C8"/>
    <w:rsid w:val="00C5196F"/>
    <w:rsid w:val="00C51C09"/>
    <w:rsid w:val="00C520DD"/>
    <w:rsid w:val="00C5269D"/>
    <w:rsid w:val="00C529A6"/>
    <w:rsid w:val="00C52B72"/>
    <w:rsid w:val="00C53264"/>
    <w:rsid w:val="00C537C2"/>
    <w:rsid w:val="00C53AD2"/>
    <w:rsid w:val="00C53FA7"/>
    <w:rsid w:val="00C54912"/>
    <w:rsid w:val="00C54995"/>
    <w:rsid w:val="00C54D41"/>
    <w:rsid w:val="00C54D88"/>
    <w:rsid w:val="00C550B0"/>
    <w:rsid w:val="00C55464"/>
    <w:rsid w:val="00C55617"/>
    <w:rsid w:val="00C55922"/>
    <w:rsid w:val="00C55D80"/>
    <w:rsid w:val="00C55E1C"/>
    <w:rsid w:val="00C56BDD"/>
    <w:rsid w:val="00C57D8A"/>
    <w:rsid w:val="00C57E2F"/>
    <w:rsid w:val="00C60114"/>
    <w:rsid w:val="00C604E6"/>
    <w:rsid w:val="00C60783"/>
    <w:rsid w:val="00C60E76"/>
    <w:rsid w:val="00C610C4"/>
    <w:rsid w:val="00C61623"/>
    <w:rsid w:val="00C61B00"/>
    <w:rsid w:val="00C61F29"/>
    <w:rsid w:val="00C62052"/>
    <w:rsid w:val="00C62185"/>
    <w:rsid w:val="00C6223E"/>
    <w:rsid w:val="00C62844"/>
    <w:rsid w:val="00C62910"/>
    <w:rsid w:val="00C629EE"/>
    <w:rsid w:val="00C62B74"/>
    <w:rsid w:val="00C63025"/>
    <w:rsid w:val="00C630A3"/>
    <w:rsid w:val="00C634E4"/>
    <w:rsid w:val="00C634EA"/>
    <w:rsid w:val="00C63540"/>
    <w:rsid w:val="00C6360A"/>
    <w:rsid w:val="00C63627"/>
    <w:rsid w:val="00C63D4E"/>
    <w:rsid w:val="00C63F84"/>
    <w:rsid w:val="00C6407F"/>
    <w:rsid w:val="00C645C3"/>
    <w:rsid w:val="00C64672"/>
    <w:rsid w:val="00C654C6"/>
    <w:rsid w:val="00C65560"/>
    <w:rsid w:val="00C65666"/>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5A1"/>
    <w:rsid w:val="00C71EEB"/>
    <w:rsid w:val="00C7259E"/>
    <w:rsid w:val="00C72861"/>
    <w:rsid w:val="00C728F3"/>
    <w:rsid w:val="00C72EF4"/>
    <w:rsid w:val="00C72F4E"/>
    <w:rsid w:val="00C73AEE"/>
    <w:rsid w:val="00C73DC2"/>
    <w:rsid w:val="00C7412A"/>
    <w:rsid w:val="00C74A09"/>
    <w:rsid w:val="00C753A6"/>
    <w:rsid w:val="00C754E8"/>
    <w:rsid w:val="00C754F8"/>
    <w:rsid w:val="00C755E3"/>
    <w:rsid w:val="00C757EC"/>
    <w:rsid w:val="00C75AFE"/>
    <w:rsid w:val="00C75C7C"/>
    <w:rsid w:val="00C75D2F"/>
    <w:rsid w:val="00C76052"/>
    <w:rsid w:val="00C76290"/>
    <w:rsid w:val="00C765D1"/>
    <w:rsid w:val="00C76D0F"/>
    <w:rsid w:val="00C76D90"/>
    <w:rsid w:val="00C76E3C"/>
    <w:rsid w:val="00C77229"/>
    <w:rsid w:val="00C77624"/>
    <w:rsid w:val="00C776B1"/>
    <w:rsid w:val="00C776E0"/>
    <w:rsid w:val="00C77895"/>
    <w:rsid w:val="00C77F13"/>
    <w:rsid w:val="00C80063"/>
    <w:rsid w:val="00C806ED"/>
    <w:rsid w:val="00C8085D"/>
    <w:rsid w:val="00C81568"/>
    <w:rsid w:val="00C817BA"/>
    <w:rsid w:val="00C8222F"/>
    <w:rsid w:val="00C82387"/>
    <w:rsid w:val="00C82578"/>
    <w:rsid w:val="00C82773"/>
    <w:rsid w:val="00C829BB"/>
    <w:rsid w:val="00C82DFE"/>
    <w:rsid w:val="00C830E3"/>
    <w:rsid w:val="00C8320C"/>
    <w:rsid w:val="00C83A87"/>
    <w:rsid w:val="00C83FA2"/>
    <w:rsid w:val="00C84341"/>
    <w:rsid w:val="00C84C4B"/>
    <w:rsid w:val="00C857B3"/>
    <w:rsid w:val="00C85DC0"/>
    <w:rsid w:val="00C860EE"/>
    <w:rsid w:val="00C8655A"/>
    <w:rsid w:val="00C86846"/>
    <w:rsid w:val="00C86C7E"/>
    <w:rsid w:val="00C86CFF"/>
    <w:rsid w:val="00C86D06"/>
    <w:rsid w:val="00C87226"/>
    <w:rsid w:val="00C879FD"/>
    <w:rsid w:val="00C87AD6"/>
    <w:rsid w:val="00C87B8F"/>
    <w:rsid w:val="00C90163"/>
    <w:rsid w:val="00C901EC"/>
    <w:rsid w:val="00C9025E"/>
    <w:rsid w:val="00C9027A"/>
    <w:rsid w:val="00C9068E"/>
    <w:rsid w:val="00C90AD6"/>
    <w:rsid w:val="00C90AF9"/>
    <w:rsid w:val="00C90B1C"/>
    <w:rsid w:val="00C91171"/>
    <w:rsid w:val="00C91176"/>
    <w:rsid w:val="00C929F7"/>
    <w:rsid w:val="00C9322A"/>
    <w:rsid w:val="00C93490"/>
    <w:rsid w:val="00C93BC6"/>
    <w:rsid w:val="00C93C4B"/>
    <w:rsid w:val="00C93C7A"/>
    <w:rsid w:val="00C93EBA"/>
    <w:rsid w:val="00C93ECC"/>
    <w:rsid w:val="00C94083"/>
    <w:rsid w:val="00C944AB"/>
    <w:rsid w:val="00C9469F"/>
    <w:rsid w:val="00C956A1"/>
    <w:rsid w:val="00C95B40"/>
    <w:rsid w:val="00C966F9"/>
    <w:rsid w:val="00C96B2C"/>
    <w:rsid w:val="00C97567"/>
    <w:rsid w:val="00C97A5F"/>
    <w:rsid w:val="00C97EA2"/>
    <w:rsid w:val="00C97F73"/>
    <w:rsid w:val="00CA0036"/>
    <w:rsid w:val="00CA0831"/>
    <w:rsid w:val="00CA0A65"/>
    <w:rsid w:val="00CA17EF"/>
    <w:rsid w:val="00CA1ED8"/>
    <w:rsid w:val="00CA216C"/>
    <w:rsid w:val="00CA2CE3"/>
    <w:rsid w:val="00CA2FF9"/>
    <w:rsid w:val="00CA3026"/>
    <w:rsid w:val="00CA384C"/>
    <w:rsid w:val="00CA38D6"/>
    <w:rsid w:val="00CA39A2"/>
    <w:rsid w:val="00CA3A68"/>
    <w:rsid w:val="00CA3DFD"/>
    <w:rsid w:val="00CA3E47"/>
    <w:rsid w:val="00CA41CF"/>
    <w:rsid w:val="00CA442C"/>
    <w:rsid w:val="00CA4724"/>
    <w:rsid w:val="00CA4C54"/>
    <w:rsid w:val="00CA4E1A"/>
    <w:rsid w:val="00CA4E58"/>
    <w:rsid w:val="00CA4FF6"/>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2D2"/>
    <w:rsid w:val="00CB55D2"/>
    <w:rsid w:val="00CB63CF"/>
    <w:rsid w:val="00CB6403"/>
    <w:rsid w:val="00CB6855"/>
    <w:rsid w:val="00CB6997"/>
    <w:rsid w:val="00CB778C"/>
    <w:rsid w:val="00CB79B1"/>
    <w:rsid w:val="00CC040E"/>
    <w:rsid w:val="00CC05E6"/>
    <w:rsid w:val="00CC0E37"/>
    <w:rsid w:val="00CC111F"/>
    <w:rsid w:val="00CC183B"/>
    <w:rsid w:val="00CC1E1C"/>
    <w:rsid w:val="00CC2A50"/>
    <w:rsid w:val="00CC30E5"/>
    <w:rsid w:val="00CC3806"/>
    <w:rsid w:val="00CC3E12"/>
    <w:rsid w:val="00CC3EA0"/>
    <w:rsid w:val="00CC4098"/>
    <w:rsid w:val="00CC443F"/>
    <w:rsid w:val="00CC4501"/>
    <w:rsid w:val="00CC469C"/>
    <w:rsid w:val="00CC4C1F"/>
    <w:rsid w:val="00CC4E43"/>
    <w:rsid w:val="00CC51F4"/>
    <w:rsid w:val="00CC54AC"/>
    <w:rsid w:val="00CC5C3E"/>
    <w:rsid w:val="00CC5D4D"/>
    <w:rsid w:val="00CC66FA"/>
    <w:rsid w:val="00CC67A1"/>
    <w:rsid w:val="00CC6852"/>
    <w:rsid w:val="00CC6C91"/>
    <w:rsid w:val="00CC71A0"/>
    <w:rsid w:val="00CC78F5"/>
    <w:rsid w:val="00CC79DB"/>
    <w:rsid w:val="00CC7B45"/>
    <w:rsid w:val="00CC7BFA"/>
    <w:rsid w:val="00CC7CDA"/>
    <w:rsid w:val="00CD040A"/>
    <w:rsid w:val="00CD0B1E"/>
    <w:rsid w:val="00CD0D82"/>
    <w:rsid w:val="00CD1188"/>
    <w:rsid w:val="00CD15BB"/>
    <w:rsid w:val="00CD1A73"/>
    <w:rsid w:val="00CD2774"/>
    <w:rsid w:val="00CD2954"/>
    <w:rsid w:val="00CD2ED1"/>
    <w:rsid w:val="00CD30B5"/>
    <w:rsid w:val="00CD337B"/>
    <w:rsid w:val="00CD3D40"/>
    <w:rsid w:val="00CD40DC"/>
    <w:rsid w:val="00CD4CD9"/>
    <w:rsid w:val="00CD58DB"/>
    <w:rsid w:val="00CD5E76"/>
    <w:rsid w:val="00CD63B2"/>
    <w:rsid w:val="00CD652C"/>
    <w:rsid w:val="00CD6B8F"/>
    <w:rsid w:val="00CD6CA5"/>
    <w:rsid w:val="00CD6FCC"/>
    <w:rsid w:val="00CD7960"/>
    <w:rsid w:val="00CD7B72"/>
    <w:rsid w:val="00CE0744"/>
    <w:rsid w:val="00CE085A"/>
    <w:rsid w:val="00CE0F52"/>
    <w:rsid w:val="00CE1237"/>
    <w:rsid w:val="00CE1A49"/>
    <w:rsid w:val="00CE277C"/>
    <w:rsid w:val="00CE27CD"/>
    <w:rsid w:val="00CE2812"/>
    <w:rsid w:val="00CE292F"/>
    <w:rsid w:val="00CE2A71"/>
    <w:rsid w:val="00CE2AF5"/>
    <w:rsid w:val="00CE2C47"/>
    <w:rsid w:val="00CE3020"/>
    <w:rsid w:val="00CE3575"/>
    <w:rsid w:val="00CE4552"/>
    <w:rsid w:val="00CE48D5"/>
    <w:rsid w:val="00CE4A12"/>
    <w:rsid w:val="00CE4B16"/>
    <w:rsid w:val="00CE53CD"/>
    <w:rsid w:val="00CE5502"/>
    <w:rsid w:val="00CE56A9"/>
    <w:rsid w:val="00CE59DC"/>
    <w:rsid w:val="00CE5ACE"/>
    <w:rsid w:val="00CE5B18"/>
    <w:rsid w:val="00CE5EBF"/>
    <w:rsid w:val="00CE6FF2"/>
    <w:rsid w:val="00CE7561"/>
    <w:rsid w:val="00CE75E3"/>
    <w:rsid w:val="00CE7ED1"/>
    <w:rsid w:val="00CE7FA7"/>
    <w:rsid w:val="00CF07BD"/>
    <w:rsid w:val="00CF0924"/>
    <w:rsid w:val="00CF0C35"/>
    <w:rsid w:val="00CF11F6"/>
    <w:rsid w:val="00CF1354"/>
    <w:rsid w:val="00CF1BDF"/>
    <w:rsid w:val="00CF23E2"/>
    <w:rsid w:val="00CF3750"/>
    <w:rsid w:val="00CF3B1F"/>
    <w:rsid w:val="00CF3BF6"/>
    <w:rsid w:val="00CF3C36"/>
    <w:rsid w:val="00CF3E34"/>
    <w:rsid w:val="00CF422C"/>
    <w:rsid w:val="00CF4F5B"/>
    <w:rsid w:val="00CF4FCC"/>
    <w:rsid w:val="00CF5022"/>
    <w:rsid w:val="00CF5117"/>
    <w:rsid w:val="00CF5240"/>
    <w:rsid w:val="00CF5672"/>
    <w:rsid w:val="00CF57A9"/>
    <w:rsid w:val="00CF5FB7"/>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67E"/>
    <w:rsid w:val="00D05A48"/>
    <w:rsid w:val="00D060A1"/>
    <w:rsid w:val="00D0634C"/>
    <w:rsid w:val="00D063E8"/>
    <w:rsid w:val="00D06D04"/>
    <w:rsid w:val="00D07567"/>
    <w:rsid w:val="00D076D4"/>
    <w:rsid w:val="00D07C8C"/>
    <w:rsid w:val="00D07D39"/>
    <w:rsid w:val="00D10249"/>
    <w:rsid w:val="00D10659"/>
    <w:rsid w:val="00D10960"/>
    <w:rsid w:val="00D10DAC"/>
    <w:rsid w:val="00D10EB5"/>
    <w:rsid w:val="00D115C3"/>
    <w:rsid w:val="00D11897"/>
    <w:rsid w:val="00D11F63"/>
    <w:rsid w:val="00D120C4"/>
    <w:rsid w:val="00D121BA"/>
    <w:rsid w:val="00D1269E"/>
    <w:rsid w:val="00D1276E"/>
    <w:rsid w:val="00D128A7"/>
    <w:rsid w:val="00D12CFF"/>
    <w:rsid w:val="00D13135"/>
    <w:rsid w:val="00D136C1"/>
    <w:rsid w:val="00D13A7C"/>
    <w:rsid w:val="00D13E4E"/>
    <w:rsid w:val="00D1413F"/>
    <w:rsid w:val="00D14227"/>
    <w:rsid w:val="00D14672"/>
    <w:rsid w:val="00D14973"/>
    <w:rsid w:val="00D149FA"/>
    <w:rsid w:val="00D14DCC"/>
    <w:rsid w:val="00D14E15"/>
    <w:rsid w:val="00D14F1B"/>
    <w:rsid w:val="00D14F42"/>
    <w:rsid w:val="00D15492"/>
    <w:rsid w:val="00D156ED"/>
    <w:rsid w:val="00D158F0"/>
    <w:rsid w:val="00D15D68"/>
    <w:rsid w:val="00D16209"/>
    <w:rsid w:val="00D16579"/>
    <w:rsid w:val="00D16B9D"/>
    <w:rsid w:val="00D16E89"/>
    <w:rsid w:val="00D17F3B"/>
    <w:rsid w:val="00D205FE"/>
    <w:rsid w:val="00D20A27"/>
    <w:rsid w:val="00D20C89"/>
    <w:rsid w:val="00D212E2"/>
    <w:rsid w:val="00D21443"/>
    <w:rsid w:val="00D2164B"/>
    <w:rsid w:val="00D216FB"/>
    <w:rsid w:val="00D22013"/>
    <w:rsid w:val="00D232E8"/>
    <w:rsid w:val="00D235FD"/>
    <w:rsid w:val="00D2366F"/>
    <w:rsid w:val="00D239A7"/>
    <w:rsid w:val="00D23F47"/>
    <w:rsid w:val="00D24400"/>
    <w:rsid w:val="00D248DC"/>
    <w:rsid w:val="00D24B5D"/>
    <w:rsid w:val="00D25297"/>
    <w:rsid w:val="00D25641"/>
    <w:rsid w:val="00D25DF2"/>
    <w:rsid w:val="00D25F93"/>
    <w:rsid w:val="00D26970"/>
    <w:rsid w:val="00D26BD8"/>
    <w:rsid w:val="00D26C60"/>
    <w:rsid w:val="00D26F3D"/>
    <w:rsid w:val="00D26F4D"/>
    <w:rsid w:val="00D27341"/>
    <w:rsid w:val="00D27938"/>
    <w:rsid w:val="00D27BE2"/>
    <w:rsid w:val="00D27DA6"/>
    <w:rsid w:val="00D3122B"/>
    <w:rsid w:val="00D31303"/>
    <w:rsid w:val="00D31732"/>
    <w:rsid w:val="00D31C11"/>
    <w:rsid w:val="00D32001"/>
    <w:rsid w:val="00D32390"/>
    <w:rsid w:val="00D324BC"/>
    <w:rsid w:val="00D32F1F"/>
    <w:rsid w:val="00D33B3C"/>
    <w:rsid w:val="00D33F40"/>
    <w:rsid w:val="00D341A0"/>
    <w:rsid w:val="00D3467D"/>
    <w:rsid w:val="00D34951"/>
    <w:rsid w:val="00D352F6"/>
    <w:rsid w:val="00D35946"/>
    <w:rsid w:val="00D3599E"/>
    <w:rsid w:val="00D35C37"/>
    <w:rsid w:val="00D36040"/>
    <w:rsid w:val="00D3655B"/>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9D7"/>
    <w:rsid w:val="00D44B0A"/>
    <w:rsid w:val="00D44CF6"/>
    <w:rsid w:val="00D4526B"/>
    <w:rsid w:val="00D45C61"/>
    <w:rsid w:val="00D45FE4"/>
    <w:rsid w:val="00D467F7"/>
    <w:rsid w:val="00D46B66"/>
    <w:rsid w:val="00D46B84"/>
    <w:rsid w:val="00D47486"/>
    <w:rsid w:val="00D47DFC"/>
    <w:rsid w:val="00D5019F"/>
    <w:rsid w:val="00D50B5C"/>
    <w:rsid w:val="00D50E90"/>
    <w:rsid w:val="00D50F05"/>
    <w:rsid w:val="00D50FC4"/>
    <w:rsid w:val="00D515AB"/>
    <w:rsid w:val="00D518B3"/>
    <w:rsid w:val="00D5198F"/>
    <w:rsid w:val="00D52010"/>
    <w:rsid w:val="00D52236"/>
    <w:rsid w:val="00D52368"/>
    <w:rsid w:val="00D5274F"/>
    <w:rsid w:val="00D528BB"/>
    <w:rsid w:val="00D52E65"/>
    <w:rsid w:val="00D53014"/>
    <w:rsid w:val="00D532C3"/>
    <w:rsid w:val="00D53494"/>
    <w:rsid w:val="00D53636"/>
    <w:rsid w:val="00D53BE4"/>
    <w:rsid w:val="00D53E84"/>
    <w:rsid w:val="00D53EA6"/>
    <w:rsid w:val="00D540C1"/>
    <w:rsid w:val="00D54131"/>
    <w:rsid w:val="00D5425F"/>
    <w:rsid w:val="00D54352"/>
    <w:rsid w:val="00D5437E"/>
    <w:rsid w:val="00D546FF"/>
    <w:rsid w:val="00D54E3E"/>
    <w:rsid w:val="00D55085"/>
    <w:rsid w:val="00D551ED"/>
    <w:rsid w:val="00D55346"/>
    <w:rsid w:val="00D556AB"/>
    <w:rsid w:val="00D5574A"/>
    <w:rsid w:val="00D557A5"/>
    <w:rsid w:val="00D558CB"/>
    <w:rsid w:val="00D55AD5"/>
    <w:rsid w:val="00D55DC1"/>
    <w:rsid w:val="00D5692E"/>
    <w:rsid w:val="00D5757C"/>
    <w:rsid w:val="00D576CA"/>
    <w:rsid w:val="00D57FA3"/>
    <w:rsid w:val="00D57FFB"/>
    <w:rsid w:val="00D60405"/>
    <w:rsid w:val="00D60411"/>
    <w:rsid w:val="00D60605"/>
    <w:rsid w:val="00D60661"/>
    <w:rsid w:val="00D61996"/>
    <w:rsid w:val="00D61A50"/>
    <w:rsid w:val="00D61AF5"/>
    <w:rsid w:val="00D61E32"/>
    <w:rsid w:val="00D62095"/>
    <w:rsid w:val="00D62520"/>
    <w:rsid w:val="00D62C4D"/>
    <w:rsid w:val="00D6300E"/>
    <w:rsid w:val="00D631C2"/>
    <w:rsid w:val="00D632E4"/>
    <w:rsid w:val="00D63531"/>
    <w:rsid w:val="00D63633"/>
    <w:rsid w:val="00D636BB"/>
    <w:rsid w:val="00D6385E"/>
    <w:rsid w:val="00D63D1A"/>
    <w:rsid w:val="00D64B69"/>
    <w:rsid w:val="00D65200"/>
    <w:rsid w:val="00D652B5"/>
    <w:rsid w:val="00D657F4"/>
    <w:rsid w:val="00D65966"/>
    <w:rsid w:val="00D65C07"/>
    <w:rsid w:val="00D65C62"/>
    <w:rsid w:val="00D65D90"/>
    <w:rsid w:val="00D66499"/>
    <w:rsid w:val="00D66961"/>
    <w:rsid w:val="00D66C6B"/>
    <w:rsid w:val="00D6722F"/>
    <w:rsid w:val="00D67AB9"/>
    <w:rsid w:val="00D67E03"/>
    <w:rsid w:val="00D708B0"/>
    <w:rsid w:val="00D70C0D"/>
    <w:rsid w:val="00D70F20"/>
    <w:rsid w:val="00D713FD"/>
    <w:rsid w:val="00D7149A"/>
    <w:rsid w:val="00D71523"/>
    <w:rsid w:val="00D71C2E"/>
    <w:rsid w:val="00D71C55"/>
    <w:rsid w:val="00D72120"/>
    <w:rsid w:val="00D721C5"/>
    <w:rsid w:val="00D722DE"/>
    <w:rsid w:val="00D72BCC"/>
    <w:rsid w:val="00D72E0F"/>
    <w:rsid w:val="00D72FEB"/>
    <w:rsid w:val="00D73397"/>
    <w:rsid w:val="00D733FA"/>
    <w:rsid w:val="00D73412"/>
    <w:rsid w:val="00D7389E"/>
    <w:rsid w:val="00D74C2F"/>
    <w:rsid w:val="00D753C0"/>
    <w:rsid w:val="00D7544B"/>
    <w:rsid w:val="00D75620"/>
    <w:rsid w:val="00D75632"/>
    <w:rsid w:val="00D75945"/>
    <w:rsid w:val="00D75BA0"/>
    <w:rsid w:val="00D75E3D"/>
    <w:rsid w:val="00D75FF4"/>
    <w:rsid w:val="00D77B1D"/>
    <w:rsid w:val="00D800BC"/>
    <w:rsid w:val="00D80216"/>
    <w:rsid w:val="00D8021F"/>
    <w:rsid w:val="00D80383"/>
    <w:rsid w:val="00D80BDA"/>
    <w:rsid w:val="00D81017"/>
    <w:rsid w:val="00D8178B"/>
    <w:rsid w:val="00D82186"/>
    <w:rsid w:val="00D823C6"/>
    <w:rsid w:val="00D83480"/>
    <w:rsid w:val="00D83497"/>
    <w:rsid w:val="00D8416E"/>
    <w:rsid w:val="00D84566"/>
    <w:rsid w:val="00D84A54"/>
    <w:rsid w:val="00D84E2F"/>
    <w:rsid w:val="00D853D1"/>
    <w:rsid w:val="00D85917"/>
    <w:rsid w:val="00D85D70"/>
    <w:rsid w:val="00D85FB3"/>
    <w:rsid w:val="00D862E4"/>
    <w:rsid w:val="00D86482"/>
    <w:rsid w:val="00D86B5D"/>
    <w:rsid w:val="00D86D5B"/>
    <w:rsid w:val="00D871CE"/>
    <w:rsid w:val="00D87270"/>
    <w:rsid w:val="00D8772D"/>
    <w:rsid w:val="00D87736"/>
    <w:rsid w:val="00D87A94"/>
    <w:rsid w:val="00D90375"/>
    <w:rsid w:val="00D90C91"/>
    <w:rsid w:val="00D91041"/>
    <w:rsid w:val="00D91078"/>
    <w:rsid w:val="00D9127D"/>
    <w:rsid w:val="00D91733"/>
    <w:rsid w:val="00D9196D"/>
    <w:rsid w:val="00D9199D"/>
    <w:rsid w:val="00D92036"/>
    <w:rsid w:val="00D92982"/>
    <w:rsid w:val="00D92AC9"/>
    <w:rsid w:val="00D934A2"/>
    <w:rsid w:val="00D9383B"/>
    <w:rsid w:val="00D9396B"/>
    <w:rsid w:val="00D93D31"/>
    <w:rsid w:val="00D93DEC"/>
    <w:rsid w:val="00D94117"/>
    <w:rsid w:val="00D9460B"/>
    <w:rsid w:val="00D950CB"/>
    <w:rsid w:val="00D9537D"/>
    <w:rsid w:val="00D9570D"/>
    <w:rsid w:val="00D95A1E"/>
    <w:rsid w:val="00D9613D"/>
    <w:rsid w:val="00D96579"/>
    <w:rsid w:val="00D968B3"/>
    <w:rsid w:val="00D96978"/>
    <w:rsid w:val="00D9704D"/>
    <w:rsid w:val="00D970BA"/>
    <w:rsid w:val="00D977E9"/>
    <w:rsid w:val="00D97B8A"/>
    <w:rsid w:val="00DA0221"/>
    <w:rsid w:val="00DA0BEC"/>
    <w:rsid w:val="00DA1064"/>
    <w:rsid w:val="00DA1168"/>
    <w:rsid w:val="00DA1E71"/>
    <w:rsid w:val="00DA2323"/>
    <w:rsid w:val="00DA24FA"/>
    <w:rsid w:val="00DA2688"/>
    <w:rsid w:val="00DA2891"/>
    <w:rsid w:val="00DA2A4E"/>
    <w:rsid w:val="00DA2D31"/>
    <w:rsid w:val="00DA305E"/>
    <w:rsid w:val="00DA3927"/>
    <w:rsid w:val="00DA39A9"/>
    <w:rsid w:val="00DA4236"/>
    <w:rsid w:val="00DA461D"/>
    <w:rsid w:val="00DA46AD"/>
    <w:rsid w:val="00DA4769"/>
    <w:rsid w:val="00DA4A9B"/>
    <w:rsid w:val="00DA4E27"/>
    <w:rsid w:val="00DA5417"/>
    <w:rsid w:val="00DA548D"/>
    <w:rsid w:val="00DA56E8"/>
    <w:rsid w:val="00DA5B30"/>
    <w:rsid w:val="00DA6066"/>
    <w:rsid w:val="00DA63B5"/>
    <w:rsid w:val="00DA64C6"/>
    <w:rsid w:val="00DA6990"/>
    <w:rsid w:val="00DA70FE"/>
    <w:rsid w:val="00DA716E"/>
    <w:rsid w:val="00DB0292"/>
    <w:rsid w:val="00DB0C01"/>
    <w:rsid w:val="00DB0D66"/>
    <w:rsid w:val="00DB19A3"/>
    <w:rsid w:val="00DB1C9B"/>
    <w:rsid w:val="00DB1D97"/>
    <w:rsid w:val="00DB24E0"/>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732"/>
    <w:rsid w:val="00DC1B84"/>
    <w:rsid w:val="00DC1F5E"/>
    <w:rsid w:val="00DC2D36"/>
    <w:rsid w:val="00DC31C1"/>
    <w:rsid w:val="00DC3D86"/>
    <w:rsid w:val="00DC45B2"/>
    <w:rsid w:val="00DC4E12"/>
    <w:rsid w:val="00DC4F13"/>
    <w:rsid w:val="00DC51C5"/>
    <w:rsid w:val="00DC53EF"/>
    <w:rsid w:val="00DC5E99"/>
    <w:rsid w:val="00DC5FB3"/>
    <w:rsid w:val="00DC6129"/>
    <w:rsid w:val="00DC631A"/>
    <w:rsid w:val="00DC63D6"/>
    <w:rsid w:val="00DC6DC7"/>
    <w:rsid w:val="00DC7815"/>
    <w:rsid w:val="00DC7F51"/>
    <w:rsid w:val="00DD017F"/>
    <w:rsid w:val="00DD07D8"/>
    <w:rsid w:val="00DD126B"/>
    <w:rsid w:val="00DD13EB"/>
    <w:rsid w:val="00DD1710"/>
    <w:rsid w:val="00DD18D3"/>
    <w:rsid w:val="00DD1AE7"/>
    <w:rsid w:val="00DD2F58"/>
    <w:rsid w:val="00DD2F69"/>
    <w:rsid w:val="00DD3166"/>
    <w:rsid w:val="00DD3666"/>
    <w:rsid w:val="00DD3A6E"/>
    <w:rsid w:val="00DD3BE5"/>
    <w:rsid w:val="00DD3F06"/>
    <w:rsid w:val="00DD3F8E"/>
    <w:rsid w:val="00DD410F"/>
    <w:rsid w:val="00DD4E2B"/>
    <w:rsid w:val="00DD4E4F"/>
    <w:rsid w:val="00DD581D"/>
    <w:rsid w:val="00DD5EB5"/>
    <w:rsid w:val="00DD6064"/>
    <w:rsid w:val="00DD6826"/>
    <w:rsid w:val="00DD698D"/>
    <w:rsid w:val="00DD72E3"/>
    <w:rsid w:val="00DD7314"/>
    <w:rsid w:val="00DD7666"/>
    <w:rsid w:val="00DD781B"/>
    <w:rsid w:val="00DD7E75"/>
    <w:rsid w:val="00DE0333"/>
    <w:rsid w:val="00DE05D2"/>
    <w:rsid w:val="00DE0A16"/>
    <w:rsid w:val="00DE0ED8"/>
    <w:rsid w:val="00DE110B"/>
    <w:rsid w:val="00DE11C9"/>
    <w:rsid w:val="00DE1CCA"/>
    <w:rsid w:val="00DE1D9D"/>
    <w:rsid w:val="00DE1E23"/>
    <w:rsid w:val="00DE1E69"/>
    <w:rsid w:val="00DE1F4C"/>
    <w:rsid w:val="00DE23DC"/>
    <w:rsid w:val="00DE24BA"/>
    <w:rsid w:val="00DE33EC"/>
    <w:rsid w:val="00DE3510"/>
    <w:rsid w:val="00DE3C1B"/>
    <w:rsid w:val="00DE48BD"/>
    <w:rsid w:val="00DE5176"/>
    <w:rsid w:val="00DE5608"/>
    <w:rsid w:val="00DE58D0"/>
    <w:rsid w:val="00DE5F62"/>
    <w:rsid w:val="00DE602F"/>
    <w:rsid w:val="00DE60AB"/>
    <w:rsid w:val="00DE654F"/>
    <w:rsid w:val="00DE6863"/>
    <w:rsid w:val="00DE6BFB"/>
    <w:rsid w:val="00DE7133"/>
    <w:rsid w:val="00DF0054"/>
    <w:rsid w:val="00DF0280"/>
    <w:rsid w:val="00DF059F"/>
    <w:rsid w:val="00DF0F77"/>
    <w:rsid w:val="00DF1016"/>
    <w:rsid w:val="00DF10A0"/>
    <w:rsid w:val="00DF12BB"/>
    <w:rsid w:val="00DF15E0"/>
    <w:rsid w:val="00DF165E"/>
    <w:rsid w:val="00DF1A70"/>
    <w:rsid w:val="00DF2398"/>
    <w:rsid w:val="00DF2A7B"/>
    <w:rsid w:val="00DF2DFD"/>
    <w:rsid w:val="00DF32AC"/>
    <w:rsid w:val="00DF37A0"/>
    <w:rsid w:val="00DF47EF"/>
    <w:rsid w:val="00DF4819"/>
    <w:rsid w:val="00DF4927"/>
    <w:rsid w:val="00DF507A"/>
    <w:rsid w:val="00DF57C3"/>
    <w:rsid w:val="00DF5CEF"/>
    <w:rsid w:val="00DF5F19"/>
    <w:rsid w:val="00DF62BA"/>
    <w:rsid w:val="00DF695B"/>
    <w:rsid w:val="00DF6C7A"/>
    <w:rsid w:val="00DF6FCF"/>
    <w:rsid w:val="00DF717D"/>
    <w:rsid w:val="00DF7DB1"/>
    <w:rsid w:val="00DF7F58"/>
    <w:rsid w:val="00E009E6"/>
    <w:rsid w:val="00E00F27"/>
    <w:rsid w:val="00E0126A"/>
    <w:rsid w:val="00E013F8"/>
    <w:rsid w:val="00E01521"/>
    <w:rsid w:val="00E015F1"/>
    <w:rsid w:val="00E0203C"/>
    <w:rsid w:val="00E022FC"/>
    <w:rsid w:val="00E02F50"/>
    <w:rsid w:val="00E034B9"/>
    <w:rsid w:val="00E04387"/>
    <w:rsid w:val="00E04A62"/>
    <w:rsid w:val="00E04BB2"/>
    <w:rsid w:val="00E05116"/>
    <w:rsid w:val="00E05500"/>
    <w:rsid w:val="00E05C5C"/>
    <w:rsid w:val="00E060FC"/>
    <w:rsid w:val="00E0713C"/>
    <w:rsid w:val="00E07799"/>
    <w:rsid w:val="00E078E2"/>
    <w:rsid w:val="00E07CBA"/>
    <w:rsid w:val="00E07E6C"/>
    <w:rsid w:val="00E10567"/>
    <w:rsid w:val="00E105A7"/>
    <w:rsid w:val="00E10B42"/>
    <w:rsid w:val="00E10E81"/>
    <w:rsid w:val="00E10E95"/>
    <w:rsid w:val="00E110E7"/>
    <w:rsid w:val="00E119B2"/>
    <w:rsid w:val="00E11B20"/>
    <w:rsid w:val="00E123E4"/>
    <w:rsid w:val="00E12763"/>
    <w:rsid w:val="00E128BD"/>
    <w:rsid w:val="00E12923"/>
    <w:rsid w:val="00E13310"/>
    <w:rsid w:val="00E13AB8"/>
    <w:rsid w:val="00E140BD"/>
    <w:rsid w:val="00E14C1C"/>
    <w:rsid w:val="00E14C9A"/>
    <w:rsid w:val="00E151C0"/>
    <w:rsid w:val="00E15432"/>
    <w:rsid w:val="00E155C6"/>
    <w:rsid w:val="00E158A7"/>
    <w:rsid w:val="00E158E4"/>
    <w:rsid w:val="00E168BA"/>
    <w:rsid w:val="00E16C70"/>
    <w:rsid w:val="00E16E11"/>
    <w:rsid w:val="00E17419"/>
    <w:rsid w:val="00E1798D"/>
    <w:rsid w:val="00E17A3B"/>
    <w:rsid w:val="00E17A4E"/>
    <w:rsid w:val="00E17C4C"/>
    <w:rsid w:val="00E17CA0"/>
    <w:rsid w:val="00E17E39"/>
    <w:rsid w:val="00E17FA2"/>
    <w:rsid w:val="00E17FDD"/>
    <w:rsid w:val="00E20025"/>
    <w:rsid w:val="00E2063D"/>
    <w:rsid w:val="00E207FA"/>
    <w:rsid w:val="00E208E9"/>
    <w:rsid w:val="00E2104C"/>
    <w:rsid w:val="00E2105A"/>
    <w:rsid w:val="00E21343"/>
    <w:rsid w:val="00E21399"/>
    <w:rsid w:val="00E21520"/>
    <w:rsid w:val="00E2171D"/>
    <w:rsid w:val="00E21992"/>
    <w:rsid w:val="00E21DD4"/>
    <w:rsid w:val="00E22B08"/>
    <w:rsid w:val="00E22F46"/>
    <w:rsid w:val="00E23A38"/>
    <w:rsid w:val="00E23CD9"/>
    <w:rsid w:val="00E23EA9"/>
    <w:rsid w:val="00E240D2"/>
    <w:rsid w:val="00E240D8"/>
    <w:rsid w:val="00E246F8"/>
    <w:rsid w:val="00E2479C"/>
    <w:rsid w:val="00E24CA8"/>
    <w:rsid w:val="00E253D6"/>
    <w:rsid w:val="00E2599D"/>
    <w:rsid w:val="00E25C1B"/>
    <w:rsid w:val="00E25DE2"/>
    <w:rsid w:val="00E26389"/>
    <w:rsid w:val="00E26429"/>
    <w:rsid w:val="00E26610"/>
    <w:rsid w:val="00E266B7"/>
    <w:rsid w:val="00E26727"/>
    <w:rsid w:val="00E26A95"/>
    <w:rsid w:val="00E26C8B"/>
    <w:rsid w:val="00E2714A"/>
    <w:rsid w:val="00E271A1"/>
    <w:rsid w:val="00E27883"/>
    <w:rsid w:val="00E303AE"/>
    <w:rsid w:val="00E303F6"/>
    <w:rsid w:val="00E30B5A"/>
    <w:rsid w:val="00E310B0"/>
    <w:rsid w:val="00E3123D"/>
    <w:rsid w:val="00E31461"/>
    <w:rsid w:val="00E31C0E"/>
    <w:rsid w:val="00E31D43"/>
    <w:rsid w:val="00E31E5D"/>
    <w:rsid w:val="00E31F8C"/>
    <w:rsid w:val="00E3224A"/>
    <w:rsid w:val="00E32608"/>
    <w:rsid w:val="00E32B0C"/>
    <w:rsid w:val="00E32B8E"/>
    <w:rsid w:val="00E33458"/>
    <w:rsid w:val="00E33530"/>
    <w:rsid w:val="00E3370E"/>
    <w:rsid w:val="00E33DD7"/>
    <w:rsid w:val="00E3484E"/>
    <w:rsid w:val="00E34B57"/>
    <w:rsid w:val="00E34B6E"/>
    <w:rsid w:val="00E3526B"/>
    <w:rsid w:val="00E364CC"/>
    <w:rsid w:val="00E36728"/>
    <w:rsid w:val="00E36987"/>
    <w:rsid w:val="00E36E64"/>
    <w:rsid w:val="00E3723A"/>
    <w:rsid w:val="00E377B0"/>
    <w:rsid w:val="00E377FD"/>
    <w:rsid w:val="00E37860"/>
    <w:rsid w:val="00E40640"/>
    <w:rsid w:val="00E40A4E"/>
    <w:rsid w:val="00E410E5"/>
    <w:rsid w:val="00E412BB"/>
    <w:rsid w:val="00E41343"/>
    <w:rsid w:val="00E416BE"/>
    <w:rsid w:val="00E417CB"/>
    <w:rsid w:val="00E419BA"/>
    <w:rsid w:val="00E41B61"/>
    <w:rsid w:val="00E41D36"/>
    <w:rsid w:val="00E421CE"/>
    <w:rsid w:val="00E421D0"/>
    <w:rsid w:val="00E422F7"/>
    <w:rsid w:val="00E4231D"/>
    <w:rsid w:val="00E42586"/>
    <w:rsid w:val="00E4266E"/>
    <w:rsid w:val="00E426D8"/>
    <w:rsid w:val="00E427F9"/>
    <w:rsid w:val="00E42B52"/>
    <w:rsid w:val="00E42E89"/>
    <w:rsid w:val="00E432F2"/>
    <w:rsid w:val="00E43359"/>
    <w:rsid w:val="00E43595"/>
    <w:rsid w:val="00E43D21"/>
    <w:rsid w:val="00E44154"/>
    <w:rsid w:val="00E443CD"/>
    <w:rsid w:val="00E446F1"/>
    <w:rsid w:val="00E44802"/>
    <w:rsid w:val="00E44E55"/>
    <w:rsid w:val="00E4545A"/>
    <w:rsid w:val="00E46243"/>
    <w:rsid w:val="00E46886"/>
    <w:rsid w:val="00E47AEF"/>
    <w:rsid w:val="00E50125"/>
    <w:rsid w:val="00E5019A"/>
    <w:rsid w:val="00E50506"/>
    <w:rsid w:val="00E512D9"/>
    <w:rsid w:val="00E5133A"/>
    <w:rsid w:val="00E517C3"/>
    <w:rsid w:val="00E5219A"/>
    <w:rsid w:val="00E52EB2"/>
    <w:rsid w:val="00E53B75"/>
    <w:rsid w:val="00E540DF"/>
    <w:rsid w:val="00E5410D"/>
    <w:rsid w:val="00E542A7"/>
    <w:rsid w:val="00E543D1"/>
    <w:rsid w:val="00E54E3B"/>
    <w:rsid w:val="00E55BAF"/>
    <w:rsid w:val="00E55C28"/>
    <w:rsid w:val="00E55C2C"/>
    <w:rsid w:val="00E5616D"/>
    <w:rsid w:val="00E56245"/>
    <w:rsid w:val="00E56555"/>
    <w:rsid w:val="00E570AD"/>
    <w:rsid w:val="00E57565"/>
    <w:rsid w:val="00E579A7"/>
    <w:rsid w:val="00E60439"/>
    <w:rsid w:val="00E60ABF"/>
    <w:rsid w:val="00E6114E"/>
    <w:rsid w:val="00E618B3"/>
    <w:rsid w:val="00E61B94"/>
    <w:rsid w:val="00E61BAF"/>
    <w:rsid w:val="00E622FB"/>
    <w:rsid w:val="00E62374"/>
    <w:rsid w:val="00E626F3"/>
    <w:rsid w:val="00E629CA"/>
    <w:rsid w:val="00E634B0"/>
    <w:rsid w:val="00E63838"/>
    <w:rsid w:val="00E63E10"/>
    <w:rsid w:val="00E64434"/>
    <w:rsid w:val="00E6485E"/>
    <w:rsid w:val="00E64D8B"/>
    <w:rsid w:val="00E65019"/>
    <w:rsid w:val="00E6515D"/>
    <w:rsid w:val="00E65502"/>
    <w:rsid w:val="00E65D80"/>
    <w:rsid w:val="00E66A77"/>
    <w:rsid w:val="00E66A97"/>
    <w:rsid w:val="00E67C51"/>
    <w:rsid w:val="00E67E5D"/>
    <w:rsid w:val="00E702D6"/>
    <w:rsid w:val="00E703CA"/>
    <w:rsid w:val="00E70E4F"/>
    <w:rsid w:val="00E71515"/>
    <w:rsid w:val="00E71A10"/>
    <w:rsid w:val="00E71B86"/>
    <w:rsid w:val="00E7265D"/>
    <w:rsid w:val="00E72EFC"/>
    <w:rsid w:val="00E73FC0"/>
    <w:rsid w:val="00E749C9"/>
    <w:rsid w:val="00E751EB"/>
    <w:rsid w:val="00E758EC"/>
    <w:rsid w:val="00E75B4D"/>
    <w:rsid w:val="00E762CD"/>
    <w:rsid w:val="00E76421"/>
    <w:rsid w:val="00E764A3"/>
    <w:rsid w:val="00E7713E"/>
    <w:rsid w:val="00E771F9"/>
    <w:rsid w:val="00E7776E"/>
    <w:rsid w:val="00E77CE1"/>
    <w:rsid w:val="00E77E62"/>
    <w:rsid w:val="00E80051"/>
    <w:rsid w:val="00E800FF"/>
    <w:rsid w:val="00E805BE"/>
    <w:rsid w:val="00E80928"/>
    <w:rsid w:val="00E80F82"/>
    <w:rsid w:val="00E8100C"/>
    <w:rsid w:val="00E81ACF"/>
    <w:rsid w:val="00E81F0C"/>
    <w:rsid w:val="00E8234C"/>
    <w:rsid w:val="00E823A5"/>
    <w:rsid w:val="00E824BF"/>
    <w:rsid w:val="00E82936"/>
    <w:rsid w:val="00E82B16"/>
    <w:rsid w:val="00E82D25"/>
    <w:rsid w:val="00E82FA4"/>
    <w:rsid w:val="00E83542"/>
    <w:rsid w:val="00E8360C"/>
    <w:rsid w:val="00E83B48"/>
    <w:rsid w:val="00E84706"/>
    <w:rsid w:val="00E8496A"/>
    <w:rsid w:val="00E849F6"/>
    <w:rsid w:val="00E84A04"/>
    <w:rsid w:val="00E84B86"/>
    <w:rsid w:val="00E84C7E"/>
    <w:rsid w:val="00E84FE8"/>
    <w:rsid w:val="00E8504A"/>
    <w:rsid w:val="00E851D4"/>
    <w:rsid w:val="00E85443"/>
    <w:rsid w:val="00E856F5"/>
    <w:rsid w:val="00E85928"/>
    <w:rsid w:val="00E85D89"/>
    <w:rsid w:val="00E85FE4"/>
    <w:rsid w:val="00E8622E"/>
    <w:rsid w:val="00E86612"/>
    <w:rsid w:val="00E8682E"/>
    <w:rsid w:val="00E870F5"/>
    <w:rsid w:val="00E8723F"/>
    <w:rsid w:val="00E87330"/>
    <w:rsid w:val="00E87822"/>
    <w:rsid w:val="00E87A9B"/>
    <w:rsid w:val="00E87D7F"/>
    <w:rsid w:val="00E90395"/>
    <w:rsid w:val="00E90719"/>
    <w:rsid w:val="00E90727"/>
    <w:rsid w:val="00E90922"/>
    <w:rsid w:val="00E90A93"/>
    <w:rsid w:val="00E90D76"/>
    <w:rsid w:val="00E90E49"/>
    <w:rsid w:val="00E915A7"/>
    <w:rsid w:val="00E917F9"/>
    <w:rsid w:val="00E918EB"/>
    <w:rsid w:val="00E91F03"/>
    <w:rsid w:val="00E91FEA"/>
    <w:rsid w:val="00E92003"/>
    <w:rsid w:val="00E92273"/>
    <w:rsid w:val="00E9291C"/>
    <w:rsid w:val="00E929F6"/>
    <w:rsid w:val="00E92D1C"/>
    <w:rsid w:val="00E935DE"/>
    <w:rsid w:val="00E938CE"/>
    <w:rsid w:val="00E93D7F"/>
    <w:rsid w:val="00E93FFE"/>
    <w:rsid w:val="00E943EC"/>
    <w:rsid w:val="00E944E7"/>
    <w:rsid w:val="00E94CAF"/>
    <w:rsid w:val="00E94D8F"/>
    <w:rsid w:val="00E94F8A"/>
    <w:rsid w:val="00E9533A"/>
    <w:rsid w:val="00E95FE7"/>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487E"/>
    <w:rsid w:val="00EA5120"/>
    <w:rsid w:val="00EA5283"/>
    <w:rsid w:val="00EA5461"/>
    <w:rsid w:val="00EA548C"/>
    <w:rsid w:val="00EA580E"/>
    <w:rsid w:val="00EA5CE2"/>
    <w:rsid w:val="00EA5D81"/>
    <w:rsid w:val="00EA64B0"/>
    <w:rsid w:val="00EA65A2"/>
    <w:rsid w:val="00EA6677"/>
    <w:rsid w:val="00EA6B68"/>
    <w:rsid w:val="00EA6F3F"/>
    <w:rsid w:val="00EA745A"/>
    <w:rsid w:val="00EA75C8"/>
    <w:rsid w:val="00EA78B2"/>
    <w:rsid w:val="00EA7A41"/>
    <w:rsid w:val="00EB0111"/>
    <w:rsid w:val="00EB0523"/>
    <w:rsid w:val="00EB077B"/>
    <w:rsid w:val="00EB0A1B"/>
    <w:rsid w:val="00EB0AEE"/>
    <w:rsid w:val="00EB0D24"/>
    <w:rsid w:val="00EB105F"/>
    <w:rsid w:val="00EB1344"/>
    <w:rsid w:val="00EB21CF"/>
    <w:rsid w:val="00EB235D"/>
    <w:rsid w:val="00EB24A5"/>
    <w:rsid w:val="00EB24A9"/>
    <w:rsid w:val="00EB272C"/>
    <w:rsid w:val="00EB2D48"/>
    <w:rsid w:val="00EB2E3C"/>
    <w:rsid w:val="00EB325F"/>
    <w:rsid w:val="00EB3D70"/>
    <w:rsid w:val="00EB3E22"/>
    <w:rsid w:val="00EB3E69"/>
    <w:rsid w:val="00EB41B5"/>
    <w:rsid w:val="00EB4456"/>
    <w:rsid w:val="00EB4530"/>
    <w:rsid w:val="00EB48E5"/>
    <w:rsid w:val="00EB4C35"/>
    <w:rsid w:val="00EB4C84"/>
    <w:rsid w:val="00EB4DC7"/>
    <w:rsid w:val="00EB4EA2"/>
    <w:rsid w:val="00EB5B44"/>
    <w:rsid w:val="00EB5EF9"/>
    <w:rsid w:val="00EB6685"/>
    <w:rsid w:val="00EB69ED"/>
    <w:rsid w:val="00EB6E82"/>
    <w:rsid w:val="00EB7237"/>
    <w:rsid w:val="00EB737B"/>
    <w:rsid w:val="00EB73C3"/>
    <w:rsid w:val="00EB742B"/>
    <w:rsid w:val="00EB7B69"/>
    <w:rsid w:val="00EC0FB4"/>
    <w:rsid w:val="00EC156B"/>
    <w:rsid w:val="00EC168A"/>
    <w:rsid w:val="00EC1D1E"/>
    <w:rsid w:val="00EC1DF7"/>
    <w:rsid w:val="00EC2605"/>
    <w:rsid w:val="00EC27C6"/>
    <w:rsid w:val="00EC2A97"/>
    <w:rsid w:val="00EC3553"/>
    <w:rsid w:val="00EC39C8"/>
    <w:rsid w:val="00EC3A2B"/>
    <w:rsid w:val="00EC3D1F"/>
    <w:rsid w:val="00EC3F7B"/>
    <w:rsid w:val="00EC4207"/>
    <w:rsid w:val="00EC42F0"/>
    <w:rsid w:val="00EC4436"/>
    <w:rsid w:val="00EC464B"/>
    <w:rsid w:val="00EC4696"/>
    <w:rsid w:val="00EC4937"/>
    <w:rsid w:val="00EC49A3"/>
    <w:rsid w:val="00EC4EBC"/>
    <w:rsid w:val="00EC5653"/>
    <w:rsid w:val="00EC5A8C"/>
    <w:rsid w:val="00EC5D24"/>
    <w:rsid w:val="00EC60AE"/>
    <w:rsid w:val="00EC61BC"/>
    <w:rsid w:val="00EC657C"/>
    <w:rsid w:val="00EC71CE"/>
    <w:rsid w:val="00EC743E"/>
    <w:rsid w:val="00EC75E8"/>
    <w:rsid w:val="00EC7858"/>
    <w:rsid w:val="00ED00DD"/>
    <w:rsid w:val="00ED021B"/>
    <w:rsid w:val="00ED0958"/>
    <w:rsid w:val="00ED0A8D"/>
    <w:rsid w:val="00ED1006"/>
    <w:rsid w:val="00ED27F9"/>
    <w:rsid w:val="00ED2A60"/>
    <w:rsid w:val="00ED3160"/>
    <w:rsid w:val="00ED37A9"/>
    <w:rsid w:val="00ED3808"/>
    <w:rsid w:val="00ED3D46"/>
    <w:rsid w:val="00ED3D6D"/>
    <w:rsid w:val="00ED454D"/>
    <w:rsid w:val="00ED4A40"/>
    <w:rsid w:val="00ED4AFA"/>
    <w:rsid w:val="00ED4B81"/>
    <w:rsid w:val="00ED4E20"/>
    <w:rsid w:val="00ED570A"/>
    <w:rsid w:val="00ED5E07"/>
    <w:rsid w:val="00ED635F"/>
    <w:rsid w:val="00ED67CD"/>
    <w:rsid w:val="00ED6BD6"/>
    <w:rsid w:val="00ED6E55"/>
    <w:rsid w:val="00ED78C9"/>
    <w:rsid w:val="00ED7E9E"/>
    <w:rsid w:val="00EE0624"/>
    <w:rsid w:val="00EE0D13"/>
    <w:rsid w:val="00EE0DE7"/>
    <w:rsid w:val="00EE1F98"/>
    <w:rsid w:val="00EE280C"/>
    <w:rsid w:val="00EE28F5"/>
    <w:rsid w:val="00EE35AB"/>
    <w:rsid w:val="00EE3D18"/>
    <w:rsid w:val="00EE4346"/>
    <w:rsid w:val="00EE45A6"/>
    <w:rsid w:val="00EE4EFD"/>
    <w:rsid w:val="00EE52E8"/>
    <w:rsid w:val="00EE590D"/>
    <w:rsid w:val="00EE593B"/>
    <w:rsid w:val="00EE5985"/>
    <w:rsid w:val="00EE5D34"/>
    <w:rsid w:val="00EE628C"/>
    <w:rsid w:val="00EE66A0"/>
    <w:rsid w:val="00EE6880"/>
    <w:rsid w:val="00EE6B5A"/>
    <w:rsid w:val="00EE6D51"/>
    <w:rsid w:val="00EE72C9"/>
    <w:rsid w:val="00EE75BD"/>
    <w:rsid w:val="00EE7CE1"/>
    <w:rsid w:val="00EF00FF"/>
    <w:rsid w:val="00EF0408"/>
    <w:rsid w:val="00EF04D5"/>
    <w:rsid w:val="00EF07FA"/>
    <w:rsid w:val="00EF0812"/>
    <w:rsid w:val="00EF0987"/>
    <w:rsid w:val="00EF18FE"/>
    <w:rsid w:val="00EF19CA"/>
    <w:rsid w:val="00EF1B8B"/>
    <w:rsid w:val="00EF1F73"/>
    <w:rsid w:val="00EF2069"/>
    <w:rsid w:val="00EF2160"/>
    <w:rsid w:val="00EF2981"/>
    <w:rsid w:val="00EF29C2"/>
    <w:rsid w:val="00EF2D01"/>
    <w:rsid w:val="00EF3591"/>
    <w:rsid w:val="00EF3795"/>
    <w:rsid w:val="00EF3AD5"/>
    <w:rsid w:val="00EF3D20"/>
    <w:rsid w:val="00EF3DD8"/>
    <w:rsid w:val="00EF42A1"/>
    <w:rsid w:val="00EF48A4"/>
    <w:rsid w:val="00EF4DAF"/>
    <w:rsid w:val="00EF4ED6"/>
    <w:rsid w:val="00EF5302"/>
    <w:rsid w:val="00EF53CD"/>
    <w:rsid w:val="00EF5787"/>
    <w:rsid w:val="00EF5E6B"/>
    <w:rsid w:val="00EF60D0"/>
    <w:rsid w:val="00EF6C19"/>
    <w:rsid w:val="00EF7C03"/>
    <w:rsid w:val="00EF7DF7"/>
    <w:rsid w:val="00EF7F6B"/>
    <w:rsid w:val="00F00073"/>
    <w:rsid w:val="00F000D6"/>
    <w:rsid w:val="00F00459"/>
    <w:rsid w:val="00F00A11"/>
    <w:rsid w:val="00F00DC8"/>
    <w:rsid w:val="00F0106A"/>
    <w:rsid w:val="00F01A5F"/>
    <w:rsid w:val="00F01AA2"/>
    <w:rsid w:val="00F01B77"/>
    <w:rsid w:val="00F038F0"/>
    <w:rsid w:val="00F03E59"/>
    <w:rsid w:val="00F0404A"/>
    <w:rsid w:val="00F041D8"/>
    <w:rsid w:val="00F047BD"/>
    <w:rsid w:val="00F04A03"/>
    <w:rsid w:val="00F04AF7"/>
    <w:rsid w:val="00F04D4B"/>
    <w:rsid w:val="00F04DD5"/>
    <w:rsid w:val="00F0501A"/>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A0D"/>
    <w:rsid w:val="00F12EC0"/>
    <w:rsid w:val="00F1321C"/>
    <w:rsid w:val="00F13364"/>
    <w:rsid w:val="00F135D2"/>
    <w:rsid w:val="00F13946"/>
    <w:rsid w:val="00F1460F"/>
    <w:rsid w:val="00F1473F"/>
    <w:rsid w:val="00F151AF"/>
    <w:rsid w:val="00F15491"/>
    <w:rsid w:val="00F15FA5"/>
    <w:rsid w:val="00F163C6"/>
    <w:rsid w:val="00F1664B"/>
    <w:rsid w:val="00F1673A"/>
    <w:rsid w:val="00F168FA"/>
    <w:rsid w:val="00F16A6F"/>
    <w:rsid w:val="00F16F27"/>
    <w:rsid w:val="00F16F51"/>
    <w:rsid w:val="00F16FD2"/>
    <w:rsid w:val="00F1733E"/>
    <w:rsid w:val="00F1772F"/>
    <w:rsid w:val="00F17C46"/>
    <w:rsid w:val="00F20827"/>
    <w:rsid w:val="00F209B7"/>
    <w:rsid w:val="00F20E6F"/>
    <w:rsid w:val="00F21135"/>
    <w:rsid w:val="00F213C1"/>
    <w:rsid w:val="00F21B0F"/>
    <w:rsid w:val="00F21C5E"/>
    <w:rsid w:val="00F21FF6"/>
    <w:rsid w:val="00F22CD5"/>
    <w:rsid w:val="00F234B8"/>
    <w:rsid w:val="00F23D23"/>
    <w:rsid w:val="00F243D8"/>
    <w:rsid w:val="00F243E4"/>
    <w:rsid w:val="00F24889"/>
    <w:rsid w:val="00F257F3"/>
    <w:rsid w:val="00F25858"/>
    <w:rsid w:val="00F266DF"/>
    <w:rsid w:val="00F26E23"/>
    <w:rsid w:val="00F276AD"/>
    <w:rsid w:val="00F27994"/>
    <w:rsid w:val="00F27A0D"/>
    <w:rsid w:val="00F27A4B"/>
    <w:rsid w:val="00F27F1D"/>
    <w:rsid w:val="00F27FAF"/>
    <w:rsid w:val="00F304B0"/>
    <w:rsid w:val="00F30648"/>
    <w:rsid w:val="00F30828"/>
    <w:rsid w:val="00F30A3E"/>
    <w:rsid w:val="00F313D6"/>
    <w:rsid w:val="00F31A35"/>
    <w:rsid w:val="00F31AED"/>
    <w:rsid w:val="00F31E95"/>
    <w:rsid w:val="00F31EE4"/>
    <w:rsid w:val="00F32194"/>
    <w:rsid w:val="00F32FF2"/>
    <w:rsid w:val="00F33134"/>
    <w:rsid w:val="00F33417"/>
    <w:rsid w:val="00F33674"/>
    <w:rsid w:val="00F3387A"/>
    <w:rsid w:val="00F34480"/>
    <w:rsid w:val="00F34B14"/>
    <w:rsid w:val="00F34D4D"/>
    <w:rsid w:val="00F34D9C"/>
    <w:rsid w:val="00F34EDE"/>
    <w:rsid w:val="00F35075"/>
    <w:rsid w:val="00F351B8"/>
    <w:rsid w:val="00F35876"/>
    <w:rsid w:val="00F35D41"/>
    <w:rsid w:val="00F35DDC"/>
    <w:rsid w:val="00F35F56"/>
    <w:rsid w:val="00F36E1A"/>
    <w:rsid w:val="00F37451"/>
    <w:rsid w:val="00F375CE"/>
    <w:rsid w:val="00F376AF"/>
    <w:rsid w:val="00F3773E"/>
    <w:rsid w:val="00F3786E"/>
    <w:rsid w:val="00F40473"/>
    <w:rsid w:val="00F407B2"/>
    <w:rsid w:val="00F41114"/>
    <w:rsid w:val="00F411BE"/>
    <w:rsid w:val="00F41333"/>
    <w:rsid w:val="00F413BB"/>
    <w:rsid w:val="00F413CC"/>
    <w:rsid w:val="00F41583"/>
    <w:rsid w:val="00F41D20"/>
    <w:rsid w:val="00F434C6"/>
    <w:rsid w:val="00F43D4A"/>
    <w:rsid w:val="00F43E18"/>
    <w:rsid w:val="00F43F65"/>
    <w:rsid w:val="00F4469F"/>
    <w:rsid w:val="00F45475"/>
    <w:rsid w:val="00F457DA"/>
    <w:rsid w:val="00F45CA5"/>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295E"/>
    <w:rsid w:val="00F52E3B"/>
    <w:rsid w:val="00F53352"/>
    <w:rsid w:val="00F537AF"/>
    <w:rsid w:val="00F53AFE"/>
    <w:rsid w:val="00F5408A"/>
    <w:rsid w:val="00F54216"/>
    <w:rsid w:val="00F54253"/>
    <w:rsid w:val="00F5450F"/>
    <w:rsid w:val="00F54D17"/>
    <w:rsid w:val="00F54F08"/>
    <w:rsid w:val="00F5557B"/>
    <w:rsid w:val="00F55644"/>
    <w:rsid w:val="00F55B75"/>
    <w:rsid w:val="00F55C20"/>
    <w:rsid w:val="00F55D60"/>
    <w:rsid w:val="00F562AF"/>
    <w:rsid w:val="00F568FB"/>
    <w:rsid w:val="00F56E26"/>
    <w:rsid w:val="00F570BF"/>
    <w:rsid w:val="00F57485"/>
    <w:rsid w:val="00F57752"/>
    <w:rsid w:val="00F57D16"/>
    <w:rsid w:val="00F57FDB"/>
    <w:rsid w:val="00F602D1"/>
    <w:rsid w:val="00F607C5"/>
    <w:rsid w:val="00F60DEA"/>
    <w:rsid w:val="00F61363"/>
    <w:rsid w:val="00F61C29"/>
    <w:rsid w:val="00F61EC8"/>
    <w:rsid w:val="00F626F9"/>
    <w:rsid w:val="00F62E30"/>
    <w:rsid w:val="00F6302A"/>
    <w:rsid w:val="00F63838"/>
    <w:rsid w:val="00F63B1C"/>
    <w:rsid w:val="00F63DC0"/>
    <w:rsid w:val="00F643D1"/>
    <w:rsid w:val="00F64B4F"/>
    <w:rsid w:val="00F64C2B"/>
    <w:rsid w:val="00F64DC0"/>
    <w:rsid w:val="00F651BE"/>
    <w:rsid w:val="00F65F27"/>
    <w:rsid w:val="00F65FD1"/>
    <w:rsid w:val="00F660C3"/>
    <w:rsid w:val="00F665DE"/>
    <w:rsid w:val="00F66957"/>
    <w:rsid w:val="00F67658"/>
    <w:rsid w:val="00F67A4B"/>
    <w:rsid w:val="00F67E37"/>
    <w:rsid w:val="00F67F53"/>
    <w:rsid w:val="00F70104"/>
    <w:rsid w:val="00F703BE"/>
    <w:rsid w:val="00F703CE"/>
    <w:rsid w:val="00F70460"/>
    <w:rsid w:val="00F706AB"/>
    <w:rsid w:val="00F71922"/>
    <w:rsid w:val="00F71C09"/>
    <w:rsid w:val="00F71F69"/>
    <w:rsid w:val="00F72B72"/>
    <w:rsid w:val="00F73595"/>
    <w:rsid w:val="00F736CB"/>
    <w:rsid w:val="00F7375A"/>
    <w:rsid w:val="00F738BA"/>
    <w:rsid w:val="00F7435D"/>
    <w:rsid w:val="00F745E4"/>
    <w:rsid w:val="00F74BB9"/>
    <w:rsid w:val="00F753BB"/>
    <w:rsid w:val="00F75582"/>
    <w:rsid w:val="00F755A8"/>
    <w:rsid w:val="00F75791"/>
    <w:rsid w:val="00F75A12"/>
    <w:rsid w:val="00F76B99"/>
    <w:rsid w:val="00F76EFA"/>
    <w:rsid w:val="00F771F2"/>
    <w:rsid w:val="00F7756D"/>
    <w:rsid w:val="00F77D54"/>
    <w:rsid w:val="00F80049"/>
    <w:rsid w:val="00F800BF"/>
    <w:rsid w:val="00F804BE"/>
    <w:rsid w:val="00F80ED8"/>
    <w:rsid w:val="00F80F50"/>
    <w:rsid w:val="00F817CE"/>
    <w:rsid w:val="00F81BF1"/>
    <w:rsid w:val="00F81DA0"/>
    <w:rsid w:val="00F82D94"/>
    <w:rsid w:val="00F82FBC"/>
    <w:rsid w:val="00F8345A"/>
    <w:rsid w:val="00F83747"/>
    <w:rsid w:val="00F838AE"/>
    <w:rsid w:val="00F83DBC"/>
    <w:rsid w:val="00F84213"/>
    <w:rsid w:val="00F8456C"/>
    <w:rsid w:val="00F84EE1"/>
    <w:rsid w:val="00F859D8"/>
    <w:rsid w:val="00F85F8F"/>
    <w:rsid w:val="00F861CC"/>
    <w:rsid w:val="00F86516"/>
    <w:rsid w:val="00F868F5"/>
    <w:rsid w:val="00F872AD"/>
    <w:rsid w:val="00F874F0"/>
    <w:rsid w:val="00F87537"/>
    <w:rsid w:val="00F8769C"/>
    <w:rsid w:val="00F87A58"/>
    <w:rsid w:val="00F87A79"/>
    <w:rsid w:val="00F90344"/>
    <w:rsid w:val="00F9056A"/>
    <w:rsid w:val="00F90F8D"/>
    <w:rsid w:val="00F91497"/>
    <w:rsid w:val="00F918FA"/>
    <w:rsid w:val="00F91ADD"/>
    <w:rsid w:val="00F91C3C"/>
    <w:rsid w:val="00F91DF0"/>
    <w:rsid w:val="00F9201D"/>
    <w:rsid w:val="00F9223C"/>
    <w:rsid w:val="00F92746"/>
    <w:rsid w:val="00F92782"/>
    <w:rsid w:val="00F9288B"/>
    <w:rsid w:val="00F92F0C"/>
    <w:rsid w:val="00F92F61"/>
    <w:rsid w:val="00F9365F"/>
    <w:rsid w:val="00F9378A"/>
    <w:rsid w:val="00F938DB"/>
    <w:rsid w:val="00F93AA9"/>
    <w:rsid w:val="00F94161"/>
    <w:rsid w:val="00F95489"/>
    <w:rsid w:val="00F95C66"/>
    <w:rsid w:val="00F961A5"/>
    <w:rsid w:val="00F96204"/>
    <w:rsid w:val="00F962AF"/>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85"/>
    <w:rsid w:val="00FA22F2"/>
    <w:rsid w:val="00FA22F8"/>
    <w:rsid w:val="00FA2A6C"/>
    <w:rsid w:val="00FA2A95"/>
    <w:rsid w:val="00FA2B9C"/>
    <w:rsid w:val="00FA2BB3"/>
    <w:rsid w:val="00FA2D74"/>
    <w:rsid w:val="00FA3795"/>
    <w:rsid w:val="00FA389F"/>
    <w:rsid w:val="00FA3F39"/>
    <w:rsid w:val="00FA4908"/>
    <w:rsid w:val="00FA4BEC"/>
    <w:rsid w:val="00FA5034"/>
    <w:rsid w:val="00FA55BB"/>
    <w:rsid w:val="00FA6109"/>
    <w:rsid w:val="00FA6709"/>
    <w:rsid w:val="00FA6C4A"/>
    <w:rsid w:val="00FA6E5B"/>
    <w:rsid w:val="00FA7109"/>
    <w:rsid w:val="00FA7755"/>
    <w:rsid w:val="00FA7F00"/>
    <w:rsid w:val="00FB00A4"/>
    <w:rsid w:val="00FB0AB2"/>
    <w:rsid w:val="00FB0B60"/>
    <w:rsid w:val="00FB0DAD"/>
    <w:rsid w:val="00FB0E2A"/>
    <w:rsid w:val="00FB12E4"/>
    <w:rsid w:val="00FB1640"/>
    <w:rsid w:val="00FB1B76"/>
    <w:rsid w:val="00FB1F0E"/>
    <w:rsid w:val="00FB1F8E"/>
    <w:rsid w:val="00FB2011"/>
    <w:rsid w:val="00FB250B"/>
    <w:rsid w:val="00FB26DB"/>
    <w:rsid w:val="00FB3344"/>
    <w:rsid w:val="00FB35EA"/>
    <w:rsid w:val="00FB3775"/>
    <w:rsid w:val="00FB3A2F"/>
    <w:rsid w:val="00FB3CA6"/>
    <w:rsid w:val="00FB413D"/>
    <w:rsid w:val="00FB4C80"/>
    <w:rsid w:val="00FB5944"/>
    <w:rsid w:val="00FB5AE1"/>
    <w:rsid w:val="00FB5F73"/>
    <w:rsid w:val="00FB6087"/>
    <w:rsid w:val="00FB6BA8"/>
    <w:rsid w:val="00FB7389"/>
    <w:rsid w:val="00FB7986"/>
    <w:rsid w:val="00FC0035"/>
    <w:rsid w:val="00FC09E3"/>
    <w:rsid w:val="00FC0C7D"/>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48"/>
    <w:rsid w:val="00FC68A8"/>
    <w:rsid w:val="00FC6D90"/>
    <w:rsid w:val="00FC7349"/>
    <w:rsid w:val="00FC739B"/>
    <w:rsid w:val="00FC7426"/>
    <w:rsid w:val="00FC7429"/>
    <w:rsid w:val="00FC75C1"/>
    <w:rsid w:val="00FC766A"/>
    <w:rsid w:val="00FC7952"/>
    <w:rsid w:val="00FC79F9"/>
    <w:rsid w:val="00FD07F6"/>
    <w:rsid w:val="00FD096B"/>
    <w:rsid w:val="00FD0F09"/>
    <w:rsid w:val="00FD0FCB"/>
    <w:rsid w:val="00FD13F7"/>
    <w:rsid w:val="00FD1872"/>
    <w:rsid w:val="00FD1912"/>
    <w:rsid w:val="00FD1D0B"/>
    <w:rsid w:val="00FD1EC8"/>
    <w:rsid w:val="00FD21DD"/>
    <w:rsid w:val="00FD2A73"/>
    <w:rsid w:val="00FD2E88"/>
    <w:rsid w:val="00FD3055"/>
    <w:rsid w:val="00FD33A6"/>
    <w:rsid w:val="00FD38A7"/>
    <w:rsid w:val="00FD3B87"/>
    <w:rsid w:val="00FD4578"/>
    <w:rsid w:val="00FD4686"/>
    <w:rsid w:val="00FD47ED"/>
    <w:rsid w:val="00FD4CE5"/>
    <w:rsid w:val="00FD4CE7"/>
    <w:rsid w:val="00FD4EC9"/>
    <w:rsid w:val="00FD5270"/>
    <w:rsid w:val="00FD539F"/>
    <w:rsid w:val="00FD5871"/>
    <w:rsid w:val="00FD5D8C"/>
    <w:rsid w:val="00FD5E0A"/>
    <w:rsid w:val="00FD677E"/>
    <w:rsid w:val="00FD67EC"/>
    <w:rsid w:val="00FD69B1"/>
    <w:rsid w:val="00FD710F"/>
    <w:rsid w:val="00FD74DB"/>
    <w:rsid w:val="00FD75E6"/>
    <w:rsid w:val="00FD7660"/>
    <w:rsid w:val="00FD7894"/>
    <w:rsid w:val="00FD7B83"/>
    <w:rsid w:val="00FD7BE1"/>
    <w:rsid w:val="00FD7DF4"/>
    <w:rsid w:val="00FE0490"/>
    <w:rsid w:val="00FE0522"/>
    <w:rsid w:val="00FE0655"/>
    <w:rsid w:val="00FE17A2"/>
    <w:rsid w:val="00FE1F53"/>
    <w:rsid w:val="00FE220A"/>
    <w:rsid w:val="00FE2365"/>
    <w:rsid w:val="00FE2648"/>
    <w:rsid w:val="00FE299E"/>
    <w:rsid w:val="00FE2B0E"/>
    <w:rsid w:val="00FE2CCF"/>
    <w:rsid w:val="00FE32C1"/>
    <w:rsid w:val="00FE362E"/>
    <w:rsid w:val="00FE37D0"/>
    <w:rsid w:val="00FE3C61"/>
    <w:rsid w:val="00FE3F1B"/>
    <w:rsid w:val="00FE3FFB"/>
    <w:rsid w:val="00FE48CA"/>
    <w:rsid w:val="00FE48EB"/>
    <w:rsid w:val="00FE4C7B"/>
    <w:rsid w:val="00FE4CA9"/>
    <w:rsid w:val="00FE4D7E"/>
    <w:rsid w:val="00FE4F47"/>
    <w:rsid w:val="00FE4F89"/>
    <w:rsid w:val="00FE5445"/>
    <w:rsid w:val="00FE55A8"/>
    <w:rsid w:val="00FE5659"/>
    <w:rsid w:val="00FE57B9"/>
    <w:rsid w:val="00FE5C73"/>
    <w:rsid w:val="00FE5FB3"/>
    <w:rsid w:val="00FE61B0"/>
    <w:rsid w:val="00FE61D9"/>
    <w:rsid w:val="00FE6208"/>
    <w:rsid w:val="00FE67E0"/>
    <w:rsid w:val="00FE6B82"/>
    <w:rsid w:val="00FE6D60"/>
    <w:rsid w:val="00FE7336"/>
    <w:rsid w:val="00FE76C0"/>
    <w:rsid w:val="00FE787C"/>
    <w:rsid w:val="00FF0249"/>
    <w:rsid w:val="00FF0292"/>
    <w:rsid w:val="00FF0385"/>
    <w:rsid w:val="00FF07B8"/>
    <w:rsid w:val="00FF0AFB"/>
    <w:rsid w:val="00FF1098"/>
    <w:rsid w:val="00FF10FD"/>
    <w:rsid w:val="00FF1222"/>
    <w:rsid w:val="00FF1AE8"/>
    <w:rsid w:val="00FF1F6E"/>
    <w:rsid w:val="00FF28BC"/>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6B26"/>
    <w:rsid w:val="00FF6B62"/>
    <w:rsid w:val="00FF7716"/>
    <w:rsid w:val="00FF77E2"/>
    <w:rsid w:val="00FF7948"/>
    <w:rsid w:val="00FF7D98"/>
    <w:rsid w:val="00FF7E8D"/>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4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0EE0"/>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0">
    <w:name w:val="heading 2"/>
    <w:basedOn w:val="a0"/>
    <w:link w:val="2Char"/>
    <w:autoRedefine/>
    <w:qFormat/>
    <w:rsid w:val="00DA461D"/>
    <w:pPr>
      <w:keepNext/>
      <w:framePr w:wrap="around" w:vAnchor="text" w:hAnchor="text" w:y="1"/>
      <w:adjustRightInd w:val="0"/>
      <w:snapToGrid w:val="0"/>
      <w:spacing w:before="240" w:after="120" w:line="300" w:lineRule="auto"/>
      <w:outlineLvl w:val="1"/>
    </w:pPr>
    <w:rPr>
      <w:rFonts w:ascii="Arial" w:eastAsia="PMingLiU" w:hAnsi="Arial" w:cs="Arial"/>
      <w:b/>
      <w:kern w:val="52"/>
      <w:sz w:val="28"/>
      <w:szCs w:val="48"/>
      <w:lang w:eastAsia="zh-TW"/>
    </w:rPr>
  </w:style>
  <w:style w:type="paragraph" w:styleId="30">
    <w:name w:val="heading 3"/>
    <w:basedOn w:val="20"/>
    <w:next w:val="a0"/>
    <w:qFormat/>
    <w:pPr>
      <w:framePr w:wrap="around"/>
      <w:numPr>
        <w:ilvl w:val="2"/>
      </w:numPr>
      <w:spacing w:before="120"/>
      <w:outlineLvl w:val="2"/>
    </w:pPr>
    <w:rPr>
      <w:szCs w:val="28"/>
    </w:rPr>
  </w:style>
  <w:style w:type="paragraph" w:styleId="40">
    <w:name w:val="heading 4"/>
    <w:basedOn w:val="30"/>
    <w:next w:val="a0"/>
    <w:qFormat/>
    <w:pPr>
      <w:framePr w:wrap="around"/>
      <w:numPr>
        <w:ilvl w:val="3"/>
      </w:numPr>
      <w:outlineLvl w:val="3"/>
    </w:pPr>
    <w:rPr>
      <w:sz w:val="24"/>
      <w:szCs w:val="24"/>
    </w:rPr>
  </w:style>
  <w:style w:type="paragraph" w:styleId="50">
    <w:name w:val="heading 5"/>
    <w:basedOn w:val="40"/>
    <w:next w:val="a0"/>
    <w:qFormat/>
    <w:pPr>
      <w:framePr w:wrap="around"/>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260EE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60EE0"/>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
    <w:name w:val="List Bullet 2"/>
    <w:basedOn w:val="a"/>
    <w:qFormat/>
    <w:pPr>
      <w:numPr>
        <w:numId w:val="3"/>
      </w:numPr>
    </w:pPr>
  </w:style>
  <w:style w:type="paragraph" w:styleId="3">
    <w:name w:val="List Bullet 3"/>
    <w:basedOn w:val="2"/>
    <w:qFormat/>
    <w:pPr>
      <w:numPr>
        <w:numId w:val="4"/>
      </w:numPr>
    </w:pPr>
  </w:style>
  <w:style w:type="paragraph" w:styleId="4">
    <w:name w:val="List Bullet 4"/>
    <w:basedOn w:val="3"/>
    <w:qFormat/>
    <w:pPr>
      <w:numPr>
        <w:numId w:val="5"/>
      </w:numPr>
    </w:pPr>
  </w:style>
  <w:style w:type="paragraph" w:styleId="5">
    <w:name w:val="List Bullet 5"/>
    <w:basedOn w:val="4"/>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Char2"/>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본문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basedOn w:val="a1"/>
    <w:link w:val="20"/>
    <w:rsid w:val="00DA461D"/>
    <w:rPr>
      <w:rFonts w:ascii="Arial" w:eastAsia="PMingLiU" w:hAnsi="Arial" w:cs="Arial"/>
      <w:b/>
      <w:kern w:val="52"/>
      <w:sz w:val="28"/>
      <w:szCs w:val="48"/>
      <w:lang w:eastAsia="zh-TW"/>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2">
    <w:name w:val="제목 Char"/>
    <w:basedOn w:val="a1"/>
    <w:link w:val="af8"/>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6"/>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3">
    <w:name w:val="목록 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table" w:customStyle="1" w:styleId="TableGrid10">
    <w:name w:val="Table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3454</Words>
  <Characters>19693</Characters>
  <Application>Microsoft Office Word</Application>
  <DocSecurity>0</DocSecurity>
  <Lines>164</Lines>
  <Paragraphs>46</Paragraphs>
  <ScaleCrop>false</ScaleCrop>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2021-11-16T11:12:00Z</dcterms:created>
  <dcterms:modified xsi:type="dcterms:W3CDTF">2021-11-16T11:15:00Z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1033-11.1.0.10702</vt:lpwstr>
  </property>
</Properties>
</file>