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3551F" w14:textId="1CB32A37" w:rsidR="00291A4C" w:rsidRDefault="003B1AB2">
      <w:pPr>
        <w:tabs>
          <w:tab w:val="right" w:pos="9639"/>
        </w:tabs>
        <w:spacing w:after="0"/>
        <w:rPr>
          <w:rFonts w:eastAsia="Times New Roman"/>
          <w:b/>
          <w:bCs/>
          <w:sz w:val="24"/>
          <w:szCs w:val="24"/>
        </w:rPr>
      </w:pPr>
      <w:r>
        <w:rPr>
          <w:rFonts w:eastAsia="Times New Roman"/>
          <w:b/>
          <w:bCs/>
          <w:sz w:val="24"/>
          <w:szCs w:val="24"/>
        </w:rPr>
        <w:t>3GPP TSG RAN WG1 Meeting #10</w:t>
      </w:r>
      <w:r w:rsidR="00B003D6">
        <w:rPr>
          <w:rFonts w:eastAsia="Times New Roman"/>
          <w:b/>
          <w:bCs/>
          <w:sz w:val="24"/>
          <w:szCs w:val="24"/>
        </w:rPr>
        <w:t>7</w:t>
      </w:r>
      <w:r>
        <w:rPr>
          <w:rFonts w:eastAsia="Times New Roman"/>
          <w:b/>
          <w:bCs/>
          <w:sz w:val="24"/>
          <w:szCs w:val="24"/>
        </w:rPr>
        <w:t>-e</w:t>
      </w:r>
      <w:r>
        <w:tab/>
      </w:r>
      <w:r>
        <w:rPr>
          <w:rFonts w:eastAsia="Times New Roman"/>
          <w:b/>
          <w:bCs/>
          <w:sz w:val="24"/>
          <w:szCs w:val="24"/>
        </w:rPr>
        <w:t>R1-21</w:t>
      </w:r>
      <w:r w:rsidR="00B003D6">
        <w:rPr>
          <w:rFonts w:eastAsia="Times New Roman"/>
          <w:b/>
          <w:bCs/>
          <w:sz w:val="24"/>
          <w:szCs w:val="24"/>
        </w:rPr>
        <w:t>1xxxx</w:t>
      </w:r>
    </w:p>
    <w:p w14:paraId="63E56D70" w14:textId="3D2E0534" w:rsidR="00291A4C" w:rsidRDefault="00B003D6">
      <w:pPr>
        <w:tabs>
          <w:tab w:val="right" w:pos="9639"/>
        </w:tabs>
        <w:spacing w:after="0"/>
        <w:rPr>
          <w:rFonts w:eastAsia="Times New Roman"/>
          <w:b/>
          <w:bCs/>
          <w:sz w:val="24"/>
          <w:szCs w:val="24"/>
        </w:rPr>
      </w:pPr>
      <w:r>
        <w:rPr>
          <w:rFonts w:eastAsia="Times New Roman"/>
          <w:b/>
          <w:bCs/>
          <w:sz w:val="24"/>
          <w:szCs w:val="24"/>
        </w:rPr>
        <w:t>Nov</w:t>
      </w:r>
      <w:r w:rsidR="003B1AB2">
        <w:rPr>
          <w:rFonts w:eastAsia="Times New Roman"/>
          <w:b/>
          <w:bCs/>
          <w:sz w:val="24"/>
          <w:szCs w:val="24"/>
        </w:rPr>
        <w:t xml:space="preserve"> 11</w:t>
      </w:r>
      <w:r w:rsidR="003B1AB2">
        <w:rPr>
          <w:rFonts w:eastAsia="Times New Roman"/>
          <w:b/>
          <w:bCs/>
          <w:sz w:val="24"/>
          <w:szCs w:val="24"/>
          <w:vertAlign w:val="superscript"/>
        </w:rPr>
        <w:t>th</w:t>
      </w:r>
      <w:r w:rsidR="003B1AB2">
        <w:rPr>
          <w:rFonts w:eastAsia="Times New Roman"/>
          <w:b/>
          <w:bCs/>
          <w:sz w:val="24"/>
          <w:szCs w:val="24"/>
        </w:rPr>
        <w:t xml:space="preserve"> – </w:t>
      </w:r>
      <w:r>
        <w:rPr>
          <w:rFonts w:eastAsia="Times New Roman"/>
          <w:b/>
          <w:bCs/>
          <w:sz w:val="24"/>
          <w:szCs w:val="24"/>
        </w:rPr>
        <w:t>Nov</w:t>
      </w:r>
      <w:r w:rsidR="003B1AB2">
        <w:rPr>
          <w:rFonts w:eastAsia="Times New Roman"/>
          <w:b/>
          <w:bCs/>
          <w:sz w:val="24"/>
          <w:szCs w:val="24"/>
        </w:rPr>
        <w:t xml:space="preserve"> 19</w:t>
      </w:r>
      <w:r w:rsidR="003B1AB2">
        <w:rPr>
          <w:rFonts w:eastAsia="Times New Roman"/>
          <w:b/>
          <w:bCs/>
          <w:sz w:val="24"/>
          <w:szCs w:val="24"/>
          <w:vertAlign w:val="superscript"/>
        </w:rPr>
        <w:t>th</w:t>
      </w:r>
      <w:r w:rsidR="003B1AB2">
        <w:rPr>
          <w:rFonts w:eastAsia="Times New Roman"/>
          <w:b/>
          <w:bCs/>
          <w:sz w:val="24"/>
          <w:szCs w:val="24"/>
        </w:rPr>
        <w:t>, 2021</w:t>
      </w:r>
    </w:p>
    <w:p w14:paraId="73A44018" w14:textId="77777777" w:rsidR="00291A4C" w:rsidRDefault="003B1AB2">
      <w:r>
        <w:tab/>
      </w:r>
    </w:p>
    <w:p w14:paraId="7F3BD3D3" w14:textId="77777777" w:rsidR="00291A4C" w:rsidRDefault="003B1AB2">
      <w:pPr>
        <w:rPr>
          <w:b/>
        </w:rPr>
      </w:pPr>
      <w:r>
        <w:rPr>
          <w:b/>
        </w:rPr>
        <w:t>Agenda item:    8.2</w:t>
      </w:r>
    </w:p>
    <w:p w14:paraId="353A3047" w14:textId="77777777" w:rsidR="00291A4C" w:rsidRDefault="003B1AB2">
      <w:pPr>
        <w:rPr>
          <w:b/>
        </w:rPr>
      </w:pPr>
      <w:r>
        <w:rPr>
          <w:b/>
        </w:rPr>
        <w:t>Source:              Rapporteur (Qualcomm</w:t>
      </w:r>
      <w:r>
        <w:rPr>
          <w:rFonts w:eastAsia="SimSun"/>
          <w:b/>
          <w:lang w:eastAsia="zh-CN"/>
        </w:rPr>
        <w:t xml:space="preserve"> </w:t>
      </w:r>
      <w:r>
        <w:rPr>
          <w:b/>
        </w:rPr>
        <w:t>Incorporated)</w:t>
      </w:r>
    </w:p>
    <w:p w14:paraId="145AD98E" w14:textId="77777777" w:rsidR="00291A4C" w:rsidRDefault="003B1AB2">
      <w:pPr>
        <w:rPr>
          <w:b/>
        </w:rPr>
      </w:pPr>
      <w:r>
        <w:rPr>
          <w:b/>
        </w:rPr>
        <w:t xml:space="preserve">Title:                  </w:t>
      </w:r>
      <w:r>
        <w:rPr>
          <w:b/>
          <w:bCs/>
        </w:rPr>
        <w:t>Comments collection for RRC parameters for extending NR to 52.6-71GHz</w:t>
      </w:r>
    </w:p>
    <w:p w14:paraId="7C58D42E" w14:textId="77777777" w:rsidR="00291A4C" w:rsidRDefault="003B1AB2">
      <w:pPr>
        <w:rPr>
          <w:b/>
        </w:rPr>
      </w:pPr>
      <w:r>
        <w:rPr>
          <w:b/>
        </w:rPr>
        <w:t>Document for:  Discussion</w:t>
      </w:r>
      <w:r>
        <w:rPr>
          <w:rFonts w:eastAsia="SimSun"/>
          <w:b/>
          <w:lang w:eastAsia="zh-CN"/>
        </w:rPr>
        <w:t xml:space="preserve"> and </w:t>
      </w:r>
      <w:r>
        <w:rPr>
          <w:b/>
        </w:rPr>
        <w:t>Decision</w:t>
      </w:r>
    </w:p>
    <w:p w14:paraId="76D0E05E" w14:textId="77777777" w:rsidR="00291A4C" w:rsidRDefault="003B1AB2">
      <w:pPr>
        <w:pStyle w:val="1"/>
        <w:numPr>
          <w:ilvl w:val="0"/>
          <w:numId w:val="14"/>
        </w:numPr>
      </w:pPr>
      <w:r>
        <w:t>Introduction</w:t>
      </w:r>
    </w:p>
    <w:p w14:paraId="463C797F" w14:textId="77777777" w:rsidR="00291A4C" w:rsidRDefault="003B1AB2">
      <w:pPr>
        <w:tabs>
          <w:tab w:val="left" w:pos="425"/>
        </w:tabs>
      </w:pPr>
      <w:r>
        <w:t>This paper is a place holder to collect comments for RRC parameters for 60GHz work item. The RRC parameters are captured in the excel sheet in the same folder.</w:t>
      </w:r>
    </w:p>
    <w:p w14:paraId="190DE703" w14:textId="77777777" w:rsidR="00291A4C" w:rsidRDefault="003B1AB2">
      <w:pPr>
        <w:pStyle w:val="1"/>
      </w:pPr>
      <w:r>
        <w:t xml:space="preserve">Comments </w:t>
      </w:r>
    </w:p>
    <w:p w14:paraId="45642AD1" w14:textId="77777777" w:rsidR="00291A4C" w:rsidRDefault="003B1AB2">
      <w:pPr>
        <w:pStyle w:val="2"/>
      </w:pPr>
      <w:r>
        <w:t>Initial access aspects</w:t>
      </w:r>
    </w:p>
    <w:tbl>
      <w:tblPr>
        <w:tblStyle w:val="af1"/>
        <w:tblW w:w="0" w:type="auto"/>
        <w:tblLayout w:type="fixed"/>
        <w:tblLook w:val="04A0" w:firstRow="1" w:lastRow="0" w:firstColumn="1" w:lastColumn="0" w:noHBand="0" w:noVBand="1"/>
      </w:tblPr>
      <w:tblGrid>
        <w:gridCol w:w="2515"/>
        <w:gridCol w:w="6847"/>
      </w:tblGrid>
      <w:tr w:rsidR="00291A4C" w14:paraId="7CD36FC3" w14:textId="77777777" w:rsidTr="00B003D6">
        <w:tc>
          <w:tcPr>
            <w:tcW w:w="2515" w:type="dxa"/>
          </w:tcPr>
          <w:p w14:paraId="2ECB6DC4" w14:textId="77777777" w:rsidR="00291A4C" w:rsidRDefault="003B1AB2">
            <w:pPr>
              <w:rPr>
                <w:lang w:eastAsia="en-US"/>
              </w:rPr>
            </w:pPr>
            <w:r>
              <w:rPr>
                <w:lang w:eastAsia="en-US"/>
              </w:rPr>
              <w:t>Company</w:t>
            </w:r>
          </w:p>
        </w:tc>
        <w:tc>
          <w:tcPr>
            <w:tcW w:w="6847" w:type="dxa"/>
          </w:tcPr>
          <w:p w14:paraId="4D3EC9E0" w14:textId="77777777" w:rsidR="00291A4C" w:rsidRDefault="003B1AB2">
            <w:pPr>
              <w:rPr>
                <w:lang w:eastAsia="en-US"/>
              </w:rPr>
            </w:pPr>
            <w:r>
              <w:rPr>
                <w:lang w:eastAsia="en-US"/>
              </w:rPr>
              <w:t>View</w:t>
            </w:r>
          </w:p>
        </w:tc>
      </w:tr>
      <w:tr w:rsidR="00291A4C" w14:paraId="73848374" w14:textId="77777777" w:rsidTr="00B003D6">
        <w:tc>
          <w:tcPr>
            <w:tcW w:w="2515" w:type="dxa"/>
          </w:tcPr>
          <w:p w14:paraId="5673806D" w14:textId="26CB27DC" w:rsidR="00291A4C" w:rsidRDefault="00056FAC">
            <w:pPr>
              <w:rPr>
                <w:rFonts w:eastAsiaTheme="minorEastAsia"/>
                <w:lang w:eastAsia="zh-CN"/>
              </w:rPr>
            </w:pPr>
            <w:r>
              <w:rPr>
                <w:rFonts w:eastAsiaTheme="minorEastAsia"/>
                <w:lang w:eastAsia="zh-CN"/>
              </w:rPr>
              <w:t>Samsung</w:t>
            </w:r>
          </w:p>
        </w:tc>
        <w:tc>
          <w:tcPr>
            <w:tcW w:w="6847" w:type="dxa"/>
          </w:tcPr>
          <w:p w14:paraId="2812C7B7" w14:textId="56DA4475" w:rsidR="008145E0" w:rsidRDefault="00056FAC" w:rsidP="00056FAC">
            <w:pPr>
              <w:rPr>
                <w:rFonts w:ascii="Arial" w:eastAsia="DengXian" w:hAnsi="Arial" w:cs="Arial"/>
                <w:snapToGrid/>
                <w:color w:val="000000"/>
                <w:kern w:val="0"/>
                <w:sz w:val="18"/>
                <w:szCs w:val="18"/>
                <w:lang w:val="en-US" w:eastAsia="zh-CN"/>
              </w:rPr>
            </w:pPr>
            <w:r>
              <w:rPr>
                <w:rFonts w:ascii="Arial" w:eastAsia="DengXian" w:hAnsi="Arial" w:cs="Arial"/>
                <w:snapToGrid/>
                <w:color w:val="000000"/>
                <w:kern w:val="0"/>
                <w:sz w:val="18"/>
                <w:szCs w:val="18"/>
                <w:lang w:val="en-US" w:eastAsia="zh-CN"/>
              </w:rPr>
              <w:t xml:space="preserve">Just one minor comment: Row 2 and Row 3 should also be “depends on locations” for column N, since SubcarrierSpacing-r17 can be either cell-specific or UE-specific depending on which IE includes such parameter. </w:t>
            </w:r>
          </w:p>
        </w:tc>
      </w:tr>
      <w:tr w:rsidR="00291A4C" w14:paraId="1586F02B" w14:textId="77777777" w:rsidTr="00B003D6">
        <w:tc>
          <w:tcPr>
            <w:tcW w:w="2515" w:type="dxa"/>
          </w:tcPr>
          <w:p w14:paraId="3DB40063" w14:textId="5E85AADA" w:rsidR="00291A4C" w:rsidRPr="0010534B" w:rsidRDefault="0010534B">
            <w:pPr>
              <w:rPr>
                <w:rFonts w:eastAsia="맑은 고딕" w:hint="eastAsia"/>
                <w:lang w:val="en-US"/>
              </w:rPr>
            </w:pPr>
            <w:r>
              <w:rPr>
                <w:rFonts w:eastAsia="맑은 고딕" w:hint="eastAsia"/>
                <w:lang w:val="en-US"/>
              </w:rPr>
              <w:t>L</w:t>
            </w:r>
            <w:r>
              <w:rPr>
                <w:rFonts w:eastAsia="맑은 고딕"/>
                <w:lang w:val="en-US"/>
              </w:rPr>
              <w:t>G Electronics</w:t>
            </w:r>
          </w:p>
        </w:tc>
        <w:tc>
          <w:tcPr>
            <w:tcW w:w="6847" w:type="dxa"/>
          </w:tcPr>
          <w:p w14:paraId="57886E9E" w14:textId="7CD21C07" w:rsidR="00291A4C" w:rsidRDefault="0010534B">
            <w:r>
              <w:rPr>
                <w:rFonts w:hint="eastAsia"/>
              </w:rPr>
              <w:t xml:space="preserve">Please add a new row for </w:t>
            </w:r>
            <w:r w:rsidRPr="0010534B">
              <w:rPr>
                <w:rFonts w:eastAsia="SimSun"/>
                <w:snapToGrid/>
                <w:kern w:val="0"/>
                <w:szCs w:val="20"/>
                <w:lang w:val="x-none" w:eastAsia="zh-CN"/>
              </w:rPr>
              <w:t>ssb-PositionsInBurst</w:t>
            </w:r>
            <w:r>
              <w:rPr>
                <w:rFonts w:eastAsia="SimSun"/>
                <w:snapToGrid/>
                <w:kern w:val="0"/>
                <w:szCs w:val="20"/>
                <w:lang w:val="x-none" w:eastAsia="zh-CN"/>
              </w:rPr>
              <w:t>, according to the following RAN1 conclusion and agreement. For the agreement, at least yellow highlighted part should be captured in the comment column.</w:t>
            </w:r>
          </w:p>
          <w:p w14:paraId="28088C00" w14:textId="77777777" w:rsidR="0010534B" w:rsidRDefault="0010534B">
            <w:bookmarkStart w:id="0" w:name="_GoBack"/>
            <w:bookmarkEnd w:id="0"/>
          </w:p>
          <w:p w14:paraId="10F43086" w14:textId="77777777" w:rsidR="0010534B" w:rsidRPr="0010534B" w:rsidRDefault="0010534B" w:rsidP="0010534B">
            <w:pPr>
              <w:widowControl/>
              <w:kinsoku/>
              <w:overflowPunct/>
              <w:autoSpaceDE/>
              <w:autoSpaceDN/>
              <w:adjustRightInd/>
              <w:spacing w:after="0"/>
              <w:jc w:val="left"/>
              <w:textAlignment w:val="auto"/>
              <w:rPr>
                <w:rFonts w:ascii="Arial" w:eastAsia="SimSun" w:hAnsi="Arial" w:cs="Times"/>
                <w:b/>
                <w:snapToGrid/>
                <w:kern w:val="0"/>
                <w:sz w:val="16"/>
                <w:szCs w:val="20"/>
                <w:u w:val="single"/>
                <w:lang w:val="en-US" w:eastAsia="zh-CN"/>
              </w:rPr>
            </w:pPr>
            <w:r w:rsidRPr="0010534B">
              <w:rPr>
                <w:rFonts w:ascii="Arial" w:eastAsia="SimSun" w:hAnsi="Arial" w:cs="Times"/>
                <w:b/>
                <w:snapToGrid/>
                <w:kern w:val="0"/>
                <w:sz w:val="16"/>
                <w:szCs w:val="20"/>
                <w:u w:val="single"/>
                <w:lang w:val="en-US" w:eastAsia="zh-CN"/>
              </w:rPr>
              <w:t>Conclusion</w:t>
            </w:r>
          </w:p>
          <w:p w14:paraId="02F64439"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cs="Times"/>
                <w:snapToGrid/>
                <w:kern w:val="0"/>
                <w:szCs w:val="20"/>
                <w:lang w:val="x-none" w:eastAsia="zh-CN"/>
              </w:rPr>
            </w:pPr>
            <w:r w:rsidRPr="0010534B">
              <w:rPr>
                <w:rFonts w:eastAsia="SimSun" w:cs="Times"/>
                <w:snapToGrid/>
                <w:kern w:val="0"/>
                <w:szCs w:val="20"/>
                <w:lang w:val="x-none" w:eastAsia="zh-CN"/>
              </w:rPr>
              <w:t>The bit-width of ssb-PositionsInBurst in SIB1 and ServingCellConfigCommon is kept the same as in Rel-15 (i.e., 16-bits in SIB1 and 64-bits in ServingCellConfigCommon).</w:t>
            </w:r>
          </w:p>
          <w:p w14:paraId="234FCBA5" w14:textId="77777777" w:rsidR="0010534B" w:rsidRDefault="0010534B">
            <w:pPr>
              <w:rPr>
                <w:rFonts w:hint="eastAsia"/>
              </w:rPr>
            </w:pPr>
          </w:p>
          <w:p w14:paraId="54A9A07D" w14:textId="77777777" w:rsidR="0010534B" w:rsidRPr="0010534B" w:rsidRDefault="0010534B" w:rsidP="0010534B">
            <w:pPr>
              <w:widowControl/>
              <w:kinsoku/>
              <w:overflowPunct/>
              <w:autoSpaceDE/>
              <w:autoSpaceDN/>
              <w:adjustRightInd/>
              <w:spacing w:after="0"/>
              <w:jc w:val="left"/>
              <w:textAlignment w:val="auto"/>
              <w:rPr>
                <w:rFonts w:ascii="Arial" w:eastAsia="SimSun" w:hAnsi="Arial" w:cs="Arial"/>
                <w:b/>
                <w:iCs/>
                <w:snapToGrid/>
                <w:kern w:val="0"/>
                <w:sz w:val="16"/>
                <w:szCs w:val="16"/>
                <w:lang w:val="en-US" w:eastAsia="x-none"/>
              </w:rPr>
            </w:pPr>
            <w:r w:rsidRPr="0010534B">
              <w:rPr>
                <w:rFonts w:ascii="Arial" w:eastAsia="SimSun" w:hAnsi="Arial" w:cs="Arial" w:hint="eastAsia"/>
                <w:b/>
                <w:iCs/>
                <w:snapToGrid/>
                <w:kern w:val="0"/>
                <w:sz w:val="16"/>
                <w:szCs w:val="16"/>
                <w:highlight w:val="green"/>
                <w:lang w:val="en-US" w:eastAsia="x-none"/>
              </w:rPr>
              <w:t>A</w:t>
            </w:r>
            <w:r w:rsidRPr="0010534B">
              <w:rPr>
                <w:rFonts w:ascii="Arial" w:eastAsia="SimSun" w:hAnsi="Arial" w:cs="Arial"/>
                <w:b/>
                <w:iCs/>
                <w:snapToGrid/>
                <w:kern w:val="0"/>
                <w:sz w:val="16"/>
                <w:szCs w:val="16"/>
                <w:highlight w:val="green"/>
                <w:lang w:val="en-US" w:eastAsia="x-none"/>
              </w:rPr>
              <w:t>greement</w:t>
            </w:r>
          </w:p>
          <w:p w14:paraId="0A7ED060"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 xml:space="preserve">If </w:t>
            </w:r>
            <m:oMath>
              <m:sSubSup>
                <m:sSubSupPr>
                  <m:ctrlPr>
                    <w:rPr>
                      <w:rFonts w:ascii="Cambria Math" w:eastAsia="SimSun" w:hAnsi="Cambria Math"/>
                      <w:snapToGrid/>
                      <w:kern w:val="0"/>
                      <w:sz w:val="22"/>
                      <w:highlight w:val="yellow"/>
                      <w:lang w:val="x-none" w:eastAsia="zh-CN"/>
                    </w:rPr>
                  </m:ctrlPr>
                </m:sSubSupPr>
                <m:e>
                  <m:r>
                    <w:rPr>
                      <w:rFonts w:ascii="Cambria Math" w:eastAsia="SimSun" w:hAnsi="Cambria Math"/>
                      <w:snapToGrid/>
                      <w:kern w:val="0"/>
                      <w:sz w:val="22"/>
                      <w:highlight w:val="yellow"/>
                      <w:lang w:val="x-none" w:eastAsia="zh-CN"/>
                    </w:rPr>
                    <m:t>N</m:t>
                  </m:r>
                </m:e>
                <m:sub>
                  <m:r>
                    <w:rPr>
                      <w:rFonts w:ascii="Cambria Math" w:eastAsia="SimSun" w:hAnsi="Cambria Math"/>
                      <w:snapToGrid/>
                      <w:kern w:val="0"/>
                      <w:sz w:val="22"/>
                      <w:highlight w:val="yellow"/>
                      <w:lang w:val="x-none" w:eastAsia="zh-CN"/>
                    </w:rPr>
                    <m:t>SSB</m:t>
                  </m:r>
                </m:sub>
                <m:sup>
                  <m:r>
                    <w:rPr>
                      <w:rFonts w:ascii="Cambria Math" w:eastAsia="SimSun" w:hAnsi="Cambria Math"/>
                      <w:snapToGrid/>
                      <w:kern w:val="0"/>
                      <w:sz w:val="22"/>
                      <w:highlight w:val="yellow"/>
                      <w:lang w:val="x-none" w:eastAsia="zh-CN"/>
                    </w:rPr>
                    <m:t>QCL</m:t>
                  </m:r>
                </m:sup>
              </m:sSubSup>
            </m:oMath>
            <w:r w:rsidRPr="0010534B">
              <w:rPr>
                <w:rFonts w:eastAsia="SimSun"/>
                <w:snapToGrid/>
                <w:kern w:val="0"/>
                <w:szCs w:val="20"/>
                <w:highlight w:val="yellow"/>
                <w:lang w:val="x-none" w:eastAsia="zh-CN"/>
              </w:rPr>
              <w:t xml:space="preserve"> is indicated, the same interpretation of ssb-PositionsInBurst in SIB1 or ServingCellConfigCommon as in Rel-16 is supported, i.e.:</w:t>
            </w:r>
          </w:p>
          <w:p w14:paraId="3E0CBB1B"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 xml:space="preserve">A bit set to 1 at position </w:t>
            </w:r>
            <m:oMath>
              <m:r>
                <w:rPr>
                  <w:rFonts w:ascii="Cambria Math" w:eastAsia="SimSun" w:hAnsi="Cambria Math"/>
                  <w:snapToGrid/>
                  <w:kern w:val="0"/>
                  <w:sz w:val="22"/>
                  <w:highlight w:val="yellow"/>
                  <w:lang w:val="x-none" w:eastAsia="zh-CN"/>
                </w:rPr>
                <m:t>k</m:t>
              </m:r>
              <m:r>
                <m:rPr>
                  <m:sty m:val="p"/>
                </m:rPr>
                <w:rPr>
                  <w:rFonts w:ascii="Cambria Math" w:eastAsia="SimSun" w:hAnsi="Cambria Math"/>
                  <w:snapToGrid/>
                  <w:kern w:val="0"/>
                  <w:sz w:val="22"/>
                  <w:highlight w:val="yellow"/>
                  <w:lang w:val="x-none" w:eastAsia="zh-CN"/>
                </w:rPr>
                <m:t>∈{1..64}</m:t>
              </m:r>
            </m:oMath>
            <w:r w:rsidRPr="0010534B">
              <w:rPr>
                <w:rFonts w:eastAsia="SimSun"/>
                <w:snapToGrid/>
                <w:kern w:val="0"/>
                <w:szCs w:val="20"/>
                <w:highlight w:val="yellow"/>
                <w:lang w:val="x-none" w:eastAsia="zh-CN"/>
              </w:rPr>
              <w:t xml:space="preserve"> indicates SS/PBCH block index k-1</w:t>
            </w:r>
          </w:p>
          <w:p w14:paraId="0972D88C"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The UE assumes</w:t>
            </w:r>
            <w:r w:rsidRPr="0010534B">
              <w:rPr>
                <w:rFonts w:eastAsia="SimSun"/>
                <w:snapToGrid/>
                <w:color w:val="FF0000"/>
                <w:kern w:val="0"/>
                <w:szCs w:val="20"/>
                <w:highlight w:val="yellow"/>
                <w:lang w:val="x-none" w:eastAsia="zh-CN"/>
              </w:rPr>
              <w:t xml:space="preserve"> </w:t>
            </w:r>
            <w:r w:rsidRPr="0010534B">
              <w:rPr>
                <w:rFonts w:eastAsia="SimSun"/>
                <w:snapToGrid/>
                <w:kern w:val="0"/>
                <w:szCs w:val="20"/>
                <w:highlight w:val="yellow"/>
                <w:lang w:val="x-none" w:eastAsia="zh-CN"/>
              </w:rPr>
              <w:t xml:space="preserve">that a bit at position k &gt; </w:t>
            </w:r>
            <m:oMath>
              <m:sSubSup>
                <m:sSubSupPr>
                  <m:ctrlPr>
                    <w:rPr>
                      <w:rFonts w:ascii="Cambria Math" w:eastAsia="SimSun" w:hAnsi="Cambria Math"/>
                      <w:snapToGrid/>
                      <w:kern w:val="0"/>
                      <w:sz w:val="22"/>
                      <w:highlight w:val="yellow"/>
                      <w:lang w:val="x-none" w:eastAsia="zh-CN"/>
                    </w:rPr>
                  </m:ctrlPr>
                </m:sSubSupPr>
                <m:e>
                  <m:r>
                    <w:rPr>
                      <w:rFonts w:ascii="Cambria Math" w:eastAsia="SimSun" w:hAnsi="Cambria Math"/>
                      <w:snapToGrid/>
                      <w:kern w:val="0"/>
                      <w:sz w:val="22"/>
                      <w:highlight w:val="yellow"/>
                      <w:lang w:val="x-none" w:eastAsia="zh-CN"/>
                    </w:rPr>
                    <m:t>N</m:t>
                  </m:r>
                </m:e>
                <m:sub>
                  <m:r>
                    <w:rPr>
                      <w:rFonts w:ascii="Cambria Math" w:eastAsia="SimSun" w:hAnsi="Cambria Math"/>
                      <w:snapToGrid/>
                      <w:kern w:val="0"/>
                      <w:sz w:val="22"/>
                      <w:highlight w:val="yellow"/>
                      <w:lang w:val="x-none" w:eastAsia="zh-CN"/>
                    </w:rPr>
                    <m:t>SSB</m:t>
                  </m:r>
                </m:sub>
                <m:sup>
                  <m:r>
                    <w:rPr>
                      <w:rFonts w:ascii="Cambria Math" w:eastAsia="SimSun" w:hAnsi="Cambria Math"/>
                      <w:snapToGrid/>
                      <w:kern w:val="0"/>
                      <w:sz w:val="22"/>
                      <w:highlight w:val="yellow"/>
                      <w:lang w:val="x-none" w:eastAsia="zh-CN"/>
                    </w:rPr>
                    <m:t>QCL</m:t>
                  </m:r>
                </m:sup>
              </m:sSubSup>
            </m:oMath>
            <w:r w:rsidRPr="0010534B">
              <w:rPr>
                <w:rFonts w:eastAsia="SimSun"/>
                <w:snapToGrid/>
                <w:kern w:val="0"/>
                <w:szCs w:val="20"/>
                <w:highlight w:val="yellow"/>
                <w:lang w:val="x-none" w:eastAsia="zh-CN"/>
              </w:rPr>
              <w:t xml:space="preserve"> is set to 0</w:t>
            </w:r>
          </w:p>
          <w:p w14:paraId="15EA2F41"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 xml:space="preserve">For ssb-PositionsInBurst in SIB1, the UE assumes that a bit at </w:t>
            </w:r>
            <w:r w:rsidRPr="0010534B">
              <w:rPr>
                <w:rFonts w:eastAsia="SimSun"/>
                <w:i/>
                <w:snapToGrid/>
                <w:kern w:val="0"/>
                <w:szCs w:val="20"/>
                <w:highlight w:val="yellow"/>
                <w:lang w:val="x-none" w:eastAsia="zh-CN"/>
              </w:rPr>
              <w:t>groupPresence</w:t>
            </w:r>
            <w:r w:rsidRPr="0010534B">
              <w:rPr>
                <w:rFonts w:eastAsia="SimSun"/>
                <w:snapToGrid/>
                <w:kern w:val="0"/>
                <w:szCs w:val="20"/>
                <w:highlight w:val="yellow"/>
                <w:lang w:val="x-none" w:eastAsia="zh-CN"/>
              </w:rPr>
              <w:t xml:space="preserve"> corresponding to a SS/PBCH block index ≥ </w:t>
            </w:r>
            <m:oMath>
              <m:sSubSup>
                <m:sSubSupPr>
                  <m:ctrlPr>
                    <w:rPr>
                      <w:rFonts w:ascii="Cambria Math" w:eastAsia="SimSun" w:hAnsi="Cambria Math"/>
                      <w:snapToGrid/>
                      <w:kern w:val="0"/>
                      <w:sz w:val="22"/>
                      <w:highlight w:val="yellow"/>
                      <w:lang w:val="x-none" w:eastAsia="zh-CN"/>
                    </w:rPr>
                  </m:ctrlPr>
                </m:sSubSupPr>
                <m:e>
                  <m:r>
                    <w:rPr>
                      <w:rFonts w:ascii="Cambria Math" w:eastAsia="SimSun" w:hAnsi="Cambria Math"/>
                      <w:snapToGrid/>
                      <w:kern w:val="0"/>
                      <w:sz w:val="22"/>
                      <w:highlight w:val="yellow"/>
                      <w:lang w:val="x-none" w:eastAsia="zh-CN"/>
                    </w:rPr>
                    <m:t>N</m:t>
                  </m:r>
                </m:e>
                <m:sub>
                  <m:r>
                    <w:rPr>
                      <w:rFonts w:ascii="Cambria Math" w:eastAsia="SimSun" w:hAnsi="Cambria Math"/>
                      <w:snapToGrid/>
                      <w:kern w:val="0"/>
                      <w:sz w:val="22"/>
                      <w:highlight w:val="yellow"/>
                      <w:lang w:val="x-none" w:eastAsia="zh-CN"/>
                    </w:rPr>
                    <m:t>SSB</m:t>
                  </m:r>
                </m:sub>
                <m:sup>
                  <m:r>
                    <w:rPr>
                      <w:rFonts w:ascii="Cambria Math" w:eastAsia="SimSun" w:hAnsi="Cambria Math"/>
                      <w:snapToGrid/>
                      <w:kern w:val="0"/>
                      <w:sz w:val="22"/>
                      <w:highlight w:val="yellow"/>
                      <w:lang w:val="x-none" w:eastAsia="zh-CN"/>
                    </w:rPr>
                    <m:t>QCL</m:t>
                  </m:r>
                </m:sup>
              </m:sSubSup>
            </m:oMath>
            <w:r w:rsidRPr="0010534B">
              <w:rPr>
                <w:rFonts w:eastAsia="SimSun"/>
                <w:snapToGrid/>
                <w:kern w:val="0"/>
                <w:szCs w:val="20"/>
                <w:highlight w:val="yellow"/>
                <w:lang w:val="x-none" w:eastAsia="zh-CN"/>
              </w:rPr>
              <w:t xml:space="preserve"> is set to 0</w:t>
            </w:r>
          </w:p>
          <w:p w14:paraId="54239386"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Note: for ssb-PositionsInBurst in SIB1, position k corresponds to the SS/PBCH block index indicated by a bit in inOneGroup and a bit in groupPresence</w:t>
            </w:r>
          </w:p>
          <w:p w14:paraId="73DF5D62"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In operation with shared spectrum in 60 GHz, for ssb-PositionsInBurst in ServingCellConfigCommonSIB,</w:t>
            </w:r>
          </w:p>
          <w:p w14:paraId="5B0E7368"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for MSB k, k≥1, of inOneGroup and MSB m, m≥1, of groupPresense of ssb-PositionsInBurst:</w:t>
            </w:r>
          </w:p>
          <w:p w14:paraId="546E51E5"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if MSB k of inOneGroup and MSB m of groupPresense are set to 1, the UE assumes that SSB(s) within DBTW</w:t>
            </w:r>
            <w:r w:rsidRPr="0010534B">
              <w:rPr>
                <w:rFonts w:eastAsia="SimSun"/>
                <w:snapToGrid/>
                <w:kern w:val="0"/>
                <w:szCs w:val="20"/>
                <w:lang w:val="x-none" w:eastAsia="zh-CN"/>
              </w:rPr>
              <w:lastRenderedPageBreak/>
              <w:t xml:space="preserve"> with ‘candidate SSB index(es)’ corresponding to ‘SSB index’ equal to k-1+(m-1)×8 may be transmitted; </w:t>
            </w:r>
          </w:p>
          <w:p w14:paraId="2748945C"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 xml:space="preserve">if MSB k of inOneGroup or MSB m of groupPresense is set to 0, the UE assumes that SSB(s) within DBTW with ‘candidate SSB index(es)’ corresponding to ‘SSB index’ equal to k-1+(m-1)×8 is not transmitted; </w:t>
            </w:r>
          </w:p>
          <w:p w14:paraId="267062EB"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In operation with shared spectrum in 60 GHz, for ssb-PositionsInBurst in ServingCellConfigCommon,</w:t>
            </w:r>
          </w:p>
          <w:p w14:paraId="408F8E83"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ssb-PositionsInBurst bits correspond to supported ‘SSB indices’,</w:t>
            </w:r>
          </w:p>
          <w:p w14:paraId="5E5B19D2"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and UE assumes that SSB(s) within DBTW with ‘candidate SSB index(es)’ corresponding to indicated bit(s) may be transmitted;</w:t>
            </w:r>
          </w:p>
          <w:p w14:paraId="67FA6C25"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and UE assumes that SSB(s) within DBTW with ‘candidate SSB index(es)’ corresponding to not indicated bit(s) are not transmitted</w:t>
            </w:r>
          </w:p>
          <w:p w14:paraId="0D13C600"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MS Mincho"/>
                <w:snapToGrid/>
                <w:kern w:val="0"/>
                <w:szCs w:val="20"/>
                <w:lang w:val="x-none" w:eastAsia="ja-JP"/>
              </w:rPr>
              <w:t>Note to spec editor: The above three bullets maintain the same behavior as Rel-16 NR-U</w:t>
            </w:r>
          </w:p>
          <w:p w14:paraId="6AEFA55A" w14:textId="77777777" w:rsidR="0010534B" w:rsidRPr="0010534B" w:rsidRDefault="0010534B">
            <w:pPr>
              <w:rPr>
                <w:lang w:val="x-none"/>
              </w:rPr>
            </w:pPr>
          </w:p>
          <w:p w14:paraId="4F734E12" w14:textId="48F86109" w:rsidR="0010534B" w:rsidRDefault="0010534B">
            <w:pPr>
              <w:rPr>
                <w:rFonts w:hint="eastAsia"/>
              </w:rPr>
            </w:pPr>
          </w:p>
        </w:tc>
      </w:tr>
      <w:tr w:rsidR="00C95EA6" w:rsidRPr="00C95EA6" w14:paraId="0BFB6F8E" w14:textId="77777777" w:rsidTr="00B003D6">
        <w:tc>
          <w:tcPr>
            <w:tcW w:w="2515" w:type="dxa"/>
          </w:tcPr>
          <w:p w14:paraId="02161575" w14:textId="490D1F19" w:rsidR="00C95EA6" w:rsidRPr="00C95EA6" w:rsidRDefault="00C95EA6">
            <w:pPr>
              <w:rPr>
                <w:rFonts w:eastAsiaTheme="minorEastAsia"/>
                <w:lang w:val="en-US" w:eastAsia="zh-CN"/>
              </w:rPr>
            </w:pPr>
          </w:p>
        </w:tc>
        <w:tc>
          <w:tcPr>
            <w:tcW w:w="6847" w:type="dxa"/>
          </w:tcPr>
          <w:p w14:paraId="2441D0FE" w14:textId="3AD99A9C" w:rsidR="00331D9C" w:rsidRPr="00C95EA6" w:rsidRDefault="00331D9C" w:rsidP="00C95EA6">
            <w:pPr>
              <w:pStyle w:val="a8"/>
              <w:spacing w:after="0"/>
              <w:rPr>
                <w:rFonts w:eastAsia="SimSun"/>
                <w:sz w:val="20"/>
                <w:lang w:val="en-US" w:eastAsia="zh-CN"/>
              </w:rPr>
            </w:pPr>
          </w:p>
        </w:tc>
      </w:tr>
      <w:tr w:rsidR="00D87912" w:rsidRPr="00C95EA6" w14:paraId="7EE55FA0" w14:textId="77777777" w:rsidTr="00B003D6">
        <w:tc>
          <w:tcPr>
            <w:tcW w:w="2515" w:type="dxa"/>
          </w:tcPr>
          <w:p w14:paraId="708310CD" w14:textId="4A789D13" w:rsidR="00D87912" w:rsidRDefault="00D87912">
            <w:pPr>
              <w:rPr>
                <w:rFonts w:eastAsiaTheme="minorEastAsia"/>
                <w:lang w:val="en-US" w:eastAsia="zh-CN"/>
              </w:rPr>
            </w:pPr>
          </w:p>
        </w:tc>
        <w:tc>
          <w:tcPr>
            <w:tcW w:w="6847" w:type="dxa"/>
          </w:tcPr>
          <w:p w14:paraId="6F287A36" w14:textId="294B57EB" w:rsidR="00BB6FE7" w:rsidRDefault="00BB6FE7" w:rsidP="00C33D9A">
            <w:pPr>
              <w:pStyle w:val="a8"/>
              <w:spacing w:after="0"/>
              <w:rPr>
                <w:rFonts w:eastAsia="SimSun"/>
                <w:sz w:val="20"/>
                <w:lang w:val="en-US" w:eastAsia="zh-CN"/>
              </w:rPr>
            </w:pPr>
          </w:p>
        </w:tc>
      </w:tr>
    </w:tbl>
    <w:p w14:paraId="74B85D1C" w14:textId="77777777" w:rsidR="00291A4C" w:rsidRDefault="00291A4C">
      <w:pPr>
        <w:rPr>
          <w:lang w:eastAsia="en-US"/>
        </w:rPr>
      </w:pPr>
    </w:p>
    <w:p w14:paraId="5FD903EA" w14:textId="77777777" w:rsidR="00291A4C" w:rsidRDefault="003B1AB2">
      <w:pPr>
        <w:pStyle w:val="2"/>
      </w:pPr>
      <w:bookmarkStart w:id="1" w:name="_Toc79484723"/>
      <w:r>
        <w:t>PDCCH monitoring enhancements</w:t>
      </w:r>
      <w:bookmarkEnd w:id="1"/>
    </w:p>
    <w:tbl>
      <w:tblPr>
        <w:tblStyle w:val="af1"/>
        <w:tblW w:w="0" w:type="auto"/>
        <w:tblLook w:val="04A0" w:firstRow="1" w:lastRow="0" w:firstColumn="1" w:lastColumn="0" w:noHBand="0" w:noVBand="1"/>
      </w:tblPr>
      <w:tblGrid>
        <w:gridCol w:w="2515"/>
        <w:gridCol w:w="6847"/>
      </w:tblGrid>
      <w:tr w:rsidR="00291A4C" w14:paraId="502F457B" w14:textId="77777777">
        <w:tc>
          <w:tcPr>
            <w:tcW w:w="2515" w:type="dxa"/>
          </w:tcPr>
          <w:p w14:paraId="237814E1" w14:textId="77777777" w:rsidR="00291A4C" w:rsidRDefault="003B1AB2">
            <w:pPr>
              <w:rPr>
                <w:lang w:eastAsia="en-US"/>
              </w:rPr>
            </w:pPr>
            <w:r>
              <w:rPr>
                <w:lang w:eastAsia="en-US"/>
              </w:rPr>
              <w:t>Company</w:t>
            </w:r>
          </w:p>
        </w:tc>
        <w:tc>
          <w:tcPr>
            <w:tcW w:w="6847" w:type="dxa"/>
          </w:tcPr>
          <w:p w14:paraId="50C5D2A8" w14:textId="77777777" w:rsidR="00291A4C" w:rsidRDefault="003B1AB2">
            <w:pPr>
              <w:rPr>
                <w:lang w:eastAsia="en-US"/>
              </w:rPr>
            </w:pPr>
            <w:r>
              <w:rPr>
                <w:lang w:eastAsia="en-US"/>
              </w:rPr>
              <w:t>View</w:t>
            </w:r>
          </w:p>
        </w:tc>
      </w:tr>
      <w:tr w:rsidR="00291A4C" w14:paraId="04C56924" w14:textId="77777777">
        <w:tc>
          <w:tcPr>
            <w:tcW w:w="2515" w:type="dxa"/>
          </w:tcPr>
          <w:p w14:paraId="40896057" w14:textId="744B06CD" w:rsidR="00291A4C" w:rsidRDefault="00056FAC">
            <w:pPr>
              <w:rPr>
                <w:lang w:eastAsia="en-US"/>
              </w:rPr>
            </w:pPr>
            <w:r>
              <w:rPr>
                <w:lang w:eastAsia="en-US"/>
              </w:rPr>
              <w:t>Samsung</w:t>
            </w:r>
          </w:p>
        </w:tc>
        <w:tc>
          <w:tcPr>
            <w:tcW w:w="6847" w:type="dxa"/>
          </w:tcPr>
          <w:p w14:paraId="7141CF95" w14:textId="7B8C7C77" w:rsidR="00291A4C" w:rsidRDefault="00056FAC">
            <w:pPr>
              <w:rPr>
                <w:lang w:eastAsia="en-US"/>
              </w:rPr>
            </w:pPr>
            <w:r w:rsidRPr="00056FAC">
              <w:rPr>
                <w:rFonts w:ascii="Arial" w:eastAsia="DengXian" w:hAnsi="Arial" w:cs="Arial"/>
                <w:snapToGrid/>
                <w:color w:val="000000"/>
                <w:kern w:val="0"/>
                <w:sz w:val="18"/>
                <w:szCs w:val="18"/>
                <w:lang w:val="en-US" w:eastAsia="zh-CN"/>
              </w:rPr>
              <w:t>For Row 14, it’s better to copy the whole agreement from RAN1 in Column P. Understand the agreement is long, but it’s better to keep the original agreement for consistency and more accurate information delivery to RAN2.</w:t>
            </w:r>
            <w:r>
              <w:rPr>
                <w:lang w:eastAsia="en-US"/>
              </w:rPr>
              <w:t xml:space="preserve"> </w:t>
            </w:r>
          </w:p>
        </w:tc>
      </w:tr>
      <w:tr w:rsidR="00291A4C" w14:paraId="15B0068C" w14:textId="77777777">
        <w:tc>
          <w:tcPr>
            <w:tcW w:w="2515" w:type="dxa"/>
          </w:tcPr>
          <w:p w14:paraId="245F2DAC" w14:textId="678EE7CF" w:rsidR="00291A4C" w:rsidRDefault="004617B8">
            <w:pPr>
              <w:rPr>
                <w:lang w:eastAsia="en-US"/>
              </w:rPr>
            </w:pPr>
            <w:r>
              <w:rPr>
                <w:lang w:eastAsia="en-US"/>
              </w:rPr>
              <w:t>Intel</w:t>
            </w:r>
          </w:p>
        </w:tc>
        <w:tc>
          <w:tcPr>
            <w:tcW w:w="6847" w:type="dxa"/>
          </w:tcPr>
          <w:p w14:paraId="79169A92" w14:textId="05E165AA" w:rsidR="00291A4C" w:rsidRDefault="004617B8">
            <w:pPr>
              <w:rPr>
                <w:lang w:eastAsia="en-US"/>
              </w:rPr>
            </w:pPr>
            <w:r>
              <w:rPr>
                <w:lang w:eastAsia="en-US"/>
              </w:rPr>
              <w:t xml:space="preserve">Row 14, </w:t>
            </w:r>
            <w:r w:rsidRPr="004617B8">
              <w:rPr>
                <w:lang w:eastAsia="en-US"/>
              </w:rPr>
              <w:t>multiSlotMonitoring-OptionalCombinations</w:t>
            </w:r>
            <w:r>
              <w:rPr>
                <w:lang w:eastAsia="en-US"/>
              </w:rPr>
              <w:t xml:space="preserve"> is a capability and belongs in the UE feature list not in RRC</w:t>
            </w:r>
            <w:r w:rsidR="00BE7CF0">
              <w:rPr>
                <w:lang w:eastAsia="en-US"/>
              </w:rPr>
              <w:t xml:space="preserve"> list</w:t>
            </w:r>
            <w:r>
              <w:rPr>
                <w:lang w:eastAsia="en-US"/>
              </w:rPr>
              <w:t>. Suggest remov</w:t>
            </w:r>
            <w:r w:rsidR="00BE7CF0">
              <w:rPr>
                <w:lang w:eastAsia="en-US"/>
              </w:rPr>
              <w:t>ing</w:t>
            </w:r>
            <w:r>
              <w:rPr>
                <w:lang w:eastAsia="en-US"/>
              </w:rPr>
              <w:t xml:space="preserve"> this from the RRC list.</w:t>
            </w:r>
          </w:p>
          <w:p w14:paraId="65904B03" w14:textId="77777777" w:rsidR="00961477" w:rsidRDefault="00961477">
            <w:pPr>
              <w:rPr>
                <w:lang w:eastAsia="en-US"/>
              </w:rPr>
            </w:pPr>
          </w:p>
          <w:p w14:paraId="7267DDAC" w14:textId="411C1E5B" w:rsidR="00961477" w:rsidRDefault="00961477">
            <w:pPr>
              <w:rPr>
                <w:lang w:eastAsia="en-US"/>
              </w:rPr>
            </w:pPr>
          </w:p>
        </w:tc>
      </w:tr>
    </w:tbl>
    <w:p w14:paraId="1CF7F477" w14:textId="27FDC651" w:rsidR="00291A4C" w:rsidRDefault="004617B8">
      <w:pPr>
        <w:rPr>
          <w:lang w:eastAsia="en-US"/>
        </w:rPr>
      </w:pPr>
      <w:r>
        <w:rPr>
          <w:lang w:eastAsia="en-US"/>
        </w:rPr>
        <w:t xml:space="preserve"> </w:t>
      </w:r>
    </w:p>
    <w:p w14:paraId="6F6A3745" w14:textId="77777777" w:rsidR="00291A4C" w:rsidRDefault="003B1AB2">
      <w:pPr>
        <w:pStyle w:val="2"/>
      </w:pPr>
      <w:r>
        <w:t>Enhancements for PUCCH formats 0/1/4</w:t>
      </w:r>
    </w:p>
    <w:p w14:paraId="58D73B31" w14:textId="77777777" w:rsidR="00291A4C" w:rsidRDefault="00291A4C">
      <w:pPr>
        <w:rPr>
          <w:lang w:eastAsia="en-US"/>
        </w:rPr>
      </w:pPr>
    </w:p>
    <w:tbl>
      <w:tblPr>
        <w:tblStyle w:val="af1"/>
        <w:tblW w:w="0" w:type="auto"/>
        <w:tblLook w:val="04A0" w:firstRow="1" w:lastRow="0" w:firstColumn="1" w:lastColumn="0" w:noHBand="0" w:noVBand="1"/>
      </w:tblPr>
      <w:tblGrid>
        <w:gridCol w:w="2515"/>
        <w:gridCol w:w="6847"/>
      </w:tblGrid>
      <w:tr w:rsidR="00291A4C" w14:paraId="4BFCAA63" w14:textId="77777777">
        <w:tc>
          <w:tcPr>
            <w:tcW w:w="2515" w:type="dxa"/>
          </w:tcPr>
          <w:p w14:paraId="54069AA5" w14:textId="77777777" w:rsidR="00291A4C" w:rsidRDefault="003B1AB2">
            <w:pPr>
              <w:rPr>
                <w:lang w:eastAsia="en-US"/>
              </w:rPr>
            </w:pPr>
            <w:r>
              <w:rPr>
                <w:lang w:eastAsia="en-US"/>
              </w:rPr>
              <w:t>Company</w:t>
            </w:r>
          </w:p>
        </w:tc>
        <w:tc>
          <w:tcPr>
            <w:tcW w:w="6847" w:type="dxa"/>
          </w:tcPr>
          <w:p w14:paraId="1C678F99" w14:textId="77777777" w:rsidR="00291A4C" w:rsidRDefault="003B1AB2">
            <w:pPr>
              <w:rPr>
                <w:lang w:eastAsia="en-US"/>
              </w:rPr>
            </w:pPr>
            <w:r>
              <w:rPr>
                <w:lang w:eastAsia="en-US"/>
              </w:rPr>
              <w:t>View</w:t>
            </w:r>
          </w:p>
        </w:tc>
      </w:tr>
      <w:tr w:rsidR="00291A4C" w14:paraId="38FA3451" w14:textId="77777777">
        <w:tc>
          <w:tcPr>
            <w:tcW w:w="2515" w:type="dxa"/>
          </w:tcPr>
          <w:p w14:paraId="37216E95" w14:textId="76AB61B1" w:rsidR="00291A4C" w:rsidRDefault="00291A4C">
            <w:pPr>
              <w:rPr>
                <w:lang w:eastAsia="en-US"/>
              </w:rPr>
            </w:pPr>
          </w:p>
        </w:tc>
        <w:tc>
          <w:tcPr>
            <w:tcW w:w="6847" w:type="dxa"/>
          </w:tcPr>
          <w:p w14:paraId="189C2312" w14:textId="0BF9512A" w:rsidR="00213A27" w:rsidRPr="005B43B2" w:rsidRDefault="00213A27" w:rsidP="005B43B2">
            <w:pPr>
              <w:ind w:left="800"/>
              <w:rPr>
                <w:strike/>
                <w:color w:val="FF0000"/>
                <w:lang w:eastAsia="en-US"/>
              </w:rPr>
            </w:pPr>
          </w:p>
        </w:tc>
      </w:tr>
    </w:tbl>
    <w:p w14:paraId="71B5EBE7" w14:textId="77777777" w:rsidR="00291A4C" w:rsidRDefault="00291A4C">
      <w:pPr>
        <w:rPr>
          <w:lang w:eastAsia="en-US"/>
        </w:rPr>
      </w:pPr>
    </w:p>
    <w:p w14:paraId="6B27ED02" w14:textId="77777777" w:rsidR="00291A4C" w:rsidRDefault="00291A4C">
      <w:pPr>
        <w:rPr>
          <w:lang w:eastAsia="en-US"/>
        </w:rPr>
      </w:pPr>
    </w:p>
    <w:p w14:paraId="75BC5BBC" w14:textId="77777777" w:rsidR="00291A4C" w:rsidRDefault="003B1AB2">
      <w:pPr>
        <w:pStyle w:val="2"/>
      </w:pPr>
      <w:r>
        <w:t>Beam management for new SCSs</w:t>
      </w:r>
    </w:p>
    <w:p w14:paraId="56183ECC" w14:textId="77777777" w:rsidR="00291A4C" w:rsidRDefault="00291A4C">
      <w:pPr>
        <w:rPr>
          <w:lang w:eastAsia="en-US"/>
        </w:rPr>
      </w:pPr>
    </w:p>
    <w:tbl>
      <w:tblPr>
        <w:tblStyle w:val="af1"/>
        <w:tblW w:w="0" w:type="auto"/>
        <w:tblLook w:val="04A0" w:firstRow="1" w:lastRow="0" w:firstColumn="1" w:lastColumn="0" w:noHBand="0" w:noVBand="1"/>
      </w:tblPr>
      <w:tblGrid>
        <w:gridCol w:w="2515"/>
        <w:gridCol w:w="6847"/>
      </w:tblGrid>
      <w:tr w:rsidR="00291A4C" w14:paraId="7D06980F" w14:textId="77777777">
        <w:tc>
          <w:tcPr>
            <w:tcW w:w="2515" w:type="dxa"/>
          </w:tcPr>
          <w:p w14:paraId="7B2DE98E" w14:textId="77777777" w:rsidR="00291A4C" w:rsidRDefault="003B1AB2">
            <w:pPr>
              <w:rPr>
                <w:lang w:eastAsia="en-US"/>
              </w:rPr>
            </w:pPr>
            <w:r>
              <w:rPr>
                <w:lang w:eastAsia="en-US"/>
              </w:rPr>
              <w:t>Company</w:t>
            </w:r>
          </w:p>
        </w:tc>
        <w:tc>
          <w:tcPr>
            <w:tcW w:w="6847" w:type="dxa"/>
          </w:tcPr>
          <w:p w14:paraId="2B65D76F" w14:textId="77777777" w:rsidR="00291A4C" w:rsidRDefault="003B1AB2">
            <w:pPr>
              <w:rPr>
                <w:lang w:eastAsia="en-US"/>
              </w:rPr>
            </w:pPr>
            <w:r>
              <w:rPr>
                <w:lang w:eastAsia="en-US"/>
              </w:rPr>
              <w:t>View</w:t>
            </w:r>
          </w:p>
        </w:tc>
      </w:tr>
      <w:tr w:rsidR="00291A4C" w14:paraId="0C6A2075" w14:textId="77777777">
        <w:tc>
          <w:tcPr>
            <w:tcW w:w="2515" w:type="dxa"/>
          </w:tcPr>
          <w:p w14:paraId="01047662" w14:textId="61820DE4" w:rsidR="00291A4C" w:rsidRDefault="00291A4C">
            <w:pPr>
              <w:rPr>
                <w:lang w:val="en-US" w:eastAsia="en-US"/>
              </w:rPr>
            </w:pPr>
          </w:p>
        </w:tc>
        <w:tc>
          <w:tcPr>
            <w:tcW w:w="6847" w:type="dxa"/>
          </w:tcPr>
          <w:p w14:paraId="6B934926" w14:textId="71B5AB85" w:rsidR="002D7FF6" w:rsidRDefault="002D7FF6">
            <w:pPr>
              <w:rPr>
                <w:lang w:val="en-US" w:eastAsia="en-US"/>
              </w:rPr>
            </w:pPr>
          </w:p>
        </w:tc>
      </w:tr>
      <w:tr w:rsidR="00291A4C" w14:paraId="79B26562" w14:textId="77777777">
        <w:tc>
          <w:tcPr>
            <w:tcW w:w="2515" w:type="dxa"/>
          </w:tcPr>
          <w:p w14:paraId="5E6BE079" w14:textId="2BC8E96C" w:rsidR="00291A4C" w:rsidRDefault="00291A4C">
            <w:pPr>
              <w:rPr>
                <w:lang w:eastAsia="en-US"/>
              </w:rPr>
            </w:pPr>
          </w:p>
        </w:tc>
        <w:tc>
          <w:tcPr>
            <w:tcW w:w="6847" w:type="dxa"/>
          </w:tcPr>
          <w:p w14:paraId="6B8F7618" w14:textId="0B67E500" w:rsidR="00E84688" w:rsidRDefault="00E84688">
            <w:pPr>
              <w:rPr>
                <w:lang w:eastAsia="en-US"/>
              </w:rPr>
            </w:pPr>
          </w:p>
        </w:tc>
      </w:tr>
    </w:tbl>
    <w:p w14:paraId="4BE86BBE" w14:textId="77777777" w:rsidR="00291A4C" w:rsidRDefault="00291A4C">
      <w:pPr>
        <w:rPr>
          <w:lang w:eastAsia="en-US"/>
        </w:rPr>
      </w:pPr>
    </w:p>
    <w:p w14:paraId="2E7A3DB4" w14:textId="77777777" w:rsidR="00291A4C" w:rsidRDefault="003B1AB2">
      <w:pPr>
        <w:pStyle w:val="2"/>
      </w:pPr>
      <w:bookmarkStart w:id="2" w:name="_Toc79484726"/>
      <w:r>
        <w:lastRenderedPageBreak/>
        <w:t>PDSCH/PUSCH enhancements</w:t>
      </w:r>
      <w:bookmarkEnd w:id="2"/>
    </w:p>
    <w:tbl>
      <w:tblPr>
        <w:tblStyle w:val="af1"/>
        <w:tblW w:w="0" w:type="auto"/>
        <w:tblLook w:val="04A0" w:firstRow="1" w:lastRow="0" w:firstColumn="1" w:lastColumn="0" w:noHBand="0" w:noVBand="1"/>
      </w:tblPr>
      <w:tblGrid>
        <w:gridCol w:w="2515"/>
        <w:gridCol w:w="6847"/>
      </w:tblGrid>
      <w:tr w:rsidR="00291A4C" w14:paraId="33C55CF4" w14:textId="77777777">
        <w:tc>
          <w:tcPr>
            <w:tcW w:w="2515" w:type="dxa"/>
          </w:tcPr>
          <w:p w14:paraId="229DE887" w14:textId="77777777" w:rsidR="00291A4C" w:rsidRDefault="003B1AB2">
            <w:pPr>
              <w:rPr>
                <w:lang w:eastAsia="en-US"/>
              </w:rPr>
            </w:pPr>
            <w:r>
              <w:rPr>
                <w:lang w:eastAsia="en-US"/>
              </w:rPr>
              <w:t>Company</w:t>
            </w:r>
          </w:p>
        </w:tc>
        <w:tc>
          <w:tcPr>
            <w:tcW w:w="6847" w:type="dxa"/>
          </w:tcPr>
          <w:p w14:paraId="1EEE371F" w14:textId="77777777" w:rsidR="00291A4C" w:rsidRDefault="003B1AB2">
            <w:pPr>
              <w:rPr>
                <w:lang w:eastAsia="en-US"/>
              </w:rPr>
            </w:pPr>
            <w:r>
              <w:rPr>
                <w:lang w:eastAsia="en-US"/>
              </w:rPr>
              <w:t>View</w:t>
            </w:r>
          </w:p>
        </w:tc>
      </w:tr>
      <w:tr w:rsidR="00291A4C" w14:paraId="78E50F3B" w14:textId="77777777">
        <w:tc>
          <w:tcPr>
            <w:tcW w:w="2515" w:type="dxa"/>
          </w:tcPr>
          <w:p w14:paraId="358BDB6D" w14:textId="20D39207" w:rsidR="00291A4C" w:rsidRDefault="00126BF0">
            <w:pPr>
              <w:rPr>
                <w:lang w:eastAsia="en-US"/>
              </w:rPr>
            </w:pPr>
            <w:r>
              <w:rPr>
                <w:lang w:eastAsia="en-US"/>
              </w:rPr>
              <w:t>vivo</w:t>
            </w:r>
          </w:p>
        </w:tc>
        <w:tc>
          <w:tcPr>
            <w:tcW w:w="6847" w:type="dxa"/>
          </w:tcPr>
          <w:p w14:paraId="177DA972" w14:textId="53635B1A" w:rsidR="00126BF0" w:rsidRPr="00126BF0" w:rsidRDefault="00126BF0" w:rsidP="00126BF0">
            <w:pPr>
              <w:rPr>
                <w:rFonts w:eastAsiaTheme="minorEastAsia"/>
                <w:snapToGrid/>
                <w:kern w:val="0"/>
                <w:szCs w:val="20"/>
                <w:lang w:val="en-US" w:eastAsia="en-US"/>
              </w:rPr>
            </w:pPr>
            <w:r w:rsidRPr="00126BF0">
              <w:rPr>
                <w:rFonts w:eastAsiaTheme="minorEastAsia"/>
                <w:snapToGrid/>
                <w:kern w:val="0"/>
                <w:szCs w:val="20"/>
                <w:lang w:val="en-US" w:eastAsia="en-US"/>
              </w:rPr>
              <w:t>There was one agreement (copied below) we made in last meeting not captured into RRC parameter list of RAN1#106bis-e yet.</w:t>
            </w:r>
          </w:p>
          <w:p w14:paraId="4ADA4917" w14:textId="77777777" w:rsidR="00126BF0" w:rsidRPr="00126BF0" w:rsidRDefault="00126BF0" w:rsidP="00126BF0">
            <w:pPr>
              <w:rPr>
                <w:rFonts w:eastAsiaTheme="minorEastAsia"/>
                <w:snapToGrid/>
                <w:kern w:val="0"/>
                <w:szCs w:val="20"/>
                <w:lang w:val="en-US" w:eastAsia="en-US"/>
              </w:rPr>
            </w:pPr>
          </w:p>
          <w:p w14:paraId="3332C68E" w14:textId="77777777" w:rsidR="00126BF0" w:rsidRPr="00126BF0" w:rsidRDefault="00126BF0" w:rsidP="00126BF0">
            <w:pPr>
              <w:rPr>
                <w:rFonts w:eastAsiaTheme="minorEastAsia"/>
                <w:snapToGrid/>
                <w:kern w:val="0"/>
                <w:szCs w:val="20"/>
                <w:lang w:val="en-US" w:eastAsia="en-US"/>
              </w:rPr>
            </w:pPr>
            <w:r w:rsidRPr="00126BF0">
              <w:rPr>
                <w:rFonts w:eastAsiaTheme="minorEastAsia"/>
                <w:snapToGrid/>
                <w:kern w:val="0"/>
                <w:szCs w:val="20"/>
                <w:highlight w:val="green"/>
                <w:lang w:val="en-US" w:eastAsia="en-US"/>
              </w:rPr>
              <w:t>Agreement:</w:t>
            </w:r>
          </w:p>
          <w:p w14:paraId="5CD87AD8" w14:textId="77777777" w:rsidR="00291A4C" w:rsidRDefault="00126BF0" w:rsidP="00126BF0">
            <w:pPr>
              <w:rPr>
                <w:rFonts w:eastAsiaTheme="minorEastAsia"/>
                <w:snapToGrid/>
                <w:kern w:val="0"/>
                <w:szCs w:val="20"/>
                <w:lang w:val="en-US" w:eastAsia="en-US"/>
              </w:rPr>
            </w:pPr>
            <w:r w:rsidRPr="00126BF0">
              <w:rPr>
                <w:rFonts w:eastAsiaTheme="minorEastAsia"/>
                <w:snapToGrid/>
                <w:kern w:val="0"/>
                <w:szCs w:val="20"/>
                <w:lang w:val="en-US" w:eastAsia="en-US"/>
              </w:rPr>
              <w:t>For NR operation with 480 kHz and/or 960 kHz SCS, the value range of k1 indicated in RRC is -1 ~ 127 for DCI format 1_1 and 0 ~ 127 for DCI format 1_2.</w:t>
            </w:r>
          </w:p>
          <w:p w14:paraId="43A849FF" w14:textId="77777777" w:rsidR="007B5AE0" w:rsidRDefault="007B5AE0" w:rsidP="00126BF0">
            <w:pPr>
              <w:rPr>
                <w:rFonts w:eastAsiaTheme="minorEastAsia"/>
                <w:snapToGrid/>
                <w:kern w:val="0"/>
                <w:szCs w:val="20"/>
                <w:lang w:val="en-US" w:eastAsia="en-US"/>
              </w:rPr>
            </w:pPr>
          </w:p>
          <w:p w14:paraId="43EB583A" w14:textId="77777777" w:rsidR="007B5AE0" w:rsidRDefault="007B5AE0" w:rsidP="007B5AE0">
            <w:pPr>
              <w:spacing w:after="120"/>
            </w:pPr>
            <w:r>
              <w:t>Comment 1:</w:t>
            </w:r>
          </w:p>
          <w:p w14:paraId="36A47A85" w14:textId="780A1FB8" w:rsidR="007B5AE0" w:rsidRDefault="007B5AE0" w:rsidP="007B5AE0">
            <w:pPr>
              <w:spacing w:after="120"/>
            </w:pPr>
            <w:r>
              <w:t xml:space="preserve">Need to add new IE or extend range of existing IE (up to RAN2) and the value range of </w:t>
            </w:r>
            <w:r>
              <w:rPr>
                <w:i/>
              </w:rPr>
              <w:t>DL-DataToUL-ACK-r17</w:t>
            </w:r>
            <w:r>
              <w:t xml:space="preserve"> inside </w:t>
            </w:r>
            <w:r>
              <w:rPr>
                <w:i/>
              </w:rPr>
              <w:t xml:space="preserve">PUCCH-Config </w:t>
            </w:r>
            <w:r>
              <w:t>is (-1 .. 127) applicable to 480 and 960 kHz</w:t>
            </w:r>
          </w:p>
          <w:p w14:paraId="5EFD04CD" w14:textId="77777777" w:rsidR="007B5AE0" w:rsidRDefault="007B5AE0" w:rsidP="007B5AE0">
            <w:pPr>
              <w:spacing w:after="120"/>
            </w:pPr>
          </w:p>
          <w:p w14:paraId="2BAE0710" w14:textId="77777777" w:rsidR="007B5AE0" w:rsidRDefault="007B5AE0" w:rsidP="007B5AE0">
            <w:pPr>
              <w:spacing w:after="120"/>
            </w:pPr>
            <w:r>
              <w:t>Comment 2:</w:t>
            </w:r>
          </w:p>
          <w:p w14:paraId="4E51BB71" w14:textId="2BAD596C" w:rsidR="007B5AE0" w:rsidRDefault="007B5AE0" w:rsidP="007B5AE0">
            <w:pPr>
              <w:spacing w:after="120"/>
            </w:pPr>
            <w:r>
              <w:t xml:space="preserve">Need to add new IE or extend range of existing IE (up to RAN2) and the value range of </w:t>
            </w:r>
            <w:r>
              <w:rPr>
                <w:i/>
              </w:rPr>
              <w:t>DL-DataToUL-ACK-DCI-1-2-r17</w:t>
            </w:r>
            <w:r>
              <w:t xml:space="preserve"> inside </w:t>
            </w:r>
            <w:r>
              <w:rPr>
                <w:i/>
              </w:rPr>
              <w:t xml:space="preserve">PUCCH-Config </w:t>
            </w:r>
            <w:r>
              <w:t>is (0 .. 127) applicable to 480 and 960 kHz</w:t>
            </w:r>
          </w:p>
          <w:p w14:paraId="516DB5D2" w14:textId="60C6BF5D" w:rsidR="007B5AE0" w:rsidRPr="00126BF0" w:rsidRDefault="007B5AE0" w:rsidP="00126BF0">
            <w:pPr>
              <w:rPr>
                <w:rFonts w:eastAsiaTheme="minorEastAsia"/>
                <w:snapToGrid/>
                <w:kern w:val="0"/>
                <w:szCs w:val="20"/>
                <w:lang w:val="en-US" w:eastAsia="en-US"/>
              </w:rPr>
            </w:pPr>
          </w:p>
        </w:tc>
      </w:tr>
      <w:tr w:rsidR="00A349D4" w:rsidRPr="00312C4B" w14:paraId="4A197609" w14:textId="77777777">
        <w:tc>
          <w:tcPr>
            <w:tcW w:w="2515" w:type="dxa"/>
          </w:tcPr>
          <w:p w14:paraId="177424F3" w14:textId="0CA1B022" w:rsidR="00A349D4" w:rsidRPr="00312C4B" w:rsidRDefault="00A349D4" w:rsidP="00A349D4">
            <w:pPr>
              <w:rPr>
                <w:lang w:eastAsia="en-US"/>
              </w:rPr>
            </w:pPr>
            <w:r>
              <w:rPr>
                <w:rFonts w:eastAsiaTheme="minorEastAsia" w:hint="eastAsia"/>
                <w:lang w:eastAsia="zh-CN"/>
              </w:rPr>
              <w:t>D</w:t>
            </w:r>
            <w:r>
              <w:rPr>
                <w:rFonts w:eastAsiaTheme="minorEastAsia"/>
                <w:lang w:eastAsia="zh-CN"/>
              </w:rPr>
              <w:t>OCOMO</w:t>
            </w:r>
          </w:p>
        </w:tc>
        <w:tc>
          <w:tcPr>
            <w:tcW w:w="6847" w:type="dxa"/>
          </w:tcPr>
          <w:p w14:paraId="31EEBAC8" w14:textId="77777777" w:rsidR="00A349D4" w:rsidRPr="00CD1F2F" w:rsidRDefault="00A349D4" w:rsidP="00A349D4">
            <w:pPr>
              <w:rPr>
                <w:rFonts w:eastAsiaTheme="minorEastAsia"/>
                <w:snapToGrid/>
                <w:kern w:val="0"/>
                <w:szCs w:val="20"/>
                <w:lang w:val="en-US" w:eastAsia="zh-CN"/>
              </w:rPr>
            </w:pPr>
            <w:r>
              <w:rPr>
                <w:rFonts w:eastAsiaTheme="minorEastAsia"/>
                <w:snapToGrid/>
                <w:kern w:val="0"/>
                <w:szCs w:val="20"/>
                <w:lang w:val="en-US" w:eastAsia="zh-CN"/>
              </w:rPr>
              <w:t>Based on the latest status in this meeting, a</w:t>
            </w:r>
            <w:r w:rsidRPr="00CD1F2F">
              <w:rPr>
                <w:rFonts w:eastAsiaTheme="minorEastAsia"/>
                <w:snapToGrid/>
                <w:kern w:val="0"/>
                <w:szCs w:val="20"/>
                <w:lang w:val="en-US" w:eastAsia="zh-CN"/>
              </w:rPr>
              <w:t xml:space="preserve"> new RRC parameter for time domain bundling for Type 1 HARQ-ACK CB needs to be introduced.</w:t>
            </w:r>
          </w:p>
          <w:p w14:paraId="2E804780" w14:textId="77777777" w:rsidR="00A349D4" w:rsidRDefault="00A349D4" w:rsidP="00A349D4">
            <w:pPr>
              <w:rPr>
                <w:b/>
                <w:snapToGrid/>
                <w:kern w:val="0"/>
                <w:szCs w:val="24"/>
                <w:lang w:val="en-US" w:eastAsia="x-none"/>
              </w:rPr>
            </w:pPr>
            <w:r>
              <w:rPr>
                <w:b/>
                <w:highlight w:val="green"/>
                <w:lang w:val="en-US" w:eastAsia="x-none"/>
              </w:rPr>
              <w:t>Agreement</w:t>
            </w:r>
          </w:p>
          <w:p w14:paraId="0A43BFDC" w14:textId="77777777" w:rsidR="00A349D4" w:rsidRDefault="00A349D4" w:rsidP="00A349D4">
            <w:pPr>
              <w:rPr>
                <w:iCs/>
                <w:lang w:eastAsia="x-none"/>
              </w:rPr>
            </w:pPr>
            <w:r>
              <w:rPr>
                <w:iCs/>
                <w:lang w:eastAsia="x-none"/>
              </w:rPr>
              <w:t>For multi-PDSCH scheduling with a single DCI</w:t>
            </w:r>
          </w:p>
          <w:p w14:paraId="642423E6" w14:textId="77777777" w:rsidR="00A349D4" w:rsidRDefault="00A349D4" w:rsidP="00A349D4">
            <w:pPr>
              <w:pStyle w:val="a"/>
              <w:numPr>
                <w:ilvl w:val="0"/>
                <w:numId w:val="21"/>
              </w:numPr>
              <w:kinsoku/>
              <w:overflowPunct/>
              <w:adjustRightInd/>
              <w:spacing w:after="160" w:line="254" w:lineRule="auto"/>
              <w:contextualSpacing/>
              <w:jc w:val="both"/>
              <w:textAlignment w:val="auto"/>
              <w:rPr>
                <w:rFonts w:eastAsia="맑은 고딕"/>
                <w:lang w:val="en-US" w:eastAsia="x-none"/>
              </w:rPr>
            </w:pPr>
            <w:r w:rsidRPr="0079546A">
              <w:rPr>
                <w:rFonts w:eastAsia="맑은 고딕"/>
                <w:color w:val="FF0000"/>
                <w:lang w:val="en-US"/>
              </w:rPr>
              <w:t xml:space="preserve">Introduce a new RRC parameter, e.g., </w:t>
            </w:r>
            <w:r w:rsidRPr="0079546A">
              <w:rPr>
                <w:rFonts w:eastAsia="맑은 고딕"/>
                <w:i/>
                <w:color w:val="FF0000"/>
                <w:lang w:val="en-US"/>
              </w:rPr>
              <w:t>enableTimeDomainHARQ-Bundling</w:t>
            </w:r>
            <w:r w:rsidRPr="0079546A">
              <w:rPr>
                <w:rFonts w:eastAsia="맑은 고딕"/>
                <w:color w:val="FF0000"/>
                <w:lang w:val="en-US"/>
              </w:rPr>
              <w:t>, to enable time domain bundling operation for type-1 HARQ-ACK codebook per serving cell</w:t>
            </w:r>
            <w:r>
              <w:rPr>
                <w:rFonts w:eastAsia="맑은 고딕"/>
                <w:lang w:val="en-US"/>
              </w:rPr>
              <w:t>.</w:t>
            </w:r>
          </w:p>
          <w:p w14:paraId="59822B9C" w14:textId="77777777" w:rsidR="00A349D4" w:rsidRDefault="00A349D4" w:rsidP="00A349D4">
            <w:pPr>
              <w:pStyle w:val="a"/>
              <w:numPr>
                <w:ilvl w:val="1"/>
                <w:numId w:val="21"/>
              </w:numPr>
              <w:kinsoku/>
              <w:overflowPunct/>
              <w:adjustRightInd/>
              <w:spacing w:after="0" w:line="254" w:lineRule="auto"/>
              <w:contextualSpacing/>
              <w:jc w:val="both"/>
              <w:textAlignment w:val="auto"/>
              <w:rPr>
                <w:rFonts w:eastAsia="맑은 고딕"/>
                <w:lang w:val="en-US"/>
              </w:rPr>
            </w:pPr>
            <w:r>
              <w:rPr>
                <w:rFonts w:eastAsia="맑은 고딕"/>
                <w:lang w:val="en-US"/>
              </w:rPr>
              <w:t>If the RRC parameter enables time domain bundling operation,</w:t>
            </w:r>
          </w:p>
          <w:p w14:paraId="71CFDF94" w14:textId="77777777" w:rsidR="00A349D4" w:rsidRDefault="00A349D4" w:rsidP="00A349D4">
            <w:pPr>
              <w:pStyle w:val="a"/>
              <w:numPr>
                <w:ilvl w:val="2"/>
                <w:numId w:val="21"/>
              </w:numPr>
              <w:kinsoku/>
              <w:overflowPunct/>
              <w:adjustRightInd/>
              <w:spacing w:after="0" w:line="254" w:lineRule="auto"/>
              <w:contextualSpacing/>
              <w:jc w:val="both"/>
              <w:textAlignment w:val="auto"/>
              <w:rPr>
                <w:rFonts w:eastAsia="맑은 고딕"/>
                <w:lang w:val="en-US"/>
              </w:rPr>
            </w:pPr>
            <w:r>
              <w:rPr>
                <w:rFonts w:eastAsia="맑은 고딕"/>
                <w:lang w:val="en-US"/>
              </w:rPr>
              <w:t>To determine the set of candidate PDSCH reception occasions,</w:t>
            </w:r>
          </w:p>
          <w:p w14:paraId="4EC11DC9" w14:textId="77777777" w:rsidR="00A349D4" w:rsidRDefault="00A349D4" w:rsidP="00A349D4">
            <w:pPr>
              <w:pStyle w:val="a"/>
              <w:numPr>
                <w:ilvl w:val="3"/>
                <w:numId w:val="21"/>
              </w:numPr>
              <w:kinsoku/>
              <w:overflowPunct/>
              <w:adjustRightInd/>
              <w:spacing w:after="0" w:line="254" w:lineRule="auto"/>
              <w:contextualSpacing/>
              <w:jc w:val="both"/>
              <w:textAlignment w:val="auto"/>
              <w:rPr>
                <w:rFonts w:eastAsia="맑은 고딕"/>
                <w:lang w:val="en-US"/>
              </w:rPr>
            </w:pPr>
            <w:r>
              <w:rPr>
                <w:rFonts w:eastAsia="맑은 고딕"/>
                <w:lang w:val="en-US"/>
              </w:rPr>
              <w:t>A row index is removed if at least one symbol of every PDSCH associated with the row index is configured as semi-static UL. (NOTE: This is similar to the case of slot aggregated PDSCH in Rel-16)</w:t>
            </w:r>
          </w:p>
          <w:p w14:paraId="61A08CF2" w14:textId="77777777" w:rsidR="00A349D4" w:rsidRDefault="00A349D4" w:rsidP="00A349D4">
            <w:pPr>
              <w:pStyle w:val="a"/>
              <w:numPr>
                <w:ilvl w:val="3"/>
                <w:numId w:val="21"/>
              </w:numPr>
              <w:kinsoku/>
              <w:overflowPunct/>
              <w:adjustRightInd/>
              <w:spacing w:after="0" w:line="254" w:lineRule="auto"/>
              <w:contextualSpacing/>
              <w:jc w:val="both"/>
              <w:textAlignment w:val="auto"/>
              <w:rPr>
                <w:rFonts w:eastAsia="맑은 고딕"/>
                <w:lang w:val="en-US"/>
              </w:rPr>
            </w:pPr>
            <w:r>
              <w:rPr>
                <w:rFonts w:eastAsia="맑은 고딕"/>
                <w:lang w:val="en-US"/>
              </w:rPr>
              <w:t>Pruning procedure in Rel-16 is performed based on the last configured SLIV of each row index.</w:t>
            </w:r>
          </w:p>
          <w:p w14:paraId="674C1374" w14:textId="77777777" w:rsidR="00A349D4" w:rsidRDefault="00A349D4" w:rsidP="00A349D4">
            <w:pPr>
              <w:pStyle w:val="a"/>
              <w:numPr>
                <w:ilvl w:val="2"/>
                <w:numId w:val="21"/>
              </w:numPr>
              <w:kinsoku/>
              <w:overflowPunct/>
              <w:adjustRightInd/>
              <w:spacing w:after="0" w:line="254" w:lineRule="auto"/>
              <w:contextualSpacing/>
              <w:jc w:val="both"/>
              <w:textAlignment w:val="auto"/>
              <w:rPr>
                <w:rFonts w:eastAsia="맑은 고딕"/>
                <w:lang w:val="en-US"/>
              </w:rPr>
            </w:pPr>
            <w:r>
              <w:rPr>
                <w:rFonts w:eastAsia="맑은 고딕"/>
                <w:lang w:val="en-US"/>
              </w:rPr>
              <w:t xml:space="preserve">Logical AND operation is applied </w:t>
            </w:r>
            <w:r>
              <w:rPr>
                <w:bCs/>
                <w:lang w:val="en-US"/>
              </w:rPr>
              <w:t>across all valid PDSCHs associated with a determined candidate PDSCH reception occasion,</w:t>
            </w:r>
            <w:r>
              <w:rPr>
                <w:rFonts w:eastAsia="맑은 고딕"/>
                <w:lang w:val="en-US"/>
              </w:rPr>
              <w:t xml:space="preserve"> at least for 1-TB case</w:t>
            </w:r>
            <w:r>
              <w:rPr>
                <w:bCs/>
                <w:lang w:val="en-US"/>
              </w:rPr>
              <w:t>.</w:t>
            </w:r>
          </w:p>
          <w:p w14:paraId="6C93266D" w14:textId="77777777" w:rsidR="00A349D4" w:rsidRDefault="00A349D4" w:rsidP="00A349D4">
            <w:pPr>
              <w:pStyle w:val="a"/>
              <w:numPr>
                <w:ilvl w:val="2"/>
                <w:numId w:val="21"/>
              </w:numPr>
              <w:kinsoku/>
              <w:overflowPunct/>
              <w:adjustRightInd/>
              <w:spacing w:after="0" w:line="254" w:lineRule="auto"/>
              <w:contextualSpacing/>
              <w:jc w:val="both"/>
              <w:textAlignment w:val="auto"/>
              <w:rPr>
                <w:rFonts w:eastAsia="맑은 고딕"/>
                <w:lang w:val="en-US"/>
              </w:rPr>
            </w:pPr>
            <w:r>
              <w:rPr>
                <w:rFonts w:eastAsia="맑은 고딕"/>
                <w:lang w:val="en-US"/>
              </w:rPr>
              <w:t xml:space="preserve">FFS: UE does not expect the last scheduled SLIV overlaps with a semi-static UL symbol when parameter </w:t>
            </w:r>
            <w:r>
              <w:rPr>
                <w:rFonts w:eastAsia="맑은 고딕"/>
                <w:i/>
                <w:lang w:val="en-US"/>
              </w:rPr>
              <w:t xml:space="preserve">enableTimeDomainHARQ-Bundling </w:t>
            </w:r>
            <w:r>
              <w:rPr>
                <w:rFonts w:eastAsia="맑은 고딕"/>
                <w:lang w:val="en-US"/>
              </w:rPr>
              <w:t>is configured</w:t>
            </w:r>
          </w:p>
          <w:p w14:paraId="5DBA2B3C" w14:textId="48D26BEF" w:rsidR="00A349D4" w:rsidRPr="00312C4B" w:rsidRDefault="00A349D4" w:rsidP="00A349D4">
            <w:pPr>
              <w:rPr>
                <w:lang w:eastAsia="en-US"/>
              </w:rPr>
            </w:pPr>
          </w:p>
        </w:tc>
      </w:tr>
      <w:tr w:rsidR="002D5E6E" w:rsidRPr="00312C4B" w14:paraId="1CB99177" w14:textId="77777777" w:rsidTr="0043006F">
        <w:tc>
          <w:tcPr>
            <w:tcW w:w="2515" w:type="dxa"/>
          </w:tcPr>
          <w:p w14:paraId="23F0E5BD" w14:textId="2953C3D5" w:rsidR="002D5E6E" w:rsidRDefault="00DA4C1F" w:rsidP="0043006F">
            <w:pPr>
              <w:rPr>
                <w:lang w:eastAsia="en-US"/>
              </w:rPr>
            </w:pPr>
            <w:r>
              <w:rPr>
                <w:lang w:eastAsia="en-US"/>
              </w:rPr>
              <w:t>Intel</w:t>
            </w:r>
          </w:p>
        </w:tc>
        <w:tc>
          <w:tcPr>
            <w:tcW w:w="6847" w:type="dxa"/>
          </w:tcPr>
          <w:p w14:paraId="0F938AE0" w14:textId="30E0F14A" w:rsidR="003011D6" w:rsidRDefault="003011D6" w:rsidP="00BA0C44">
            <w:pPr>
              <w:rPr>
                <w:lang w:eastAsia="en-US"/>
              </w:rPr>
            </w:pPr>
          </w:p>
          <w:p w14:paraId="79D5A7F2" w14:textId="6B21FE0C" w:rsidR="004934D0" w:rsidRDefault="004934D0" w:rsidP="00BA0C44">
            <w:pPr>
              <w:rPr>
                <w:lang w:eastAsia="en-US"/>
              </w:rPr>
            </w:pPr>
            <w:r>
              <w:rPr>
                <w:lang w:eastAsia="en-US"/>
              </w:rPr>
              <w:t xml:space="preserve">Agree with DoCoMo that the RRC parameter </w:t>
            </w:r>
            <w:r w:rsidRPr="0079546A">
              <w:rPr>
                <w:rFonts w:eastAsia="맑은 고딕"/>
                <w:i/>
                <w:color w:val="FF0000"/>
                <w:lang w:val="en-US"/>
              </w:rPr>
              <w:t>enableTimeDomainHARQ-Bundling</w:t>
            </w:r>
            <w:r>
              <w:rPr>
                <w:rFonts w:eastAsia="맑은 고딕"/>
                <w:i/>
                <w:color w:val="FF0000"/>
                <w:lang w:val="en-US"/>
              </w:rPr>
              <w:t xml:space="preserve"> </w:t>
            </w:r>
            <w:r w:rsidRPr="00D03DB0">
              <w:rPr>
                <w:rFonts w:eastAsia="맑은 고딕"/>
                <w:iCs/>
                <w:color w:val="FF0000"/>
                <w:lang w:val="en-US"/>
              </w:rPr>
              <w:t>should be captured</w:t>
            </w:r>
            <w:r w:rsidR="003E479A">
              <w:rPr>
                <w:rFonts w:eastAsia="맑은 고딕"/>
                <w:iCs/>
                <w:color w:val="FF0000"/>
                <w:lang w:val="en-US"/>
              </w:rPr>
              <w:t xml:space="preserve"> for Type-1 codebook</w:t>
            </w:r>
            <w:r>
              <w:rPr>
                <w:rFonts w:eastAsia="맑은 고딕"/>
                <w:iCs/>
                <w:color w:val="FF0000"/>
                <w:lang w:val="en-US"/>
              </w:rPr>
              <w:t>. Further, th</w:t>
            </w:r>
            <w:r w:rsidR="003E479A">
              <w:rPr>
                <w:rFonts w:eastAsia="맑은 고딕"/>
                <w:iCs/>
                <w:color w:val="FF0000"/>
                <w:lang w:val="en-US"/>
              </w:rPr>
              <w:t xml:space="preserve">ere is another </w:t>
            </w:r>
            <w:r w:rsidR="00DF73F7">
              <w:rPr>
                <w:rFonts w:eastAsia="맑은 고딕"/>
                <w:iCs/>
                <w:color w:val="FF0000"/>
                <w:lang w:val="en-US"/>
              </w:rPr>
              <w:t xml:space="preserve">RRC </w:t>
            </w:r>
            <w:r w:rsidR="003E479A">
              <w:rPr>
                <w:rFonts w:eastAsia="맑은 고딕"/>
                <w:iCs/>
                <w:color w:val="FF0000"/>
                <w:lang w:val="en-US"/>
              </w:rPr>
              <w:t>parameter</w:t>
            </w:r>
            <w:r w:rsidR="00DF73F7">
              <w:rPr>
                <w:rFonts w:eastAsia="맑은 고딕"/>
                <w:iCs/>
                <w:color w:val="FF0000"/>
                <w:lang w:val="en-US"/>
              </w:rPr>
              <w:t xml:space="preserve"> </w:t>
            </w:r>
            <w:r w:rsidR="00DF73F7">
              <w:rPr>
                <w:rFonts w:cs="Times"/>
                <w:i/>
                <w:iCs/>
              </w:rPr>
              <w:t>numberOfHARQ-</w:t>
            </w:r>
            <w:r w:rsidR="00DF73F7">
              <w:rPr>
                <w:rFonts w:cs="Times"/>
                <w:i/>
                <w:iCs/>
              </w:rPr>
              <w:lastRenderedPageBreak/>
              <w:t xml:space="preserve">BundlingGroups </w:t>
            </w:r>
            <w:r w:rsidR="00DF73F7" w:rsidRPr="00D03DB0">
              <w:rPr>
                <w:rFonts w:cs="Times"/>
              </w:rPr>
              <w:t xml:space="preserve">that is agreed for Type2 codebook. </w:t>
            </w:r>
          </w:p>
          <w:p w14:paraId="1498EE85" w14:textId="77777777" w:rsidR="004934D0" w:rsidRPr="0075120A" w:rsidRDefault="004934D0" w:rsidP="004934D0">
            <w:pPr>
              <w:rPr>
                <w:b/>
                <w:lang w:val="en-US" w:eastAsia="x-none"/>
              </w:rPr>
            </w:pPr>
            <w:r w:rsidRPr="0075120A">
              <w:rPr>
                <w:b/>
                <w:highlight w:val="green"/>
                <w:lang w:val="en-US" w:eastAsia="x-none"/>
              </w:rPr>
              <w:t>Agreement</w:t>
            </w:r>
          </w:p>
          <w:p w14:paraId="4A0324AE" w14:textId="77777777" w:rsidR="004934D0" w:rsidRDefault="004934D0" w:rsidP="004934D0">
            <w:pPr>
              <w:spacing w:after="160" w:line="252" w:lineRule="auto"/>
              <w:rPr>
                <w:rFonts w:cs="Times"/>
                <w:lang w:eastAsia="zh-CN"/>
              </w:rPr>
            </w:pPr>
            <w:r>
              <w:rPr>
                <w:rFonts w:cs="Times"/>
              </w:rPr>
              <w:t>For multi-PDSCH scheduling with a single DCI</w:t>
            </w:r>
          </w:p>
          <w:p w14:paraId="75A3022C" w14:textId="77777777" w:rsidR="004934D0" w:rsidRDefault="004934D0" w:rsidP="004934D0">
            <w:pPr>
              <w:widowControl/>
              <w:numPr>
                <w:ilvl w:val="0"/>
                <w:numId w:val="21"/>
              </w:numPr>
              <w:kinsoku/>
              <w:overflowPunct/>
              <w:autoSpaceDE/>
              <w:adjustRightInd/>
              <w:spacing w:after="160" w:line="252" w:lineRule="auto"/>
              <w:contextualSpacing/>
              <w:textAlignment w:val="auto"/>
              <w:rPr>
                <w:lang w:val="en-US"/>
              </w:rPr>
            </w:pPr>
            <w:r>
              <w:t xml:space="preserve">Introduce a new RRC parameter, </w:t>
            </w:r>
            <w:r>
              <w:rPr>
                <w:rFonts w:cs="Times"/>
              </w:rPr>
              <w:t xml:space="preserve">e.g., </w:t>
            </w:r>
            <w:r>
              <w:rPr>
                <w:rFonts w:cs="Times"/>
                <w:i/>
                <w:iCs/>
              </w:rPr>
              <w:t>numberOfHARQ-BundlingGroups</w:t>
            </w:r>
            <w:r>
              <w:rPr>
                <w:rFonts w:cs="Times"/>
              </w:rPr>
              <w:t xml:space="preserve">, </w:t>
            </w:r>
            <w:r>
              <w:t xml:space="preserve">to configure the number of HARQ bundling groups </w:t>
            </w:r>
            <w:r>
              <w:rPr>
                <w:rFonts w:cs="Times"/>
              </w:rPr>
              <w:t xml:space="preserve">with value range {1, 2, 4} </w:t>
            </w:r>
            <w:r>
              <w:t>for type-2 HARQ-ACK codebook per serving cell.</w:t>
            </w:r>
          </w:p>
          <w:p w14:paraId="09973F75" w14:textId="44E209C7" w:rsidR="004934D0" w:rsidRDefault="004934D0" w:rsidP="004934D0">
            <w:pPr>
              <w:widowControl/>
              <w:numPr>
                <w:ilvl w:val="1"/>
                <w:numId w:val="21"/>
              </w:numPr>
              <w:kinsoku/>
              <w:overflowPunct/>
              <w:autoSpaceDE/>
              <w:adjustRightInd/>
              <w:spacing w:after="160" w:line="252" w:lineRule="auto"/>
              <w:contextualSpacing/>
              <w:textAlignment w:val="auto"/>
            </w:pPr>
            <w:r>
              <w:t>…</w:t>
            </w:r>
          </w:p>
          <w:p w14:paraId="475B82E6" w14:textId="2A437B15" w:rsidR="003011D6" w:rsidRDefault="003011D6" w:rsidP="002D5E6E">
            <w:pPr>
              <w:rPr>
                <w:lang w:eastAsia="en-US"/>
              </w:rPr>
            </w:pPr>
          </w:p>
        </w:tc>
      </w:tr>
      <w:tr w:rsidR="002D5E6E" w:rsidRPr="00312C4B" w14:paraId="1382B419" w14:textId="77777777">
        <w:tc>
          <w:tcPr>
            <w:tcW w:w="2515" w:type="dxa"/>
          </w:tcPr>
          <w:p w14:paraId="5C7D35CE" w14:textId="6DD41055" w:rsidR="002D5E6E" w:rsidRDefault="0010534B">
            <w:pPr>
              <w:rPr>
                <w:rFonts w:hint="eastAsia"/>
              </w:rPr>
            </w:pPr>
            <w:r>
              <w:rPr>
                <w:rFonts w:hint="eastAsia"/>
              </w:rPr>
              <w:lastRenderedPageBreak/>
              <w:t>LG Electronics</w:t>
            </w:r>
          </w:p>
        </w:tc>
        <w:tc>
          <w:tcPr>
            <w:tcW w:w="6847" w:type="dxa"/>
          </w:tcPr>
          <w:p w14:paraId="7B837759" w14:textId="32DD64C0" w:rsidR="00960F3B" w:rsidRDefault="0010534B">
            <w:pPr>
              <w:rPr>
                <w:rFonts w:hint="eastAsia"/>
              </w:rPr>
            </w:pPr>
            <w:r>
              <w:t>T</w:t>
            </w:r>
            <w:r>
              <w:rPr>
                <w:rFonts w:hint="eastAsia"/>
              </w:rPr>
              <w:t xml:space="preserve">he </w:t>
            </w:r>
            <w:r>
              <w:t xml:space="preserve">first main bullet needs to be added for </w:t>
            </w:r>
            <w:r w:rsidRPr="0010534B">
              <w:t>PDSCH-TimeDomainResourceAllocationListForMultiPDSCH-r17</w:t>
            </w:r>
            <w:r>
              <w:t xml:space="preserve">, i.e., comment column in row 30. And the second main bullet needs to be added for </w:t>
            </w:r>
            <w:r w:rsidRPr="0010534B">
              <w:t>PUSCH-TimeDomainResourceAllocationListForMultiPUSCH-r17</w:t>
            </w:r>
            <w:r>
              <w:t>, i.e., comment column in row 29.</w:t>
            </w:r>
          </w:p>
          <w:p w14:paraId="7D8695E0" w14:textId="77777777" w:rsidR="0010534B" w:rsidRDefault="0010534B">
            <w:pPr>
              <w:rPr>
                <w:lang w:eastAsia="en-US"/>
              </w:rPr>
            </w:pPr>
          </w:p>
          <w:p w14:paraId="5D961BD6" w14:textId="77777777" w:rsidR="0010534B" w:rsidRPr="0010534B" w:rsidRDefault="0010534B" w:rsidP="0010534B">
            <w:pPr>
              <w:widowControl/>
              <w:kinsoku/>
              <w:overflowPunct/>
              <w:autoSpaceDE/>
              <w:autoSpaceDN/>
              <w:adjustRightInd/>
              <w:spacing w:after="0"/>
              <w:jc w:val="left"/>
              <w:textAlignment w:val="auto"/>
              <w:rPr>
                <w:rFonts w:ascii="Arial" w:eastAsia="SimSun" w:hAnsi="Arial" w:cs="Arial"/>
                <w:b/>
                <w:snapToGrid/>
                <w:kern w:val="0"/>
                <w:sz w:val="16"/>
                <w:szCs w:val="16"/>
                <w:lang w:val="en-US" w:eastAsia="x-none"/>
              </w:rPr>
            </w:pPr>
            <w:r w:rsidRPr="0010534B">
              <w:rPr>
                <w:rFonts w:ascii="Arial" w:eastAsia="SimSun" w:hAnsi="Arial" w:cs="Arial"/>
                <w:b/>
                <w:snapToGrid/>
                <w:kern w:val="0"/>
                <w:sz w:val="16"/>
                <w:szCs w:val="16"/>
                <w:highlight w:val="green"/>
                <w:lang w:val="en-US" w:eastAsia="x-none"/>
              </w:rPr>
              <w:t>Agreement</w:t>
            </w:r>
          </w:p>
          <w:p w14:paraId="62B6C43F" w14:textId="77777777" w:rsidR="0010534B" w:rsidRPr="0010534B" w:rsidRDefault="0010534B" w:rsidP="0010534B">
            <w:pPr>
              <w:widowControl/>
              <w:numPr>
                <w:ilvl w:val="0"/>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If a UE is configured with a TDRA table in which one or more rows contain multiple SLIVs for PDSCH for DCI format 1_1, the UE does not expect to be configured with </w:t>
            </w:r>
            <w:r w:rsidRPr="0010534B">
              <w:rPr>
                <w:rFonts w:ascii="Arial" w:eastAsia="SimSun" w:hAnsi="Arial" w:cs="Times"/>
                <w:i/>
                <w:iCs/>
                <w:snapToGrid/>
                <w:kern w:val="0"/>
                <w:sz w:val="16"/>
                <w:szCs w:val="16"/>
                <w:lang w:val="en-US" w:eastAsia="zh-TW"/>
              </w:rPr>
              <w:t xml:space="preserve">repetitionNumber </w:t>
            </w:r>
            <w:r w:rsidRPr="0010534B">
              <w:rPr>
                <w:rFonts w:eastAsia="SimSun" w:cs="Arial"/>
                <w:snapToGrid/>
                <w:kern w:val="0"/>
                <w:sz w:val="16"/>
                <w:szCs w:val="16"/>
                <w:lang w:val="en-US" w:eastAsia="zh-CN"/>
              </w:rPr>
              <w:t xml:space="preserve">for the TDRA table, and if </w:t>
            </w:r>
            <w:r w:rsidRPr="0010534B">
              <w:rPr>
                <w:rFonts w:eastAsia="SimSun" w:cs="Arial"/>
                <w:i/>
                <w:iCs/>
                <w:snapToGrid/>
                <w:kern w:val="0"/>
                <w:sz w:val="16"/>
                <w:szCs w:val="16"/>
                <w:lang w:val="en-US" w:eastAsia="zh-CN"/>
              </w:rPr>
              <w:t>pdsch-AggregationFactor</w:t>
            </w:r>
            <w:r w:rsidRPr="0010534B">
              <w:rPr>
                <w:rFonts w:eastAsia="SimSun" w:cs="Arial"/>
                <w:snapToGrid/>
                <w:kern w:val="0"/>
                <w:sz w:val="16"/>
                <w:szCs w:val="16"/>
                <w:lang w:val="en-US" w:eastAsia="zh-CN"/>
              </w:rPr>
              <w:t xml:space="preserve"> is configued in </w:t>
            </w:r>
            <w:r w:rsidRPr="0010534B">
              <w:rPr>
                <w:rFonts w:eastAsia="SimSun" w:cs="Arial"/>
                <w:i/>
                <w:iCs/>
                <w:snapToGrid/>
                <w:kern w:val="0"/>
                <w:sz w:val="16"/>
                <w:szCs w:val="16"/>
                <w:lang w:val="en-US" w:eastAsia="zh-CN"/>
              </w:rPr>
              <w:t>PDSCH-config</w:t>
            </w:r>
            <w:r w:rsidRPr="0010534B">
              <w:rPr>
                <w:rFonts w:eastAsia="SimSun" w:cs="Arial"/>
                <w:snapToGrid/>
                <w:kern w:val="0"/>
                <w:sz w:val="16"/>
                <w:szCs w:val="16"/>
                <w:lang w:val="en-US" w:eastAsia="zh-CN"/>
              </w:rPr>
              <w:t>, it does not apply to DCI format 1_1.</w:t>
            </w:r>
          </w:p>
          <w:p w14:paraId="1893871F"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rPr>
              <w:t xml:space="preserve">Note: </w:t>
            </w:r>
            <w:r w:rsidRPr="0010534B">
              <w:rPr>
                <w:rFonts w:ascii="Arial" w:eastAsia="SimSun" w:hAnsi="Arial" w:cs="Times"/>
                <w:i/>
                <w:iCs/>
                <w:snapToGrid/>
                <w:kern w:val="0"/>
                <w:sz w:val="16"/>
                <w:szCs w:val="16"/>
                <w:lang w:val="en-US" w:eastAsia="zh-TW"/>
              </w:rPr>
              <w:t xml:space="preserve">repetitionNumber </w:t>
            </w:r>
            <w:r w:rsidRPr="0010534B">
              <w:rPr>
                <w:rFonts w:eastAsia="SimSun" w:cs="Arial"/>
                <w:snapToGrid/>
                <w:kern w:val="0"/>
                <w:sz w:val="16"/>
                <w:szCs w:val="16"/>
                <w:lang w:val="en-US"/>
              </w:rPr>
              <w:t xml:space="preserve">cannot be configured with </w:t>
            </w:r>
            <w:r w:rsidRPr="0010534B">
              <w:rPr>
                <w:rFonts w:ascii="Arial" w:eastAsia="SimSun" w:hAnsi="Arial" w:cs="Times"/>
                <w:i/>
                <w:iCs/>
                <w:snapToGrid/>
                <w:kern w:val="0"/>
                <w:sz w:val="16"/>
                <w:szCs w:val="16"/>
                <w:lang w:val="en-US"/>
              </w:rPr>
              <w:t xml:space="preserve">pdsch-TimeDomainAllocationListDCI-1-2 </w:t>
            </w:r>
            <w:r w:rsidRPr="0010534B">
              <w:rPr>
                <w:rFonts w:eastAsia="SimSun" w:cs="Arial"/>
                <w:snapToGrid/>
                <w:kern w:val="0"/>
                <w:sz w:val="16"/>
                <w:szCs w:val="16"/>
                <w:lang w:val="en-US"/>
              </w:rPr>
              <w:t>as in Rel-16.</w:t>
            </w:r>
          </w:p>
          <w:p w14:paraId="6EB368C1"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Note: Under agenda item 8.2.4, in RAN1#106-bis, it was already agreed that within</w:t>
            </w:r>
            <w:r w:rsidRPr="0010534B">
              <w:rPr>
                <w:rFonts w:ascii="Arial" w:eastAsia="SimSun" w:hAnsi="Arial" w:cs="Times"/>
                <w:snapToGrid/>
                <w:kern w:val="0"/>
                <w:sz w:val="16"/>
                <w:szCs w:val="16"/>
                <w:lang w:val="en-US" w:eastAsia="zh-CN"/>
              </w:rPr>
              <w:t xml:space="preserve"> the TDRA table for multi-PDSCH scheduling, the UE does not expect to be configured with the higher layer parameter </w:t>
            </w:r>
            <w:r w:rsidRPr="0010534B">
              <w:rPr>
                <w:rFonts w:ascii="Arial" w:eastAsia="SimSun" w:hAnsi="Arial" w:cs="Times"/>
                <w:i/>
                <w:iCs/>
                <w:snapToGrid/>
                <w:kern w:val="0"/>
                <w:sz w:val="16"/>
                <w:szCs w:val="16"/>
                <w:lang w:val="en-US" w:eastAsia="zh-CN"/>
              </w:rPr>
              <w:t>repetitionNumber</w:t>
            </w:r>
            <w:r w:rsidRPr="0010534B">
              <w:rPr>
                <w:rFonts w:ascii="Arial" w:eastAsia="SimSun" w:hAnsi="Arial" w:cs="Times"/>
                <w:snapToGrid/>
                <w:kern w:val="0"/>
                <w:sz w:val="16"/>
                <w:szCs w:val="16"/>
                <w:lang w:val="en-US" w:eastAsia="zh-CN"/>
              </w:rPr>
              <w:t>.</w:t>
            </w:r>
          </w:p>
          <w:p w14:paraId="73C6B2AA"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Note: These does not preclude </w:t>
            </w:r>
            <w:r w:rsidRPr="0010534B">
              <w:rPr>
                <w:rFonts w:eastAsia="SimSun" w:cs="Arial"/>
                <w:i/>
                <w:iCs/>
                <w:snapToGrid/>
                <w:kern w:val="0"/>
                <w:sz w:val="16"/>
                <w:szCs w:val="16"/>
                <w:lang w:val="en-US" w:eastAsia="zh-CN"/>
              </w:rPr>
              <w:t>pdsch-AggregationFactor</w:t>
            </w:r>
            <w:r w:rsidRPr="0010534B">
              <w:rPr>
                <w:rFonts w:eastAsia="SimSun" w:cs="Arial"/>
                <w:snapToGrid/>
                <w:kern w:val="0"/>
                <w:sz w:val="16"/>
                <w:szCs w:val="16"/>
                <w:lang w:val="en-US" w:eastAsia="zh-CN"/>
              </w:rPr>
              <w:t xml:space="preserve"> can be configured and applies to DCI format 1_2</w:t>
            </w:r>
          </w:p>
          <w:p w14:paraId="28C11C05" w14:textId="77777777" w:rsidR="0010534B" w:rsidRPr="0010534B" w:rsidRDefault="0010534B" w:rsidP="0010534B">
            <w:pPr>
              <w:widowControl/>
              <w:numPr>
                <w:ilvl w:val="0"/>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If a UE is configured with a TDRA table in which one or more rows contain multiple SLIVs for PUSCH for DCI format 0_1, the UE does not expect to be configured with </w:t>
            </w:r>
            <w:r w:rsidRPr="0010534B">
              <w:rPr>
                <w:rFonts w:ascii="Arial" w:eastAsia="SimSun" w:hAnsi="Arial" w:cs="Times"/>
                <w:i/>
                <w:iCs/>
                <w:snapToGrid/>
                <w:kern w:val="0"/>
                <w:sz w:val="16"/>
                <w:szCs w:val="16"/>
                <w:lang w:val="en-US" w:eastAsia="zh-CN"/>
              </w:rPr>
              <w:t>numberOfRepetitions</w:t>
            </w:r>
            <w:r w:rsidRPr="0010534B">
              <w:rPr>
                <w:rFonts w:eastAsia="SimSun" w:cs="Arial"/>
                <w:snapToGrid/>
                <w:kern w:val="0"/>
                <w:sz w:val="16"/>
                <w:szCs w:val="16"/>
                <w:lang w:val="en-US" w:eastAsia="zh-CN"/>
              </w:rPr>
              <w:t xml:space="preserve"> for the TDRA table, and if </w:t>
            </w:r>
            <w:r w:rsidRPr="0010534B">
              <w:rPr>
                <w:rFonts w:eastAsia="SimSun" w:cs="Arial"/>
                <w:i/>
                <w:iCs/>
                <w:snapToGrid/>
                <w:kern w:val="0"/>
                <w:sz w:val="16"/>
                <w:szCs w:val="16"/>
                <w:lang w:val="en-US" w:eastAsia="zh-CN"/>
              </w:rPr>
              <w:t>pusch-AggregationFactor</w:t>
            </w:r>
            <w:r w:rsidRPr="0010534B">
              <w:rPr>
                <w:rFonts w:eastAsia="SimSun" w:cs="Arial"/>
                <w:snapToGrid/>
                <w:kern w:val="0"/>
                <w:sz w:val="16"/>
                <w:szCs w:val="16"/>
                <w:lang w:val="en-US" w:eastAsia="zh-CN"/>
              </w:rPr>
              <w:t xml:space="preserve"> is configued in </w:t>
            </w:r>
            <w:r w:rsidRPr="0010534B">
              <w:rPr>
                <w:rFonts w:eastAsia="SimSun" w:cs="Arial"/>
                <w:i/>
                <w:iCs/>
                <w:snapToGrid/>
                <w:kern w:val="0"/>
                <w:sz w:val="16"/>
                <w:szCs w:val="16"/>
                <w:lang w:val="en-US" w:eastAsia="zh-CN"/>
              </w:rPr>
              <w:t>PUSCH-config</w:t>
            </w:r>
            <w:r w:rsidRPr="0010534B">
              <w:rPr>
                <w:rFonts w:eastAsia="SimSun" w:cs="Arial"/>
                <w:snapToGrid/>
                <w:kern w:val="0"/>
                <w:sz w:val="16"/>
                <w:szCs w:val="16"/>
                <w:lang w:val="en-US" w:eastAsia="zh-CN"/>
              </w:rPr>
              <w:t>, it does not apply to DCI format 0_1.</w:t>
            </w:r>
          </w:p>
          <w:p w14:paraId="135CB3D3"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rPr>
              <w:t xml:space="preserve">Note: These does not preclude </w:t>
            </w:r>
            <w:r w:rsidRPr="0010534B">
              <w:rPr>
                <w:rFonts w:ascii="Arial" w:eastAsia="SimSun" w:hAnsi="Arial" w:cs="Times"/>
                <w:i/>
                <w:iCs/>
                <w:snapToGrid/>
                <w:kern w:val="0"/>
                <w:sz w:val="16"/>
                <w:szCs w:val="16"/>
                <w:lang w:val="en-US" w:eastAsia="zh-CN"/>
              </w:rPr>
              <w:t>numberOfRepetitions</w:t>
            </w:r>
            <w:r w:rsidRPr="0010534B">
              <w:rPr>
                <w:rFonts w:eastAsia="SimSun" w:cs="Arial"/>
                <w:snapToGrid/>
                <w:kern w:val="0"/>
                <w:sz w:val="16"/>
                <w:szCs w:val="16"/>
                <w:lang w:val="en-US" w:eastAsia="zh-CN"/>
              </w:rPr>
              <w:t xml:space="preserve"> </w:t>
            </w:r>
            <w:r w:rsidRPr="0010534B">
              <w:rPr>
                <w:rFonts w:eastAsia="SimSun" w:cs="Arial"/>
                <w:snapToGrid/>
                <w:kern w:val="0"/>
                <w:sz w:val="16"/>
                <w:szCs w:val="16"/>
                <w:lang w:val="en-US"/>
              </w:rPr>
              <w:t>is configured for TDRA table corresponding to DCI format 0_2</w:t>
            </w:r>
          </w:p>
          <w:p w14:paraId="666B6E7B"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Note: These does not preclude </w:t>
            </w:r>
            <w:r w:rsidRPr="0010534B">
              <w:rPr>
                <w:rFonts w:eastAsia="SimSun" w:cs="Arial"/>
                <w:i/>
                <w:iCs/>
                <w:snapToGrid/>
                <w:kern w:val="0"/>
                <w:sz w:val="16"/>
                <w:szCs w:val="16"/>
                <w:lang w:val="en-US" w:eastAsia="zh-CN"/>
              </w:rPr>
              <w:t>pusch-AggregationFactor</w:t>
            </w:r>
            <w:r w:rsidRPr="0010534B">
              <w:rPr>
                <w:rFonts w:eastAsia="SimSun" w:cs="Arial"/>
                <w:snapToGrid/>
                <w:kern w:val="0"/>
                <w:sz w:val="16"/>
                <w:szCs w:val="16"/>
                <w:lang w:val="en-US" w:eastAsia="zh-CN"/>
              </w:rPr>
              <w:t xml:space="preserve"> can be configured and applies to DCI format 0_2</w:t>
            </w:r>
          </w:p>
          <w:p w14:paraId="2F30BF04" w14:textId="77777777" w:rsidR="0010534B" w:rsidRPr="0010534B" w:rsidRDefault="0010534B">
            <w:pPr>
              <w:rPr>
                <w:lang w:eastAsia="en-US"/>
              </w:rPr>
            </w:pPr>
          </w:p>
          <w:p w14:paraId="4A860BE2" w14:textId="7B0A3C9B" w:rsidR="0010534B" w:rsidRDefault="0010534B">
            <w:pPr>
              <w:rPr>
                <w:lang w:eastAsia="en-US"/>
              </w:rPr>
            </w:pPr>
          </w:p>
        </w:tc>
      </w:tr>
    </w:tbl>
    <w:p w14:paraId="06863164" w14:textId="77777777" w:rsidR="00291A4C" w:rsidRDefault="00291A4C">
      <w:pPr>
        <w:rPr>
          <w:lang w:eastAsia="en-US"/>
        </w:rPr>
      </w:pPr>
    </w:p>
    <w:p w14:paraId="65216C9E" w14:textId="77777777" w:rsidR="00291A4C" w:rsidRDefault="003B1AB2">
      <w:pPr>
        <w:pStyle w:val="2"/>
      </w:pPr>
      <w:r>
        <w:t>Channel access mechanism</w:t>
      </w:r>
    </w:p>
    <w:p w14:paraId="4E50D871" w14:textId="77777777" w:rsidR="00291A4C" w:rsidRDefault="00291A4C">
      <w:pPr>
        <w:rPr>
          <w:b/>
          <w:bCs/>
          <w:lang w:eastAsia="en-US"/>
        </w:rPr>
      </w:pPr>
    </w:p>
    <w:tbl>
      <w:tblPr>
        <w:tblStyle w:val="af1"/>
        <w:tblW w:w="0" w:type="auto"/>
        <w:tblLook w:val="04A0" w:firstRow="1" w:lastRow="0" w:firstColumn="1" w:lastColumn="0" w:noHBand="0" w:noVBand="1"/>
      </w:tblPr>
      <w:tblGrid>
        <w:gridCol w:w="2515"/>
        <w:gridCol w:w="6847"/>
      </w:tblGrid>
      <w:tr w:rsidR="00291A4C" w14:paraId="62EC5D2C" w14:textId="77777777">
        <w:tc>
          <w:tcPr>
            <w:tcW w:w="2515" w:type="dxa"/>
          </w:tcPr>
          <w:p w14:paraId="0E8C483C" w14:textId="77777777" w:rsidR="00291A4C" w:rsidRDefault="003B1AB2">
            <w:pPr>
              <w:rPr>
                <w:lang w:eastAsia="en-US"/>
              </w:rPr>
            </w:pPr>
            <w:r>
              <w:rPr>
                <w:lang w:eastAsia="en-US"/>
              </w:rPr>
              <w:t>Company</w:t>
            </w:r>
          </w:p>
        </w:tc>
        <w:tc>
          <w:tcPr>
            <w:tcW w:w="6847" w:type="dxa"/>
          </w:tcPr>
          <w:p w14:paraId="36BBEFD4" w14:textId="77777777" w:rsidR="00291A4C" w:rsidRDefault="003B1AB2">
            <w:pPr>
              <w:rPr>
                <w:lang w:eastAsia="en-US"/>
              </w:rPr>
            </w:pPr>
            <w:r>
              <w:rPr>
                <w:lang w:eastAsia="en-US"/>
              </w:rPr>
              <w:t>View</w:t>
            </w:r>
          </w:p>
        </w:tc>
      </w:tr>
      <w:tr w:rsidR="00291A4C" w14:paraId="0AF914EB" w14:textId="77777777">
        <w:tc>
          <w:tcPr>
            <w:tcW w:w="2515" w:type="dxa"/>
          </w:tcPr>
          <w:p w14:paraId="20BF53ED" w14:textId="0A0CC9D1" w:rsidR="00291A4C" w:rsidRDefault="00D774C6" w:rsidP="00B26EFE">
            <w:pPr>
              <w:jc w:val="left"/>
              <w:rPr>
                <w:rFonts w:eastAsia="MS Mincho"/>
                <w:lang w:eastAsia="ja-JP"/>
              </w:rPr>
            </w:pPr>
            <w:r>
              <w:rPr>
                <w:rFonts w:eastAsia="MS Mincho"/>
                <w:lang w:eastAsia="ja-JP"/>
              </w:rPr>
              <w:t>Qualcomm</w:t>
            </w:r>
          </w:p>
        </w:tc>
        <w:tc>
          <w:tcPr>
            <w:tcW w:w="6847" w:type="dxa"/>
          </w:tcPr>
          <w:p w14:paraId="6310D61E" w14:textId="77777777" w:rsidR="002C2A9D" w:rsidRDefault="00D774C6" w:rsidP="00B26EFE">
            <w:pPr>
              <w:jc w:val="left"/>
              <w:rPr>
                <w:rFonts w:eastAsia="MS Mincho"/>
                <w:lang w:eastAsia="ja-JP"/>
              </w:rPr>
            </w:pPr>
            <w:r>
              <w:rPr>
                <w:rFonts w:eastAsia="MS Mincho"/>
                <w:lang w:eastAsia="ja-JP"/>
              </w:rPr>
              <w:t>Given the following agreement:</w:t>
            </w:r>
          </w:p>
          <w:p w14:paraId="795CE01F" w14:textId="77777777" w:rsidR="00AD17DD" w:rsidRDefault="00AD17DD" w:rsidP="00AD17DD">
            <w:pPr>
              <w:rPr>
                <w:rFonts w:cs="Times"/>
                <w:b/>
                <w:bCs/>
                <w:szCs w:val="20"/>
                <w:lang w:eastAsia="x-none"/>
              </w:rPr>
            </w:pPr>
            <w:r>
              <w:rPr>
                <w:rFonts w:cs="Times"/>
                <w:b/>
                <w:bCs/>
                <w:szCs w:val="20"/>
                <w:highlight w:val="green"/>
                <w:lang w:eastAsia="x-none"/>
              </w:rPr>
              <w:t>Agreement</w:t>
            </w:r>
          </w:p>
          <w:p w14:paraId="7B0EEE02" w14:textId="77777777" w:rsidR="00AD17DD" w:rsidRDefault="00AD17DD" w:rsidP="00AD17DD">
            <w:pPr>
              <w:rPr>
                <w:rFonts w:cs="Times"/>
                <w:szCs w:val="20"/>
                <w:lang w:eastAsia="x-none"/>
              </w:rPr>
            </w:pPr>
            <w:r>
              <w:rPr>
                <w:rFonts w:cs="Times"/>
                <w:szCs w:val="20"/>
                <w:lang w:eastAsia="x-none"/>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0F625DA7" w14:textId="467E19D8" w:rsidR="00D774C6" w:rsidRDefault="00D774C6" w:rsidP="00B26EFE">
            <w:pPr>
              <w:jc w:val="left"/>
              <w:rPr>
                <w:rFonts w:eastAsia="MS Mincho"/>
                <w:lang w:eastAsia="ja-JP"/>
              </w:rPr>
            </w:pPr>
          </w:p>
          <w:p w14:paraId="670376FF" w14:textId="4A38618F" w:rsidR="00AD17DD" w:rsidRDefault="00AD17DD" w:rsidP="00FE473B">
            <w:pPr>
              <w:jc w:val="left"/>
              <w:rPr>
                <w:rFonts w:eastAsia="MS Mincho"/>
                <w:lang w:eastAsia="ja-JP"/>
              </w:rPr>
            </w:pPr>
            <w:r>
              <w:rPr>
                <w:rFonts w:eastAsia="MS Mincho"/>
                <w:lang w:eastAsia="ja-JP"/>
              </w:rPr>
              <w:t>For existing IE</w:t>
            </w:r>
            <w:r w:rsidR="00FE473B">
              <w:rPr>
                <w:rFonts w:eastAsia="MS Mincho"/>
                <w:lang w:eastAsia="ja-JP"/>
              </w:rPr>
              <w:t xml:space="preserve"> </w:t>
            </w:r>
            <w:r w:rsidR="00FE473B">
              <w:rPr>
                <w:sz w:val="16"/>
                <w:szCs w:val="16"/>
              </w:rPr>
              <w:t>UL-AccessConfigListDCI-0-1-r16 and UL-AccessConfigListDCI-1-1-r16, we</w:t>
            </w:r>
            <w:r>
              <w:rPr>
                <w:rFonts w:eastAsia="MS Mincho"/>
                <w:lang w:eastAsia="ja-JP"/>
              </w:rPr>
              <w:t xml:space="preserve"> will need to change the range</w:t>
            </w:r>
            <w:r w:rsidR="00FE473B">
              <w:rPr>
                <w:rFonts w:eastAsia="MS Mincho"/>
                <w:lang w:eastAsia="ja-JP"/>
              </w:rPr>
              <w:t xml:space="preserve"> for them to </w:t>
            </w:r>
            <w:r w:rsidR="002B7864">
              <w:rPr>
                <w:color w:val="993265"/>
                <w:sz w:val="16"/>
                <w:szCs w:val="16"/>
              </w:rPr>
              <w:t xml:space="preserve">SEQUENCE </w:t>
            </w:r>
            <w:r w:rsidR="002B7864">
              <w:rPr>
                <w:sz w:val="16"/>
                <w:szCs w:val="16"/>
              </w:rPr>
              <w:t>(</w:t>
            </w:r>
            <w:r w:rsidR="002B7864">
              <w:rPr>
                <w:color w:val="993265"/>
                <w:sz w:val="16"/>
                <w:szCs w:val="16"/>
              </w:rPr>
              <w:t xml:space="preserve">SIZE </w:t>
            </w:r>
            <w:r w:rsidR="002B7864">
              <w:rPr>
                <w:sz w:val="16"/>
                <w:szCs w:val="16"/>
              </w:rPr>
              <w:t xml:space="preserve">(1..3)) </w:t>
            </w:r>
            <w:r w:rsidR="002B7864">
              <w:rPr>
                <w:color w:val="993265"/>
                <w:sz w:val="16"/>
                <w:szCs w:val="16"/>
              </w:rPr>
              <w:t xml:space="preserve">OF INTEGER </w:t>
            </w:r>
            <w:r w:rsidR="002B7864">
              <w:rPr>
                <w:sz w:val="16"/>
                <w:szCs w:val="16"/>
              </w:rPr>
              <w:t>(0..2)</w:t>
            </w:r>
          </w:p>
        </w:tc>
      </w:tr>
      <w:tr w:rsidR="00A349D4" w14:paraId="718C781B" w14:textId="77777777">
        <w:tc>
          <w:tcPr>
            <w:tcW w:w="2515" w:type="dxa"/>
          </w:tcPr>
          <w:p w14:paraId="548BC118" w14:textId="73B9994D" w:rsidR="00A349D4" w:rsidRDefault="00A349D4" w:rsidP="00A349D4">
            <w:pPr>
              <w:jc w:val="left"/>
              <w:rPr>
                <w:rFonts w:eastAsia="MS Mincho"/>
                <w:lang w:eastAsia="ja-JP"/>
              </w:rPr>
            </w:pPr>
            <w:r>
              <w:rPr>
                <w:rFonts w:eastAsia="MS Mincho" w:hint="eastAsia"/>
                <w:lang w:eastAsia="ja-JP"/>
              </w:rPr>
              <w:t>DOCOMO</w:t>
            </w:r>
          </w:p>
        </w:tc>
        <w:tc>
          <w:tcPr>
            <w:tcW w:w="6847" w:type="dxa"/>
          </w:tcPr>
          <w:p w14:paraId="107B9EEC" w14:textId="05DFF17A" w:rsidR="00A349D4" w:rsidRDefault="00A349D4" w:rsidP="00A349D4">
            <w:pPr>
              <w:jc w:val="left"/>
              <w:rPr>
                <w:rFonts w:eastAsia="MS Mincho"/>
                <w:lang w:eastAsia="ja-JP"/>
              </w:rPr>
            </w:pPr>
            <w:r>
              <w:rPr>
                <w:rFonts w:eastAsia="MS Mincho"/>
                <w:lang w:eastAsia="ja-JP"/>
              </w:rPr>
              <w:t xml:space="preserve">We agree with Qualcomm. Maybe IE </w:t>
            </w:r>
            <w:r>
              <w:rPr>
                <w:sz w:val="16"/>
                <w:szCs w:val="16"/>
              </w:rPr>
              <w:t>UL-AccessConfigListDCI-0-1-r1</w:t>
            </w:r>
            <w:r w:rsidRPr="00911D3B">
              <w:rPr>
                <w:color w:val="FF0000"/>
                <w:sz w:val="16"/>
                <w:szCs w:val="16"/>
              </w:rPr>
              <w:t>7</w:t>
            </w:r>
            <w:r>
              <w:rPr>
                <w:sz w:val="16"/>
                <w:szCs w:val="16"/>
              </w:rPr>
              <w:t xml:space="preserve"> and UL-AccessConfigListDCI-1-1-r1</w:t>
            </w:r>
            <w:r w:rsidRPr="00911D3B">
              <w:rPr>
                <w:color w:val="FF0000"/>
                <w:sz w:val="16"/>
                <w:szCs w:val="16"/>
              </w:rPr>
              <w:t>7</w:t>
            </w:r>
            <w:r>
              <w:rPr>
                <w:sz w:val="16"/>
                <w:szCs w:val="16"/>
              </w:rPr>
              <w:t xml:space="preserve"> </w:t>
            </w:r>
            <w:r>
              <w:rPr>
                <w:rFonts w:eastAsia="MS Mincho"/>
                <w:lang w:eastAsia="ja-JP"/>
              </w:rPr>
              <w:t xml:space="preserve">can be define with </w:t>
            </w:r>
            <w:r>
              <w:rPr>
                <w:color w:val="993265"/>
                <w:sz w:val="16"/>
                <w:szCs w:val="16"/>
              </w:rPr>
              <w:t xml:space="preserve">SEQUENCE </w:t>
            </w:r>
            <w:r>
              <w:rPr>
                <w:sz w:val="16"/>
                <w:szCs w:val="16"/>
              </w:rPr>
              <w:t>(</w:t>
            </w:r>
            <w:r>
              <w:rPr>
                <w:color w:val="993265"/>
                <w:sz w:val="16"/>
                <w:szCs w:val="16"/>
              </w:rPr>
              <w:t xml:space="preserve">SIZE </w:t>
            </w:r>
            <w:r>
              <w:rPr>
                <w:sz w:val="16"/>
                <w:szCs w:val="16"/>
              </w:rPr>
              <w:t xml:space="preserve">(1..3)) </w:t>
            </w:r>
            <w:r>
              <w:rPr>
                <w:color w:val="993265"/>
                <w:sz w:val="16"/>
                <w:szCs w:val="16"/>
              </w:rPr>
              <w:t xml:space="preserve">OF INTEGER </w:t>
            </w:r>
            <w:r>
              <w:rPr>
                <w:sz w:val="16"/>
                <w:szCs w:val="16"/>
              </w:rPr>
              <w:t>(0..2)</w:t>
            </w:r>
            <w:r>
              <w:rPr>
                <w:rFonts w:eastAsia="MS Mincho"/>
                <w:lang w:eastAsia="ja-JP"/>
              </w:rPr>
              <w:t>,</w:t>
            </w:r>
            <w:r>
              <w:rPr>
                <w:rFonts w:eastAsia="MS Mincho"/>
                <w:lang w:eastAsia="ja-JP"/>
              </w:rPr>
              <w:lastRenderedPageBreak/>
              <w:t xml:space="preserve"> which we also believe is up to RAN2. </w:t>
            </w:r>
          </w:p>
        </w:tc>
      </w:tr>
      <w:tr w:rsidR="0010534B" w14:paraId="6F46EE60" w14:textId="77777777">
        <w:tc>
          <w:tcPr>
            <w:tcW w:w="2515" w:type="dxa"/>
          </w:tcPr>
          <w:p w14:paraId="2BF103C5" w14:textId="0F33C214" w:rsidR="0010534B" w:rsidRPr="0010534B" w:rsidRDefault="0010534B" w:rsidP="00A349D4">
            <w:pPr>
              <w:jc w:val="left"/>
              <w:rPr>
                <w:rFonts w:eastAsia="맑은 고딕" w:hint="eastAsia"/>
              </w:rPr>
            </w:pPr>
            <w:r>
              <w:rPr>
                <w:rFonts w:eastAsia="맑은 고딕" w:hint="eastAsia"/>
              </w:rPr>
              <w:lastRenderedPageBreak/>
              <w:t>LG Electronics</w:t>
            </w:r>
          </w:p>
        </w:tc>
        <w:tc>
          <w:tcPr>
            <w:tcW w:w="6847" w:type="dxa"/>
          </w:tcPr>
          <w:p w14:paraId="2AF9FDC2" w14:textId="26AEC193" w:rsidR="0010534B" w:rsidRDefault="0010534B" w:rsidP="00A349D4">
            <w:pPr>
              <w:jc w:val="left"/>
              <w:rPr>
                <w:rFonts w:eastAsia="맑은 고딕"/>
              </w:rPr>
            </w:pPr>
            <w:r>
              <w:rPr>
                <w:rFonts w:eastAsia="맑은 고딕" w:hint="eastAsia"/>
              </w:rPr>
              <w:t>The following agreement needs to be reflected.</w:t>
            </w:r>
          </w:p>
          <w:p w14:paraId="5388C4D5" w14:textId="77777777" w:rsidR="0010534B" w:rsidRDefault="0010534B" w:rsidP="00A349D4">
            <w:pPr>
              <w:jc w:val="left"/>
              <w:rPr>
                <w:rFonts w:eastAsia="맑은 고딕"/>
              </w:rPr>
            </w:pPr>
          </w:p>
          <w:p w14:paraId="40F3F28D" w14:textId="77777777" w:rsidR="0010534B" w:rsidRPr="002869AD" w:rsidRDefault="0010534B" w:rsidP="0010534B">
            <w:pPr>
              <w:rPr>
                <w:b/>
                <w:bCs/>
                <w:szCs w:val="20"/>
                <w:highlight w:val="green"/>
                <w:lang w:eastAsia="x-none"/>
              </w:rPr>
            </w:pPr>
            <w:r w:rsidRPr="002869AD">
              <w:rPr>
                <w:b/>
                <w:bCs/>
                <w:szCs w:val="20"/>
                <w:highlight w:val="green"/>
                <w:lang w:eastAsia="x-none"/>
              </w:rPr>
              <w:t>Agreement</w:t>
            </w:r>
          </w:p>
          <w:p w14:paraId="69ACD686" w14:textId="77777777" w:rsidR="0010534B" w:rsidRPr="002869AD" w:rsidRDefault="0010534B" w:rsidP="0010534B">
            <w:pPr>
              <w:rPr>
                <w:szCs w:val="20"/>
              </w:rPr>
            </w:pPr>
            <w:r w:rsidRPr="002869AD">
              <w:rPr>
                <w:szCs w:val="20"/>
              </w:rPr>
              <w:t>For CG-PUSCH to DL COT sharing, extend the duration and offset range to {1, …, 319}.</w:t>
            </w:r>
          </w:p>
          <w:p w14:paraId="582A713C" w14:textId="7950C748" w:rsidR="0010534B" w:rsidRPr="0010534B" w:rsidRDefault="0010534B" w:rsidP="00A349D4">
            <w:pPr>
              <w:jc w:val="left"/>
              <w:rPr>
                <w:rFonts w:eastAsia="맑은 고딕" w:hint="eastAsia"/>
              </w:rPr>
            </w:pPr>
          </w:p>
        </w:tc>
      </w:tr>
    </w:tbl>
    <w:p w14:paraId="10A42DA7" w14:textId="77777777" w:rsidR="00291A4C" w:rsidRDefault="00291A4C">
      <w:pPr>
        <w:rPr>
          <w:lang w:eastAsia="en-US"/>
        </w:rPr>
      </w:pPr>
    </w:p>
    <w:p w14:paraId="05780E94" w14:textId="77777777" w:rsidR="00291A4C" w:rsidRDefault="00291A4C">
      <w:pPr>
        <w:rPr>
          <w:lang w:eastAsia="en-US"/>
        </w:rPr>
      </w:pPr>
    </w:p>
    <w:p w14:paraId="69D3EC00" w14:textId="77777777" w:rsidR="00291A4C" w:rsidRDefault="003B1AB2">
      <w:pPr>
        <w:pStyle w:val="2"/>
      </w:pPr>
      <w:r>
        <w:t>Others</w:t>
      </w:r>
    </w:p>
    <w:p w14:paraId="0211AA99" w14:textId="77777777" w:rsidR="00291A4C" w:rsidRDefault="00291A4C">
      <w:pPr>
        <w:rPr>
          <w:b/>
          <w:bCs/>
          <w:lang w:eastAsia="en-US"/>
        </w:rPr>
      </w:pPr>
    </w:p>
    <w:tbl>
      <w:tblPr>
        <w:tblStyle w:val="af1"/>
        <w:tblW w:w="0" w:type="auto"/>
        <w:tblLook w:val="04A0" w:firstRow="1" w:lastRow="0" w:firstColumn="1" w:lastColumn="0" w:noHBand="0" w:noVBand="1"/>
      </w:tblPr>
      <w:tblGrid>
        <w:gridCol w:w="2515"/>
        <w:gridCol w:w="6847"/>
      </w:tblGrid>
      <w:tr w:rsidR="00291A4C" w14:paraId="435D000B" w14:textId="77777777">
        <w:tc>
          <w:tcPr>
            <w:tcW w:w="2515" w:type="dxa"/>
          </w:tcPr>
          <w:p w14:paraId="7ACA66F3" w14:textId="77777777" w:rsidR="00291A4C" w:rsidRDefault="003B1AB2">
            <w:pPr>
              <w:rPr>
                <w:lang w:eastAsia="en-US"/>
              </w:rPr>
            </w:pPr>
            <w:r>
              <w:rPr>
                <w:lang w:eastAsia="en-US"/>
              </w:rPr>
              <w:t>Company</w:t>
            </w:r>
          </w:p>
        </w:tc>
        <w:tc>
          <w:tcPr>
            <w:tcW w:w="6847" w:type="dxa"/>
          </w:tcPr>
          <w:p w14:paraId="41DC8166" w14:textId="77777777" w:rsidR="00291A4C" w:rsidRDefault="003B1AB2">
            <w:pPr>
              <w:rPr>
                <w:lang w:eastAsia="en-US"/>
              </w:rPr>
            </w:pPr>
            <w:r>
              <w:rPr>
                <w:lang w:eastAsia="en-US"/>
              </w:rPr>
              <w:t>View</w:t>
            </w:r>
          </w:p>
        </w:tc>
      </w:tr>
      <w:tr w:rsidR="00291A4C" w14:paraId="7B40C37A" w14:textId="77777777">
        <w:tc>
          <w:tcPr>
            <w:tcW w:w="2515" w:type="dxa"/>
          </w:tcPr>
          <w:p w14:paraId="61D7859A" w14:textId="46F4E7F9" w:rsidR="00291A4C" w:rsidRDefault="00291A4C"/>
        </w:tc>
        <w:tc>
          <w:tcPr>
            <w:tcW w:w="6847" w:type="dxa"/>
          </w:tcPr>
          <w:p w14:paraId="242D5C75" w14:textId="16BC3333" w:rsidR="005B43B2" w:rsidRDefault="005B43B2"/>
        </w:tc>
      </w:tr>
      <w:tr w:rsidR="00291A4C" w14:paraId="33F775DD" w14:textId="77777777">
        <w:tc>
          <w:tcPr>
            <w:tcW w:w="2515" w:type="dxa"/>
          </w:tcPr>
          <w:p w14:paraId="7E980A64" w14:textId="77777777" w:rsidR="00291A4C" w:rsidRDefault="00291A4C">
            <w:pPr>
              <w:rPr>
                <w:lang w:eastAsia="en-US"/>
              </w:rPr>
            </w:pPr>
          </w:p>
        </w:tc>
        <w:tc>
          <w:tcPr>
            <w:tcW w:w="6847" w:type="dxa"/>
          </w:tcPr>
          <w:p w14:paraId="29D38DE6" w14:textId="77777777" w:rsidR="00291A4C" w:rsidRDefault="00291A4C">
            <w:pPr>
              <w:rPr>
                <w:lang w:eastAsia="en-US"/>
              </w:rPr>
            </w:pPr>
          </w:p>
        </w:tc>
      </w:tr>
    </w:tbl>
    <w:p w14:paraId="377179CD" w14:textId="77777777" w:rsidR="00291A4C" w:rsidRDefault="00291A4C">
      <w:pPr>
        <w:rPr>
          <w:lang w:eastAsia="en-US"/>
        </w:rPr>
      </w:pPr>
    </w:p>
    <w:sectPr w:rsidR="00291A4C">
      <w:headerReference w:type="even" r:id="rId13"/>
      <w:headerReference w:type="default" r:id="rId14"/>
      <w:footerReference w:type="even" r:id="rId15"/>
      <w:footerReference w:type="default" r:id="rId16"/>
      <w:headerReference w:type="first" r:id="rId17"/>
      <w:footerReference w:type="firs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8160E" w14:textId="77777777" w:rsidR="006715ED" w:rsidRDefault="006715ED">
      <w:pPr>
        <w:spacing w:after="0" w:line="240" w:lineRule="auto"/>
      </w:pPr>
      <w:r>
        <w:separator/>
      </w:r>
    </w:p>
  </w:endnote>
  <w:endnote w:type="continuationSeparator" w:id="0">
    <w:p w14:paraId="38C785D4" w14:textId="77777777" w:rsidR="006715ED" w:rsidRDefault="006715ED">
      <w:pPr>
        <w:spacing w:after="0" w:line="240" w:lineRule="auto"/>
      </w:pPr>
      <w:r>
        <w:continuationSeparator/>
      </w:r>
    </w:p>
  </w:endnote>
  <w:endnote w:type="continuationNotice" w:id="1">
    <w:p w14:paraId="33905A2F" w14:textId="77777777" w:rsidR="006715ED" w:rsidRDefault="00671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modern"/>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4AD9" w14:textId="77777777" w:rsidR="00291A4C" w:rsidRDefault="003B1AB2">
    <w:pPr>
      <w:pStyle w:val="ab"/>
      <w:rPr>
        <w:rStyle w:val="af3"/>
      </w:rPr>
    </w:pPr>
    <w:r>
      <w:rPr>
        <w:rStyle w:val="af3"/>
      </w:rPr>
      <w:fldChar w:fldCharType="begin"/>
    </w:r>
    <w:r>
      <w:rPr>
        <w:rStyle w:val="af3"/>
      </w:rPr>
      <w:instrText xml:space="preserve">PAGE  </w:instrText>
    </w:r>
    <w:r>
      <w:rPr>
        <w:rStyle w:val="af3"/>
      </w:rPr>
      <w:fldChar w:fldCharType="end"/>
    </w:r>
  </w:p>
  <w:p w14:paraId="398A4B76" w14:textId="77777777" w:rsidR="00291A4C" w:rsidRDefault="00291A4C">
    <w:pPr>
      <w:pStyle w:val="ab"/>
    </w:pPr>
  </w:p>
  <w:p w14:paraId="097DC589" w14:textId="77777777" w:rsidR="00291A4C" w:rsidRDefault="00291A4C"/>
  <w:p w14:paraId="390FE02D" w14:textId="77777777" w:rsidR="00291A4C" w:rsidRDefault="00291A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17442" w14:textId="0803A2CA" w:rsidR="00291A4C" w:rsidRDefault="003B1AB2">
    <w:pPr>
      <w:pStyle w:val="ab"/>
      <w:rPr>
        <w:rStyle w:val="af3"/>
      </w:rPr>
    </w:pPr>
    <w:r>
      <w:rPr>
        <w:rStyle w:val="af3"/>
      </w:rPr>
      <w:fldChar w:fldCharType="begin"/>
    </w:r>
    <w:r>
      <w:rPr>
        <w:rStyle w:val="af3"/>
      </w:rPr>
      <w:instrText xml:space="preserve">PAGE  </w:instrText>
    </w:r>
    <w:r>
      <w:rPr>
        <w:rStyle w:val="af3"/>
      </w:rPr>
      <w:fldChar w:fldCharType="separate"/>
    </w:r>
    <w:r w:rsidR="0010534B">
      <w:rPr>
        <w:rStyle w:val="af3"/>
        <w:noProof/>
      </w:rPr>
      <w:t>1</w:t>
    </w:r>
    <w:r>
      <w:rPr>
        <w:rStyle w:val="af3"/>
      </w:rPr>
      <w:fldChar w:fldCharType="end"/>
    </w:r>
  </w:p>
  <w:p w14:paraId="0445C6C5" w14:textId="77777777" w:rsidR="00291A4C" w:rsidRDefault="00291A4C">
    <w:pPr>
      <w:pStyle w:val="ab"/>
    </w:pPr>
  </w:p>
  <w:p w14:paraId="03E72F4A" w14:textId="77777777" w:rsidR="00291A4C" w:rsidRDefault="00291A4C"/>
  <w:p w14:paraId="570DE2D0" w14:textId="77777777" w:rsidR="00291A4C" w:rsidRDefault="00291A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4C90" w14:textId="77777777" w:rsidR="00C83973" w:rsidRDefault="00C839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62EDB" w14:textId="77777777" w:rsidR="006715ED" w:rsidRDefault="006715ED">
      <w:pPr>
        <w:spacing w:after="0" w:line="240" w:lineRule="auto"/>
      </w:pPr>
      <w:r>
        <w:separator/>
      </w:r>
    </w:p>
  </w:footnote>
  <w:footnote w:type="continuationSeparator" w:id="0">
    <w:p w14:paraId="6B1ECEFD" w14:textId="77777777" w:rsidR="006715ED" w:rsidRDefault="006715ED">
      <w:pPr>
        <w:spacing w:after="0" w:line="240" w:lineRule="auto"/>
      </w:pPr>
      <w:r>
        <w:continuationSeparator/>
      </w:r>
    </w:p>
  </w:footnote>
  <w:footnote w:type="continuationNotice" w:id="1">
    <w:p w14:paraId="11B2626A" w14:textId="77777777" w:rsidR="006715ED" w:rsidRDefault="006715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45B7" w14:textId="77777777" w:rsidR="00C83973" w:rsidRDefault="00C8397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B87AD" w14:textId="77777777" w:rsidR="00C83973" w:rsidRDefault="00C8397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E40F1" w14:textId="77777777" w:rsidR="00C83973" w:rsidRDefault="00C8397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58A620CD"/>
    <w:multiLevelType w:val="multilevel"/>
    <w:tmpl w:val="58A620CD"/>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3"/>
  </w:num>
  <w:num w:numId="3">
    <w:abstractNumId w:val="21"/>
  </w:num>
  <w:num w:numId="4">
    <w:abstractNumId w:val="0"/>
  </w:num>
  <w:num w:numId="5">
    <w:abstractNumId w:val="7"/>
  </w:num>
  <w:num w:numId="6">
    <w:abstractNumId w:val="20"/>
  </w:num>
  <w:num w:numId="7">
    <w:abstractNumId w:val="6"/>
  </w:num>
  <w:num w:numId="8">
    <w:abstractNumId w:val="14"/>
  </w:num>
  <w:num w:numId="9">
    <w:abstractNumId w:val="8"/>
  </w:num>
  <w:num w:numId="10">
    <w:abstractNumId w:val="15"/>
  </w:num>
  <w:num w:numId="11">
    <w:abstractNumId w:val="16"/>
  </w:num>
  <w:num w:numId="12">
    <w:abstractNumId w:val="11"/>
  </w:num>
  <w:num w:numId="13">
    <w:abstractNumId w:val="2"/>
  </w:num>
  <w:num w:numId="14">
    <w:abstractNumId w:val="17"/>
  </w:num>
  <w:num w:numId="15">
    <w:abstractNumId w:val="18"/>
  </w:num>
  <w:num w:numId="16">
    <w:abstractNumId w:val="9"/>
  </w:num>
  <w:num w:numId="17">
    <w:abstractNumId w:val="19"/>
  </w:num>
  <w:num w:numId="18">
    <w:abstractNumId w:val="1"/>
  </w:num>
  <w:num w:numId="19">
    <w:abstractNumId w:val="10"/>
  </w:num>
  <w:num w:numId="20">
    <w:abstractNumId w:val="5"/>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844"/>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6FAC"/>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62A"/>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26F"/>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67A"/>
    <w:rsid w:val="000C279E"/>
    <w:rsid w:val="000C2BA0"/>
    <w:rsid w:val="000C2E60"/>
    <w:rsid w:val="000C3048"/>
    <w:rsid w:val="000C306E"/>
    <w:rsid w:val="000C307C"/>
    <w:rsid w:val="000C310E"/>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AE"/>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4B"/>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062"/>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BF0"/>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7BC"/>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431"/>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DC4"/>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A27"/>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88D"/>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01D"/>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A4C"/>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64"/>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A9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DAB"/>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E6E"/>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D7FF6"/>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A37"/>
    <w:rsid w:val="003011D6"/>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4B"/>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CC2"/>
    <w:rsid w:val="00330DE6"/>
    <w:rsid w:val="00331039"/>
    <w:rsid w:val="00331406"/>
    <w:rsid w:val="00331520"/>
    <w:rsid w:val="00331672"/>
    <w:rsid w:val="00331D48"/>
    <w:rsid w:val="00331D9C"/>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206"/>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B2"/>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9EF"/>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9A"/>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37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A96"/>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CC7"/>
    <w:rsid w:val="00457E73"/>
    <w:rsid w:val="0046005F"/>
    <w:rsid w:val="004602E1"/>
    <w:rsid w:val="004609B4"/>
    <w:rsid w:val="00460AFC"/>
    <w:rsid w:val="00460B10"/>
    <w:rsid w:val="00460D49"/>
    <w:rsid w:val="00460D8F"/>
    <w:rsid w:val="00460D99"/>
    <w:rsid w:val="00460EF6"/>
    <w:rsid w:val="00461093"/>
    <w:rsid w:val="0046121A"/>
    <w:rsid w:val="00461513"/>
    <w:rsid w:val="004617B8"/>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D0"/>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27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63A"/>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B9A"/>
    <w:rsid w:val="004B6DB8"/>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602"/>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5F0"/>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3B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8D6"/>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5ED"/>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42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3F"/>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5A6"/>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21E"/>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38"/>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F1F"/>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AE0"/>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5E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B"/>
    <w:rsid w:val="00960F3C"/>
    <w:rsid w:val="009611F2"/>
    <w:rsid w:val="00961341"/>
    <w:rsid w:val="00961477"/>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916"/>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6C8"/>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4"/>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D"/>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3D6"/>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EFE"/>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79D"/>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0C44"/>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6FE7"/>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E7CF0"/>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5DE"/>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CF6"/>
    <w:rsid w:val="00C23E2B"/>
    <w:rsid w:val="00C23F38"/>
    <w:rsid w:val="00C24018"/>
    <w:rsid w:val="00C24083"/>
    <w:rsid w:val="00C242C9"/>
    <w:rsid w:val="00C2437D"/>
    <w:rsid w:val="00C24399"/>
    <w:rsid w:val="00C245BF"/>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9A"/>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973"/>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EA6"/>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A9E"/>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DB0"/>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180"/>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20"/>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A2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4C6"/>
    <w:rsid w:val="00D778FD"/>
    <w:rsid w:val="00D77CE2"/>
    <w:rsid w:val="00D8012C"/>
    <w:rsid w:val="00D802D3"/>
    <w:rsid w:val="00D804DC"/>
    <w:rsid w:val="00D804E7"/>
    <w:rsid w:val="00D8068A"/>
    <w:rsid w:val="00D808FD"/>
    <w:rsid w:val="00D80B41"/>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12"/>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1F"/>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96"/>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3F7"/>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6F"/>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0E7D"/>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BEE"/>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08"/>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688"/>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358"/>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7D6"/>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14"/>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5D72"/>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3E"/>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14E"/>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73B"/>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2BF3E80"/>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53F1D"/>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40A548"/>
  <w15:docId w15:val="{5F6EFC12-9515-411E-B6B9-92B3220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바탕"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3">
    <w:name w:val="List Bullet 3"/>
    <w:basedOn w:val="a1"/>
    <w:semiHidden/>
    <w:unhideWhenUsed/>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1">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rPr>
      <w:rFonts w:ascii="바탕" w:eastAsia="바탕"/>
      <w:kern w:val="2"/>
      <w:szCs w:val="24"/>
      <w:lang w:eastAsia="ko-KR"/>
    </w:rPr>
  </w:style>
  <w:style w:type="paragraph" w:styleId="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 w:type="paragraph" w:customStyle="1" w:styleId="References">
    <w:name w:val="References"/>
    <w:basedOn w:val="a1"/>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a2"/>
    <w:uiPriority w:val="99"/>
    <w:unhideWhenUsed/>
    <w:qFormat/>
    <w:rPr>
      <w:color w:val="2B579A"/>
      <w:shd w:val="clear" w:color="auto" w:fill="E1DFDD"/>
    </w:rPr>
  </w:style>
  <w:style w:type="character" w:customStyle="1" w:styleId="TALCar">
    <w:name w:val="TAL Car"/>
    <w:link w:val="TAL"/>
    <w:qFormat/>
    <w:rsid w:val="00312C4B"/>
    <w:rPr>
      <w:rFonts w:ascii="Arial" w:eastAsia="MS Mincho" w:hAnsi="Arial"/>
      <w:snapToGrid w:val="0"/>
      <w:sz w:val="18"/>
      <w:lang w:val="en-GB"/>
    </w:rPr>
  </w:style>
  <w:style w:type="paragraph" w:styleId="20">
    <w:name w:val="List Bullet 2"/>
    <w:basedOn w:val="a0"/>
    <w:qFormat/>
    <w:rsid w:val="007B5AE0"/>
    <w:pPr>
      <w:widowControl/>
      <w:numPr>
        <w:numId w:val="20"/>
      </w:numPr>
      <w:tabs>
        <w:tab w:val="clear" w:pos="0"/>
      </w:tabs>
      <w:kinsoku/>
      <w:overflowPunct/>
      <w:adjustRightInd/>
      <w:spacing w:after="120"/>
      <w:ind w:firstLineChars="0" w:firstLine="0"/>
      <w:textAlignment w:val="auto"/>
    </w:pPr>
    <w:rPr>
      <w:rFonts w:ascii="Arial" w:eastAsiaTheme="minorHAnsi" w:hAnsi="Arial" w:cstheme="minorBidi"/>
      <w:snapToGrid/>
      <w:kern w:val="0"/>
      <w:szCs w:val="22"/>
      <w:lang w:val="en-US"/>
    </w:rPr>
  </w:style>
  <w:style w:type="character" w:customStyle="1" w:styleId="UnresolvedMention">
    <w:name w:val="Unresolved Mention"/>
    <w:basedOn w:val="a2"/>
    <w:uiPriority w:val="99"/>
    <w:unhideWhenUsed/>
    <w:rsid w:val="004B6B9A"/>
    <w:rPr>
      <w:color w:val="605E5C"/>
      <w:shd w:val="clear" w:color="auto" w:fill="E1DFDD"/>
    </w:rPr>
  </w:style>
  <w:style w:type="character" w:customStyle="1" w:styleId="Mention">
    <w:name w:val="Mention"/>
    <w:basedOn w:val="a2"/>
    <w:uiPriority w:val="99"/>
    <w:unhideWhenUsed/>
    <w:rsid w:val="004B6B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404">
      <w:bodyDiv w:val="1"/>
      <w:marLeft w:val="0"/>
      <w:marRight w:val="0"/>
      <w:marTop w:val="0"/>
      <w:marBottom w:val="0"/>
      <w:divBdr>
        <w:top w:val="none" w:sz="0" w:space="0" w:color="auto"/>
        <w:left w:val="none" w:sz="0" w:space="0" w:color="auto"/>
        <w:bottom w:val="none" w:sz="0" w:space="0" w:color="auto"/>
        <w:right w:val="none" w:sz="0" w:space="0" w:color="auto"/>
      </w:divBdr>
    </w:div>
    <w:div w:id="950866527">
      <w:bodyDiv w:val="1"/>
      <w:marLeft w:val="0"/>
      <w:marRight w:val="0"/>
      <w:marTop w:val="0"/>
      <w:marBottom w:val="0"/>
      <w:divBdr>
        <w:top w:val="none" w:sz="0" w:space="0" w:color="auto"/>
        <w:left w:val="none" w:sz="0" w:space="0" w:color="auto"/>
        <w:bottom w:val="none" w:sz="0" w:space="0" w:color="auto"/>
        <w:right w:val="none" w:sz="0" w:space="0" w:color="auto"/>
      </w:divBdr>
    </w:div>
    <w:div w:id="1025639597">
      <w:bodyDiv w:val="1"/>
      <w:marLeft w:val="0"/>
      <w:marRight w:val="0"/>
      <w:marTop w:val="0"/>
      <w:marBottom w:val="0"/>
      <w:divBdr>
        <w:top w:val="none" w:sz="0" w:space="0" w:color="auto"/>
        <w:left w:val="none" w:sz="0" w:space="0" w:color="auto"/>
        <w:bottom w:val="none" w:sz="0" w:space="0" w:color="auto"/>
        <w:right w:val="none" w:sz="0" w:space="0" w:color="auto"/>
      </w:divBdr>
    </w:div>
    <w:div w:id="1112936802">
      <w:bodyDiv w:val="1"/>
      <w:marLeft w:val="0"/>
      <w:marRight w:val="0"/>
      <w:marTop w:val="0"/>
      <w:marBottom w:val="0"/>
      <w:divBdr>
        <w:top w:val="none" w:sz="0" w:space="0" w:color="auto"/>
        <w:left w:val="none" w:sz="0" w:space="0" w:color="auto"/>
        <w:bottom w:val="none" w:sz="0" w:space="0" w:color="auto"/>
        <w:right w:val="none" w:sz="0" w:space="0" w:color="auto"/>
      </w:divBdr>
    </w:div>
    <w:div w:id="1302928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4BC45-0F8F-4D78-8E81-C063543FA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5.xml><?xml version="1.0" encoding="utf-8"?>
<ds:datastoreItem xmlns:ds="http://schemas.openxmlformats.org/officeDocument/2006/customXml" ds:itemID="{83AD6942-61F2-484D-8B64-1BEA585326D8}">
  <ds:schemaRefs>
    <ds:schemaRef ds:uri="http://schemas.openxmlformats.org/officeDocument/2006/bibliography"/>
  </ds:schemaRefs>
</ds:datastoreItem>
</file>

<file path=customXml/itemProps6.xml><?xml version="1.0" encoding="utf-8"?>
<ds:datastoreItem xmlns:ds="http://schemas.openxmlformats.org/officeDocument/2006/customXml" ds:itemID="{08A29990-10BB-4FAF-A761-5B9093D9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1220</Words>
  <Characters>6956</Characters>
  <Application>Microsoft Office Word</Application>
  <DocSecurity>0</DocSecurity>
  <Lines>57</Lines>
  <Paragraphs>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김선욱/책임연구원/미래기술센터 C&amp;M표준(연)5G무선통신표준Task(seonwook.kim@lge.com)</cp:lastModifiedBy>
  <cp:revision>3</cp:revision>
  <cp:lastPrinted>2019-01-10T09:30:00Z</cp:lastPrinted>
  <dcterms:created xsi:type="dcterms:W3CDTF">2021-11-29T22:29:00Z</dcterms:created>
  <dcterms:modified xsi:type="dcterms:W3CDTF">2021-11-30T00:18:00Z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