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B658" w14:textId="77777777" w:rsidR="00EB3B75" w:rsidRDefault="00ED06A3">
      <w:pPr>
        <w:tabs>
          <w:tab w:val="center" w:pos="4536"/>
          <w:tab w:val="right" w:pos="8280"/>
          <w:tab w:val="right" w:pos="9639"/>
        </w:tabs>
        <w:spacing w:line="276" w:lineRule="auto"/>
        <w:ind w:right="2"/>
        <w:rPr>
          <w:rFonts w:ascii="Arial" w:eastAsia="맑은 고딕" w:hAnsi="Arial" w:cs="Arial"/>
          <w:b/>
          <w:bCs/>
          <w:lang w:val="de-DE" w:eastAsia="en-US"/>
        </w:rPr>
      </w:pPr>
      <w:r>
        <w:rPr>
          <w:rFonts w:ascii="Arial" w:eastAsia="맑은 고딕" w:hAnsi="Arial" w:cs="Arial"/>
          <w:b/>
          <w:bCs/>
          <w:lang w:val="de-DE" w:eastAsia="en-US"/>
        </w:rPr>
        <w:t>3GPP TSG RAN WG1 #10</w:t>
      </w:r>
      <w:r>
        <w:rPr>
          <w:rFonts w:ascii="Arial" w:eastAsia="MS Mincho" w:hAnsi="Arial" w:cs="Arial"/>
          <w:b/>
          <w:bCs/>
          <w:lang w:val="de-DE"/>
        </w:rPr>
        <w:t>7</w:t>
      </w:r>
      <w:r>
        <w:rPr>
          <w:rFonts w:ascii="Arial" w:eastAsia="맑은 고딕" w:hAnsi="Arial" w:cs="Arial"/>
          <w:b/>
          <w:bCs/>
          <w:lang w:val="de-DE" w:eastAsia="en-US"/>
        </w:rPr>
        <w:t>-e</w:t>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맑은 고딕" w:hAnsi="Arial" w:cs="Arial"/>
          <w:b/>
          <w:bCs/>
          <w:lang w:eastAsia="en-US"/>
        </w:rPr>
      </w:pPr>
      <w:r>
        <w:rPr>
          <w:rFonts w:ascii="Arial" w:eastAsia="맑은 고딕" w:hAnsi="Arial" w:cs="Arial"/>
          <w:b/>
          <w:bCs/>
          <w:lang w:val="en-US" w:eastAsia="en-US"/>
        </w:rPr>
        <w:t xml:space="preserve">e-Meeting, </w:t>
      </w:r>
      <w:r>
        <w:rPr>
          <w:rFonts w:ascii="Arial" w:eastAsia="맑은 고딕" w:hAnsi="Arial" w:cs="Arial"/>
          <w:b/>
          <w:bCs/>
          <w:lang w:eastAsia="en-US"/>
        </w:rPr>
        <w:t>November 11</w:t>
      </w:r>
      <w:r>
        <w:rPr>
          <w:rFonts w:ascii="Arial" w:eastAsia="맑은 고딕" w:hAnsi="Arial" w:cs="Arial"/>
          <w:b/>
          <w:bCs/>
          <w:vertAlign w:val="superscript"/>
          <w:lang w:eastAsia="en-US"/>
        </w:rPr>
        <w:t>th</w:t>
      </w:r>
      <w:r>
        <w:rPr>
          <w:rFonts w:ascii="Arial" w:eastAsia="맑은 고딕" w:hAnsi="Arial" w:cs="Arial"/>
          <w:b/>
          <w:bCs/>
          <w:lang w:eastAsia="en-US"/>
        </w:rPr>
        <w:t xml:space="preserve"> – 19</w:t>
      </w:r>
      <w:r>
        <w:rPr>
          <w:rFonts w:ascii="Arial" w:eastAsia="맑은 고딕" w:hAnsi="Arial" w:cs="Arial"/>
          <w:b/>
          <w:bCs/>
          <w:vertAlign w:val="superscript"/>
          <w:lang w:eastAsia="en-US"/>
        </w:rPr>
        <w:t>th</w:t>
      </w:r>
      <w:r>
        <w:rPr>
          <w:rFonts w:ascii="Arial" w:eastAsia="맑은 고딕" w:hAnsi="Arial" w:cs="Arial"/>
          <w:b/>
          <w:bCs/>
          <w:lang w:eastAsia="en-US"/>
        </w:rPr>
        <w:t>, 2021</w:t>
      </w:r>
    </w:p>
    <w:p w14:paraId="791DF582" w14:textId="77777777" w:rsidR="00EB3B75" w:rsidRDefault="00EB3B75">
      <w:pPr>
        <w:tabs>
          <w:tab w:val="center" w:pos="4536"/>
          <w:tab w:val="right" w:pos="9072"/>
        </w:tabs>
        <w:spacing w:line="276" w:lineRule="auto"/>
        <w:rPr>
          <w:rFonts w:ascii="Arial" w:eastAsia="맑은 고딕"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맑은 고딕" w:hAnsi="Arial"/>
          <w:b/>
          <w:lang w:val="en-US" w:eastAsia="en-US"/>
        </w:rPr>
        <w:t>Agenda item:</w:t>
      </w:r>
      <w:r>
        <w:rPr>
          <w:rFonts w:ascii="Arial" w:eastAsia="맑은 고딕" w:hAnsi="Arial"/>
          <w:lang w:val="en-US" w:eastAsia="en-US"/>
        </w:rPr>
        <w:tab/>
      </w:r>
      <w:bookmarkStart w:id="0" w:name="Source"/>
      <w:bookmarkEnd w:id="0"/>
      <w:r>
        <w:rPr>
          <w:rFonts w:ascii="Arial" w:eastAsia="MS Mincho" w:hAnsi="Arial" w:hint="eastAsia"/>
          <w:lang w:val="en-US"/>
        </w:rPr>
        <w:t>8</w:t>
      </w:r>
      <w:r>
        <w:rPr>
          <w:rFonts w:ascii="Arial" w:eastAsia="맑은 고딕"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맑은 고딕" w:hAnsi="Arial"/>
          <w:b/>
          <w:lang w:val="en-US" w:eastAsia="en-US"/>
        </w:rPr>
        <w:t xml:space="preserve">Source: </w:t>
      </w:r>
      <w:r>
        <w:rPr>
          <w:rFonts w:ascii="Arial" w:eastAsia="맑은 고딕" w:hAnsi="Arial"/>
          <w:b/>
          <w:lang w:val="en-US" w:eastAsia="en-US"/>
        </w:rPr>
        <w:tab/>
      </w:r>
      <w:r>
        <w:rPr>
          <w:rFonts w:ascii="Arial" w:eastAsia="맑은 고딕" w:hAnsi="Arial"/>
          <w:bCs/>
          <w:lang w:val="en-US" w:eastAsia="en-US"/>
        </w:rPr>
        <w:t>Moderator (</w:t>
      </w:r>
      <w:r>
        <w:rPr>
          <w:rFonts w:ascii="Arial" w:eastAsia="맑은 고딕"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맑은 고딕" w:hAnsi="Arial" w:cs="Arial"/>
          <w:bCs/>
          <w:szCs w:val="24"/>
          <w:lang w:val="en-US" w:eastAsia="ko-KR"/>
        </w:rPr>
      </w:pPr>
      <w:r>
        <w:rPr>
          <w:rFonts w:ascii="Arial" w:eastAsia="맑은 고딕" w:hAnsi="Arial"/>
          <w:b/>
          <w:lang w:val="en-US" w:eastAsia="en-US"/>
        </w:rPr>
        <w:t xml:space="preserve">Title: </w:t>
      </w:r>
      <w:r>
        <w:rPr>
          <w:rFonts w:ascii="Arial" w:eastAsia="맑은 고딕" w:hAnsi="Arial"/>
          <w:b/>
          <w:lang w:val="en-US" w:eastAsia="en-US"/>
        </w:rPr>
        <w:tab/>
      </w:r>
      <w:r>
        <w:rPr>
          <w:rFonts w:ascii="Arial" w:eastAsia="맑은 고딕"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맑은 고딕" w:hAnsi="Arial"/>
          <w:lang w:val="en-US" w:eastAsia="ko-KR"/>
        </w:rPr>
      </w:pPr>
      <w:r>
        <w:rPr>
          <w:rFonts w:ascii="Arial" w:eastAsia="맑은 고딕" w:hAnsi="Arial"/>
          <w:b/>
          <w:lang w:val="en-US" w:eastAsia="en-US"/>
        </w:rPr>
        <w:t>Document for:</w:t>
      </w:r>
      <w:r>
        <w:rPr>
          <w:rFonts w:ascii="Arial" w:eastAsia="맑은 고딕" w:hAnsi="Arial"/>
          <w:lang w:val="en-US" w:eastAsia="en-US"/>
        </w:rPr>
        <w:tab/>
      </w:r>
      <w:bookmarkStart w:id="1" w:name="DocumentFor"/>
      <w:bookmarkEnd w:id="1"/>
      <w:r>
        <w:rPr>
          <w:rFonts w:ascii="Arial" w:eastAsia="맑은 고딕"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6"/>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aff"/>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
              <w:numPr>
                <w:ilvl w:val="1"/>
                <w:numId w:val="14"/>
              </w:numPr>
              <w:ind w:leftChars="0"/>
              <w:contextualSpacing/>
              <w:rPr>
                <w:sz w:val="20"/>
              </w:rPr>
            </w:pPr>
            <w:r>
              <w:rPr>
                <w:sz w:val="20"/>
              </w:rPr>
              <w:t>Confirm the FGs. Details to be finalized later.</w:t>
            </w:r>
          </w:p>
          <w:p w14:paraId="4D5996FB" w14:textId="77777777" w:rsidR="00EB3B75" w:rsidRDefault="00ED06A3">
            <w:pPr>
              <w:pStyle w:val="aff"/>
              <w:numPr>
                <w:ilvl w:val="0"/>
                <w:numId w:val="14"/>
              </w:numPr>
              <w:ind w:leftChars="0"/>
              <w:contextualSpacing/>
              <w:rPr>
                <w:b/>
                <w:bCs/>
                <w:sz w:val="20"/>
              </w:rPr>
            </w:pPr>
            <w:r>
              <w:rPr>
                <w:b/>
                <w:bCs/>
                <w:sz w:val="20"/>
              </w:rPr>
              <w:t xml:space="preserve">30-1: </w:t>
            </w:r>
          </w:p>
          <w:p w14:paraId="0101F0E8" w14:textId="77777777" w:rsidR="00EB3B75" w:rsidRDefault="00ED06A3">
            <w:pPr>
              <w:pStyle w:val="aff"/>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
              <w:numPr>
                <w:ilvl w:val="0"/>
                <w:numId w:val="14"/>
              </w:numPr>
              <w:ind w:leftChars="0"/>
              <w:contextualSpacing/>
              <w:rPr>
                <w:b/>
                <w:bCs/>
                <w:sz w:val="20"/>
              </w:rPr>
            </w:pPr>
            <w:r>
              <w:rPr>
                <w:b/>
                <w:bCs/>
                <w:sz w:val="20"/>
              </w:rPr>
              <w:t>30-1a:</w:t>
            </w:r>
          </w:p>
          <w:p w14:paraId="69308507" w14:textId="77777777" w:rsidR="00EB3B75" w:rsidRDefault="00ED06A3">
            <w:pPr>
              <w:pStyle w:val="aff"/>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
              <w:numPr>
                <w:ilvl w:val="0"/>
                <w:numId w:val="14"/>
              </w:numPr>
              <w:ind w:leftChars="0"/>
              <w:contextualSpacing/>
              <w:rPr>
                <w:b/>
                <w:bCs/>
                <w:sz w:val="20"/>
              </w:rPr>
            </w:pPr>
            <w:r>
              <w:rPr>
                <w:b/>
                <w:bCs/>
                <w:sz w:val="20"/>
              </w:rPr>
              <w:t>30-2:</w:t>
            </w:r>
          </w:p>
          <w:p w14:paraId="264D1CFA" w14:textId="77777777" w:rsidR="00EB3B75" w:rsidRDefault="00ED06A3">
            <w:pPr>
              <w:pStyle w:val="aff"/>
              <w:numPr>
                <w:ilvl w:val="1"/>
                <w:numId w:val="14"/>
              </w:numPr>
              <w:ind w:leftChars="0"/>
              <w:contextualSpacing/>
              <w:rPr>
                <w:sz w:val="20"/>
              </w:rPr>
            </w:pPr>
            <w:r>
              <w:rPr>
                <w:sz w:val="20"/>
              </w:rPr>
              <w:t>Add 30-1 as pre-requisite</w:t>
            </w:r>
          </w:p>
          <w:p w14:paraId="775D7C5B" w14:textId="77777777" w:rsidR="00EB3B75" w:rsidRDefault="00ED06A3">
            <w:pPr>
              <w:pStyle w:val="aff"/>
              <w:numPr>
                <w:ilvl w:val="0"/>
                <w:numId w:val="14"/>
              </w:numPr>
              <w:ind w:leftChars="0"/>
              <w:contextualSpacing/>
              <w:rPr>
                <w:b/>
                <w:bCs/>
                <w:sz w:val="20"/>
              </w:rPr>
            </w:pPr>
            <w:r>
              <w:rPr>
                <w:b/>
                <w:bCs/>
                <w:sz w:val="20"/>
              </w:rPr>
              <w:t>30-2a:</w:t>
            </w:r>
          </w:p>
          <w:p w14:paraId="5878B195" w14:textId="77777777" w:rsidR="00EB3B75" w:rsidRDefault="00ED06A3">
            <w:pPr>
              <w:pStyle w:val="aff"/>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5"/>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a5"/>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6"/>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6"/>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a5"/>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aff"/>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aff"/>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
        <w:numPr>
          <w:ilvl w:val="2"/>
          <w:numId w:val="16"/>
        </w:numPr>
        <w:spacing w:afterLines="50" w:after="120"/>
        <w:ind w:leftChars="0"/>
        <w:jc w:val="both"/>
        <w:rPr>
          <w:szCs w:val="21"/>
          <w:lang w:val="en-US"/>
        </w:rPr>
      </w:pPr>
      <w:r>
        <w:rPr>
          <w:szCs w:val="21"/>
          <w:lang w:val="en-US"/>
        </w:rPr>
        <w:t>Wait for progress on AI 8.8.1.1</w:t>
      </w:r>
    </w:p>
    <w:tbl>
      <w:tblPr>
        <w:tblStyle w:val="af6"/>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맑은 고딕" w:hint="eastAsia"/>
                <w:color w:val="000000"/>
                <w:szCs w:val="21"/>
                <w:lang w:eastAsia="ko-KR"/>
              </w:rPr>
              <w:t>Sa</w:t>
            </w:r>
            <w:r>
              <w:rPr>
                <w:rFonts w:eastAsia="맑은 고딕"/>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맑은 고딕" w:hint="eastAsia"/>
                <w:color w:val="000000"/>
                <w:szCs w:val="21"/>
                <w:lang w:val="en-US" w:eastAsia="ko-KR"/>
              </w:rPr>
              <w:t>Support Option 2</w:t>
            </w:r>
            <w:r>
              <w:rPr>
                <w:rFonts w:eastAsia="맑은 고딕"/>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aff"/>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aff"/>
              <w:numPr>
                <w:ilvl w:val="4"/>
                <w:numId w:val="16"/>
              </w:numPr>
              <w:spacing w:afterLines="50" w:after="120"/>
              <w:ind w:leftChars="0"/>
              <w:jc w:val="both"/>
              <w:rPr>
                <w:szCs w:val="21"/>
                <w:lang w:val="en-US"/>
              </w:rPr>
            </w:pPr>
            <w:r>
              <w:rPr>
                <w:rFonts w:eastAsia="맑은 고딕"/>
                <w:color w:val="000000"/>
                <w:szCs w:val="21"/>
                <w:lang w:val="en-US" w:eastAsia="ko-KR"/>
              </w:rPr>
              <w:t>no meaningful UE implementation difference</w:t>
            </w:r>
          </w:p>
          <w:p w14:paraId="32DAF0E1" w14:textId="77777777" w:rsidR="00EB3B75" w:rsidRDefault="00ED06A3">
            <w:pPr>
              <w:pStyle w:val="aff"/>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aff"/>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hint="eastAsia"/>
                <w:szCs w:val="21"/>
                <w:lang w:val="en-US"/>
              </w:rPr>
            </w:pPr>
            <w:r>
              <w:rPr>
                <w:rFonts w:eastAsia="맑은 고딕" w:hint="eastAsia"/>
                <w:szCs w:val="21"/>
                <w:lang w:val="en-US" w:eastAsia="ko-KR"/>
              </w:rPr>
              <w:t>Samsung</w:t>
            </w:r>
          </w:p>
        </w:tc>
        <w:tc>
          <w:tcPr>
            <w:tcW w:w="4494" w:type="pct"/>
          </w:tcPr>
          <w:p w14:paraId="0B3A981B" w14:textId="77777777" w:rsidR="00742F40" w:rsidRDefault="00742F40" w:rsidP="00742F40">
            <w:pPr>
              <w:rPr>
                <w:rFonts w:eastAsia="맑은 고딕"/>
                <w:color w:val="000000"/>
                <w:szCs w:val="21"/>
                <w:lang w:val="en-US" w:eastAsia="ko-KR"/>
              </w:rPr>
            </w:pPr>
            <w:r>
              <w:rPr>
                <w:rFonts w:eastAsia="맑은 고딕"/>
                <w:color w:val="000000"/>
                <w:szCs w:val="21"/>
                <w:lang w:val="en-US" w:eastAsia="ko-KR"/>
              </w:rPr>
              <w:t xml:space="preserve">Down-selection is fine. We support </w:t>
            </w:r>
            <w:r>
              <w:rPr>
                <w:rFonts w:eastAsia="맑은 고딕"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맑은 고딕"/>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3A76242B" w14:textId="77777777" w:rsidR="00EB3B75" w:rsidRDefault="00ED06A3">
            <w:pPr>
              <w:rPr>
                <w:szCs w:val="21"/>
                <w:lang w:val="en-US"/>
              </w:rPr>
            </w:pPr>
            <w:r>
              <w:rPr>
                <w:rFonts w:eastAsia="맑은 고딕"/>
                <w:szCs w:val="21"/>
                <w:lang w:val="en-US" w:eastAsia="ko-KR"/>
              </w:rPr>
              <w:t>S</w:t>
            </w:r>
            <w:r>
              <w:rPr>
                <w:rFonts w:eastAsia="맑은 고딕"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aff"/>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6"/>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바탕"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6"/>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바탕"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aa"/>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aa"/>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aff"/>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a5"/>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맑은 고딕"/>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a5"/>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6"/>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a5"/>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aff"/>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aff"/>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6"/>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맑은 고딕"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맑은 고딕"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aff"/>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aff"/>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aff"/>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aff"/>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6"/>
        <w:tblW w:w="4950" w:type="pct"/>
        <w:tblLook w:val="04A0" w:firstRow="1" w:lastRow="0" w:firstColumn="1" w:lastColumn="0" w:noHBand="0" w:noVBand="1"/>
      </w:tblPr>
      <w:tblGrid>
        <w:gridCol w:w="1868"/>
        <w:gridCol w:w="16629"/>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77777777"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77777777" w:rsidR="00EB3B75" w:rsidRDefault="00ED06A3">
            <w:pPr>
              <w:rPr>
                <w:szCs w:val="21"/>
                <w:lang w:val="en-US"/>
              </w:rPr>
            </w:pPr>
            <w:r>
              <w:rPr>
                <w:szCs w:val="21"/>
                <w:lang w:val="en-US"/>
              </w:rPr>
              <w:t xml:space="preserve">We are fine to add a FG for TBoMS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77777777" w:rsidR="00EB3B75" w:rsidRDefault="00ED06A3">
            <w:pPr>
              <w:rPr>
                <w:rFonts w:eastAsia="SimSun"/>
                <w:szCs w:val="21"/>
                <w:lang w:val="en-US" w:eastAsia="zh-CN"/>
              </w:rPr>
            </w:pPr>
            <w:r>
              <w:rPr>
                <w:szCs w:val="21"/>
                <w:lang w:val="en-US"/>
              </w:rPr>
              <w:t>Ok to add a FG for TBoMS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맑은 고딕" w:hint="eastAsia"/>
                <w:szCs w:val="21"/>
                <w:lang w:val="en-US" w:eastAsia="ko-KR"/>
              </w:rPr>
              <w:t>Samsung</w:t>
            </w:r>
          </w:p>
        </w:tc>
        <w:tc>
          <w:tcPr>
            <w:tcW w:w="4495" w:type="pct"/>
          </w:tcPr>
          <w:p w14:paraId="301A1636" w14:textId="77777777" w:rsidR="00EB3B75" w:rsidRDefault="00ED06A3">
            <w:pPr>
              <w:rPr>
                <w:szCs w:val="21"/>
                <w:lang w:val="en-US"/>
              </w:rPr>
            </w:pPr>
            <w:r>
              <w:rPr>
                <w:szCs w:val="21"/>
              </w:rPr>
              <w:t xml:space="preserve">No need to introduce a separate capability for the repetition of TBoMS. If a UE supports TBoMS and PUSCH repetition Type A respectively, it means the UE also supports the repetition of TBoMS.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77777777"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TBoMS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77777777"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77777777" w:rsidR="00EB3B75" w:rsidRDefault="00ED06A3">
            <w:pPr>
              <w:rPr>
                <w:szCs w:val="21"/>
                <w:lang w:val="en-US"/>
              </w:rPr>
            </w:pPr>
            <w:r>
              <w:rPr>
                <w:szCs w:val="21"/>
                <w:lang w:val="en-US"/>
              </w:rPr>
              <w:t>We are OK to introduce a separate capability for TBoMS repetition.  This is similar to Rel-15 where UL slot aggregation is an independent feature from single-slot TB transmission without repetition. Here TBoMS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aff"/>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77777777" w:rsidR="00EB3B75" w:rsidRDefault="00ED06A3">
            <w:pPr>
              <w:pStyle w:val="aff"/>
              <w:numPr>
                <w:ilvl w:val="2"/>
                <w:numId w:val="16"/>
              </w:numPr>
              <w:spacing w:afterLines="50" w:after="120"/>
              <w:ind w:leftChars="0"/>
              <w:jc w:val="both"/>
              <w:rPr>
                <w:szCs w:val="21"/>
                <w:lang w:val="en-US"/>
              </w:rPr>
            </w:pPr>
            <w:r>
              <w:rPr>
                <w:szCs w:val="21"/>
                <w:lang w:val="en-US"/>
              </w:rPr>
              <w:t>TBoMS is analogous to single-slot TB, and its repetition can be a separate capability</w:t>
            </w:r>
          </w:p>
          <w:p w14:paraId="50B78829"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
              <w:numPr>
                <w:ilvl w:val="2"/>
                <w:numId w:val="16"/>
              </w:numPr>
              <w:spacing w:afterLines="50" w:after="120"/>
              <w:ind w:leftChars="0"/>
              <w:jc w:val="both"/>
              <w:rPr>
                <w:szCs w:val="21"/>
                <w:lang w:val="en-US"/>
              </w:rPr>
            </w:pPr>
            <w:r>
              <w:rPr>
                <w:szCs w:val="21"/>
              </w:rPr>
              <w:t>legacy RV sequence and RV index indication is reused</w:t>
            </w:r>
          </w:p>
          <w:p w14:paraId="1AE324DC" w14:textId="77777777" w:rsidR="00EB3B75" w:rsidRDefault="00ED06A3">
            <w:pPr>
              <w:pStyle w:val="aff"/>
              <w:numPr>
                <w:ilvl w:val="2"/>
                <w:numId w:val="16"/>
              </w:numPr>
              <w:spacing w:afterLines="50" w:after="120"/>
              <w:ind w:leftChars="0"/>
              <w:jc w:val="both"/>
              <w:rPr>
                <w:szCs w:val="21"/>
                <w:lang w:val="en-US"/>
              </w:rPr>
            </w:pPr>
            <w:r>
              <w:rPr>
                <w:szCs w:val="21"/>
                <w:lang w:val="en-US"/>
              </w:rPr>
              <w:t>TBoMS can only result in multi-slot operation regardless of whether TBoMS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TBoMS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hint="eastAsia"/>
                <w:szCs w:val="21"/>
                <w:lang w:val="en-US" w:eastAsia="zh-CN"/>
              </w:rPr>
            </w:pPr>
            <w:r>
              <w:rPr>
                <w:rFonts w:eastAsia="맑은 고딕" w:hint="eastAsia"/>
                <w:szCs w:val="21"/>
                <w:lang w:val="en-US" w:eastAsia="ko-KR"/>
              </w:rPr>
              <w:t>Samsung</w:t>
            </w:r>
          </w:p>
        </w:tc>
        <w:tc>
          <w:tcPr>
            <w:tcW w:w="4495" w:type="pct"/>
          </w:tcPr>
          <w:p w14:paraId="4CC46A5E" w14:textId="5DC3B63E" w:rsidR="00742F40" w:rsidRDefault="00742F40" w:rsidP="00742F40">
            <w:pPr>
              <w:rPr>
                <w:rFonts w:eastAsia="SimSun" w:hint="eastAsia"/>
                <w:color w:val="000000"/>
                <w:szCs w:val="21"/>
                <w:lang w:val="en-US" w:eastAsia="zh-CN"/>
              </w:rPr>
            </w:pPr>
            <w:r>
              <w:rPr>
                <w:rFonts w:eastAsia="맑은 고딕"/>
                <w:color w:val="000000"/>
                <w:szCs w:val="21"/>
                <w:lang w:val="en-US" w:eastAsia="ko-KR"/>
              </w:rPr>
              <w:t xml:space="preserve">Fine with down-select. Support </w:t>
            </w:r>
            <w:r>
              <w:rPr>
                <w:rFonts w:eastAsia="맑은 고딕" w:hint="eastAsia"/>
                <w:color w:val="000000"/>
                <w:szCs w:val="21"/>
                <w:lang w:val="en-US" w:eastAsia="ko-KR"/>
              </w:rPr>
              <w:t>Opt</w:t>
            </w:r>
            <w:r>
              <w:rPr>
                <w:rFonts w:eastAsia="맑은 고딕"/>
                <w:color w:val="000000"/>
                <w:szCs w:val="21"/>
                <w:lang w:val="en-US" w:eastAsia="ko-KR"/>
              </w:rPr>
              <w:t>i</w:t>
            </w:r>
            <w:r>
              <w:rPr>
                <w:rFonts w:eastAsia="맑은 고딕" w:hint="eastAsia"/>
                <w:color w:val="000000"/>
                <w:szCs w:val="21"/>
                <w:lang w:val="en-US" w:eastAsia="ko-KR"/>
              </w:rPr>
              <w:t>on 2</w:t>
            </w:r>
            <w:r>
              <w:rPr>
                <w:rFonts w:eastAsia="맑은 고딕"/>
                <w:color w:val="000000"/>
                <w:szCs w:val="21"/>
                <w:lang w:val="en-US" w:eastAsia="ko-KR"/>
              </w:rPr>
              <w:t>.</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452DEF68" w14:textId="77777777" w:rsidR="00EB3B75" w:rsidRDefault="00ED06A3">
      <w:pPr>
        <w:pStyle w:val="aff"/>
        <w:numPr>
          <w:ilvl w:val="1"/>
          <w:numId w:val="16"/>
        </w:numPr>
        <w:spacing w:afterLines="50" w:after="120"/>
        <w:ind w:leftChars="0"/>
        <w:jc w:val="both"/>
        <w:rPr>
          <w:szCs w:val="21"/>
          <w:lang w:val="en-US"/>
        </w:rPr>
      </w:pPr>
      <w:r>
        <w:rPr>
          <w:szCs w:val="21"/>
          <w:lang w:val="en-US"/>
        </w:rPr>
        <w:t>Support: Qualcomm</w:t>
      </w:r>
    </w:p>
    <w:tbl>
      <w:tblPr>
        <w:tblStyle w:val="af6"/>
        <w:tblW w:w="5000" w:type="pct"/>
        <w:tblLook w:val="04A0" w:firstRow="1" w:lastRow="0" w:firstColumn="1" w:lastColumn="0" w:noHBand="0" w:noVBand="1"/>
      </w:tblPr>
      <w:tblGrid>
        <w:gridCol w:w="1891"/>
        <w:gridCol w:w="16793"/>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77777777" w:rsidR="00EB3B75" w:rsidRDefault="00ED06A3">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7B5CA81D" w14:textId="77777777" w:rsidR="00EB3B75" w:rsidRDefault="00ED06A3">
            <w:pPr>
              <w:rPr>
                <w:szCs w:val="21"/>
                <w:lang w:val="en-US"/>
              </w:rPr>
            </w:pPr>
            <w:r>
              <w:rPr>
                <w:rFonts w:eastAsia="맑은 고딕" w:hint="eastAsia"/>
                <w:szCs w:val="21"/>
                <w:lang w:val="en-US" w:eastAsia="ko-KR"/>
              </w:rPr>
              <w:t xml:space="preserve">No need. </w:t>
            </w:r>
            <w:r>
              <w:rPr>
                <w:rFonts w:eastAsia="맑은 고딕"/>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aff"/>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aff"/>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77777777" w:rsidR="00EB3B75" w:rsidRDefault="00ED06A3">
            <w:pPr>
              <w:pStyle w:val="aff"/>
              <w:numPr>
                <w:ilvl w:val="0"/>
                <w:numId w:val="20"/>
              </w:numPr>
              <w:ind w:leftChars="0"/>
              <w:rPr>
                <w:rFonts w:eastAsia="SimSun"/>
                <w:color w:val="000000"/>
                <w:szCs w:val="21"/>
                <w:lang w:val="en-US" w:eastAsia="zh-CN"/>
              </w:rPr>
            </w:pPr>
            <w:r>
              <w:rPr>
                <w:b/>
                <w:bCs/>
                <w:szCs w:val="21"/>
                <w:lang w:val="en-US"/>
              </w:rPr>
              <w:t>FG for the maximum concurrent TBoMS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맑은 고딕"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맑은 고딕" w:hint="eastAsia"/>
                <w:color w:val="000000"/>
                <w:szCs w:val="21"/>
                <w:lang w:val="en-US" w:eastAsia="ko-KR"/>
              </w:rPr>
              <w:t xml:space="preserve">Support </w:t>
            </w:r>
            <w:r>
              <w:rPr>
                <w:rFonts w:eastAsia="맑은 고딕"/>
                <w:color w:val="000000"/>
                <w:szCs w:val="21"/>
                <w:lang w:val="en-US" w:eastAsia="ko-KR"/>
              </w:rPr>
              <w:t>FL proposal, i.e., this FG is not necessary.</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67394E9" w14:textId="77777777" w:rsidR="00EB3B75" w:rsidRDefault="00ED06A3">
            <w:pPr>
              <w:rPr>
                <w:szCs w:val="21"/>
                <w:lang w:val="en-US"/>
              </w:rPr>
            </w:pPr>
            <w:r>
              <w:rPr>
                <w:rFonts w:eastAsia="맑은 고딕"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aff"/>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71FF817" w14:textId="77777777" w:rsidR="00EB3B75" w:rsidRDefault="00ED06A3">
            <w:pPr>
              <w:rPr>
                <w:szCs w:val="21"/>
                <w:lang w:val="en-US"/>
              </w:rPr>
            </w:pPr>
            <w:r>
              <w:rPr>
                <w:rFonts w:eastAsia="맑은 고딕"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맑은 고딕"/>
                <w:szCs w:val="21"/>
                <w:lang w:val="en-US" w:eastAsia="ko-KR"/>
              </w:rPr>
            </w:pPr>
            <w:r>
              <w:rPr>
                <w:szCs w:val="21"/>
                <w:lang w:val="en-US"/>
              </w:rPr>
              <w:t>Nokia, NSB</w:t>
            </w:r>
          </w:p>
        </w:tc>
        <w:tc>
          <w:tcPr>
            <w:tcW w:w="4494" w:type="pct"/>
          </w:tcPr>
          <w:p w14:paraId="71952494" w14:textId="77777777" w:rsidR="00EB3B75" w:rsidRDefault="00ED06A3">
            <w:pPr>
              <w:rPr>
                <w:rFonts w:eastAsia="맑은 고딕"/>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6"/>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77777777"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TBoMS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바탕"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바탕"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77777777" w:rsidR="00EB3B75" w:rsidRDefault="00ED06A3">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77777777"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a"/>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a"/>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a"/>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aff"/>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6"/>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77777777"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a"/>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77777777" w:rsidR="00EB3B75" w:rsidRDefault="00ED06A3">
            <w:pPr>
              <w:pStyle w:val="aa"/>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aa"/>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77777777" w:rsidR="00EB3B75" w:rsidRDefault="00ED06A3">
            <w:pPr>
              <w:pStyle w:val="aa"/>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77777777" w:rsidR="00EB3B75" w:rsidRDefault="00ED06A3">
            <w:pPr>
              <w:pStyle w:val="aa"/>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EC532E9" w14:textId="77777777" w:rsidR="00EB3B75" w:rsidRDefault="00ED06A3">
            <w:pPr>
              <w:pStyle w:val="aa"/>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a"/>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a"/>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5"/>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6"/>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77777777"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6C284B8E"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TBoMS.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a5"/>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5"/>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5"/>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5"/>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af6"/>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맑은 고딕"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맑은 고딕"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77777777" w:rsidR="00EB3B75" w:rsidRDefault="00ED06A3">
            <w:pPr>
              <w:jc w:val="both"/>
              <w:rPr>
                <w:rFonts w:eastAsia="SimSun"/>
                <w:color w:val="000000"/>
                <w:szCs w:val="21"/>
                <w:lang w:val="en-US" w:eastAsia="zh-CN"/>
              </w:rPr>
            </w:pPr>
            <w:r>
              <w:rPr>
                <w:rFonts w:eastAsia="SimSun"/>
                <w:color w:val="000000"/>
                <w:szCs w:val="21"/>
                <w:lang w:val="en-US" w:eastAsia="zh-CN"/>
              </w:rPr>
              <w:t>vivo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03597F84"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6"/>
        <w:tblW w:w="5000" w:type="pct"/>
        <w:tblLook w:val="04A0" w:firstRow="1" w:lastRow="0" w:firstColumn="1" w:lastColumn="0" w:noHBand="0" w:noVBand="1"/>
      </w:tblPr>
      <w:tblGrid>
        <w:gridCol w:w="1891"/>
        <w:gridCol w:w="16793"/>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7777777" w:rsidR="00EB3B75" w:rsidRDefault="00ED06A3">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5F624E7B" w14:textId="77777777" w:rsidR="00EB3B75" w:rsidRDefault="00ED06A3">
            <w:pPr>
              <w:rPr>
                <w:rFonts w:eastAsia="맑은 고딕"/>
                <w:szCs w:val="21"/>
                <w:lang w:val="en-US" w:eastAsia="ko-KR"/>
              </w:rPr>
            </w:pPr>
            <w:r>
              <w:rPr>
                <w:rFonts w:eastAsia="맑은 고딕" w:hint="eastAsia"/>
                <w:szCs w:val="21"/>
                <w:lang w:val="en-US" w:eastAsia="ko-KR"/>
              </w:rPr>
              <w:t xml:space="preserve">Q2: </w:t>
            </w:r>
            <w:r>
              <w:rPr>
                <w:rFonts w:eastAsia="맑은 고딕"/>
                <w:szCs w:val="21"/>
                <w:lang w:val="en-US" w:eastAsia="ko-KR"/>
              </w:rPr>
              <w:t xml:space="preserve">If we introduce FGs for non-back-to-back transmission, what is the relation with FG </w:t>
            </w:r>
            <w:r>
              <w:rPr>
                <w:rFonts w:eastAsia="맑은 고딕"/>
                <w:szCs w:val="21"/>
                <w:lang w:eastAsia="ko-KR"/>
              </w:rPr>
              <w:t>30-4g (Restart DM-RS bundling after the events that violate power consistency and phase continuity)?</w:t>
            </w:r>
          </w:p>
          <w:p w14:paraId="59699CB9" w14:textId="77777777" w:rsidR="00EB3B75" w:rsidRDefault="00ED06A3">
            <w:pPr>
              <w:rPr>
                <w:rFonts w:eastAsia="맑은 고딕"/>
                <w:szCs w:val="21"/>
                <w:lang w:val="en-US" w:eastAsia="ko-KR"/>
              </w:rPr>
            </w:pPr>
            <w:r>
              <w:rPr>
                <w:rFonts w:eastAsia="맑은 고딕"/>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맑은 고딕"/>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77777777" w:rsidR="00EB3B75" w:rsidRDefault="00ED06A3">
            <w:pPr>
              <w:rPr>
                <w:szCs w:val="21"/>
                <w:lang w:val="en-US"/>
              </w:rPr>
            </w:pPr>
            <w:r>
              <w:rPr>
                <w:szCs w:val="21"/>
                <w:lang w:val="en-US"/>
              </w:rPr>
              <w:t>Q3: Merge FGs 30-4a and 30-4d into FG 30-4  [PUCCH should be different, and JCE for TBoMS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aff"/>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aff"/>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맑은 고딕"/>
                <w:szCs w:val="21"/>
                <w:lang w:val="en-US" w:eastAsia="ko-KR"/>
              </w:rPr>
              <w:t xml:space="preserve">what is the relation with FG </w:t>
            </w:r>
            <w:r>
              <w:rPr>
                <w:rFonts w:eastAsia="맑은 고딕"/>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7777777" w:rsidR="00EB3B75" w:rsidRDefault="00ED06A3">
            <w:pPr>
              <w:pStyle w:val="aff"/>
              <w:numPr>
                <w:ilvl w:val="4"/>
                <w:numId w:val="16"/>
              </w:numPr>
              <w:spacing w:afterLines="50" w:after="120"/>
              <w:ind w:leftChars="0"/>
              <w:jc w:val="both"/>
              <w:rPr>
                <w:szCs w:val="21"/>
                <w:lang w:val="en-US"/>
              </w:rPr>
            </w:pPr>
            <w:r>
              <w:rPr>
                <w:szCs w:val="21"/>
                <w:lang w:val="en-US"/>
              </w:rPr>
              <w:t>DMRS bundling for PUSCH repetition type B/TBoMS reuses the design for PUSCH repetition type A.</w:t>
            </w:r>
          </w:p>
          <w:p w14:paraId="26B1E599" w14:textId="77777777" w:rsidR="00EB3B75" w:rsidRDefault="00ED06A3">
            <w:pPr>
              <w:pStyle w:val="aff"/>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hint="eastAsia"/>
                <w:szCs w:val="21"/>
                <w:lang w:val="en-US" w:eastAsia="zh-CN"/>
              </w:rPr>
            </w:pPr>
            <w:r>
              <w:rPr>
                <w:rFonts w:eastAsia="맑은 고딕" w:hint="eastAsia"/>
                <w:szCs w:val="21"/>
                <w:lang w:val="en-US" w:eastAsia="ko-KR"/>
              </w:rPr>
              <w:t>S</w:t>
            </w:r>
            <w:r>
              <w:rPr>
                <w:rFonts w:eastAsia="맑은 고딕"/>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맑은 고딕" w:hint="eastAsia"/>
                <w:color w:val="000000"/>
                <w:szCs w:val="21"/>
                <w:lang w:val="en-US" w:eastAsia="ko-KR"/>
              </w:rPr>
              <w:t>D</w:t>
            </w:r>
            <w:r>
              <w:rPr>
                <w:rFonts w:eastAsia="맑은 고딕"/>
                <w:color w:val="000000"/>
                <w:szCs w:val="21"/>
                <w:lang w:val="en-US" w:eastAsia="ko-KR"/>
              </w:rPr>
              <w:t>own-selection is fine. Option 1 for proposal 4-2a and option 2 for proposal 4-2b.</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6"/>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맑은 고딕"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맑은 고딕"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aff"/>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6"/>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7777777" w:rsidR="00EB3B75" w:rsidRDefault="00ED06A3">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6"/>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바탕"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바탕"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aff"/>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a"/>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a"/>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a"/>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바탕"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5"/>
              <w:keepNext/>
              <w:spacing w:after="0"/>
            </w:pPr>
            <w:bookmarkStart w:id="45" w:name="_Ref84004705"/>
            <w:r>
              <w:t xml:space="preserve">Table </w:t>
            </w:r>
            <w:r>
              <w:fldChar w:fldCharType="begin"/>
            </w:r>
            <w:r>
              <w:instrText xml:space="preserve"> SEQ Table \* ARABIC </w:instrText>
            </w:r>
            <w:r>
              <w:fldChar w:fldCharType="separate"/>
            </w:r>
            <w:r>
              <w:t>4</w:t>
            </w:r>
            <w:r>
              <w:fldChar w:fldCharType="end"/>
            </w:r>
            <w:bookmarkEnd w:id="45"/>
            <w:r>
              <w:t xml:space="preserve">: Capabilities for </w:t>
            </w:r>
            <w:r>
              <w:rPr>
                <w:lang w:eastAsia="zh-CN"/>
              </w:rPr>
              <w:t>PUCCH Repetition Enhancement</w:t>
            </w:r>
          </w:p>
          <w:tbl>
            <w:tblPr>
              <w:tblStyle w:val="af6"/>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6" w:name="_Hlk86761874"/>
                  <w:r>
                    <w:rPr>
                      <w:color w:val="FF0000"/>
                      <w:u w:val="single"/>
                    </w:rPr>
                    <w:t>Support for configuring a repetition factor per PUCCH resource for slot based PUCCH formats 0, 1, 2, 3, and 4</w:t>
                  </w:r>
                  <w:bookmarkEnd w:id="46"/>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7" w:name="_Toc86951287"/>
            <w:r>
              <w:t>UE features for PUCCH repetition enhancement are defined according to Table 4</w:t>
            </w:r>
            <w:bookmarkEnd w:id="47"/>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a5"/>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6"/>
        <w:tblW w:w="5000" w:type="pct"/>
        <w:tblLook w:val="04A0" w:firstRow="1" w:lastRow="0" w:firstColumn="1" w:lastColumn="0" w:noHBand="0" w:noVBand="1"/>
      </w:tblPr>
      <w:tblGrid>
        <w:gridCol w:w="1891"/>
        <w:gridCol w:w="16793"/>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맑은 고딕"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77777777"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WIs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77777777" w:rsidR="00EB3B75" w:rsidRDefault="00ED06A3">
            <w:pPr>
              <w:jc w:val="both"/>
              <w:rPr>
                <w:rFonts w:eastAsia="MS PGothic"/>
                <w:color w:val="000000"/>
                <w:szCs w:val="21"/>
                <w:lang w:val="en-US"/>
              </w:rPr>
            </w:pPr>
            <w:r>
              <w:rPr>
                <w:rFonts w:eastAsia="MS PGothic"/>
                <w:color w:val="000000"/>
                <w:szCs w:val="21"/>
                <w:lang w:val="en-US"/>
              </w:rPr>
              <w:t xml:space="preserve">Support FL3 proposal. The WI dimension is only truly visible during the specification stage. Once the features are specified, they are simply part of the specs and there is strict need to have explicit FGs for aspects that were agreed in different WIs.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 xml:space="preserve">Support the proposal. We think it is common practice to introduce dependencies between different features from different WIs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hint="eastAsia"/>
                <w:szCs w:val="21"/>
                <w:lang w:val="en-US"/>
              </w:rPr>
            </w:pPr>
            <w:r>
              <w:rPr>
                <w:rFonts w:eastAsia="맑은 고딕" w:hint="eastAsia"/>
                <w:szCs w:val="21"/>
                <w:lang w:val="en-US" w:eastAsia="ko-KR"/>
              </w:rPr>
              <w:t>Samsung</w:t>
            </w:r>
          </w:p>
        </w:tc>
        <w:tc>
          <w:tcPr>
            <w:tcW w:w="4494" w:type="pct"/>
          </w:tcPr>
          <w:p w14:paraId="53109FA1" w14:textId="4C16792F" w:rsidR="00742F40" w:rsidRDefault="00742F40" w:rsidP="00742F40">
            <w:pPr>
              <w:jc w:val="both"/>
              <w:rPr>
                <w:rFonts w:eastAsiaTheme="minorEastAsia" w:hint="eastAsia"/>
                <w:color w:val="000000"/>
                <w:szCs w:val="21"/>
                <w:lang w:val="en-US"/>
              </w:rPr>
            </w:pPr>
            <w:r>
              <w:rPr>
                <w:rFonts w:eastAsia="맑은 고딕" w:hint="eastAsia"/>
                <w:color w:val="000000"/>
                <w:szCs w:val="21"/>
                <w:lang w:val="en-US" w:eastAsia="ko-KR"/>
              </w:rPr>
              <w:t xml:space="preserve">Fine with FL3 proposal. </w:t>
            </w:r>
            <w:r>
              <w:rPr>
                <w:rFonts w:eastAsia="맑은 고딕"/>
                <w:color w:val="000000"/>
                <w:szCs w:val="21"/>
                <w:lang w:val="en-US" w:eastAsia="ko-KR"/>
              </w:rPr>
              <w:t xml:space="preserve">We </w:t>
            </w:r>
            <w:r>
              <w:rPr>
                <w:rFonts w:eastAsia="맑은 고딕"/>
                <w:color w:val="000000"/>
                <w:szCs w:val="21"/>
                <w:lang w:val="en-US" w:eastAsia="ko-KR"/>
              </w:rPr>
              <w:t xml:space="preserve">also </w:t>
            </w:r>
            <w:r>
              <w:rPr>
                <w:rFonts w:eastAsia="맑은 고딕"/>
                <w:color w:val="000000"/>
                <w:szCs w:val="21"/>
                <w:lang w:val="en-US" w:eastAsia="ko-KR"/>
              </w:rPr>
              <w:t>share the view from ZTE above.</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aff"/>
        <w:numPr>
          <w:ilvl w:val="1"/>
          <w:numId w:val="16"/>
        </w:numPr>
        <w:spacing w:afterLines="50" w:after="120"/>
        <w:ind w:leftChars="0"/>
        <w:jc w:val="both"/>
        <w:rPr>
          <w:szCs w:val="24"/>
          <w:lang w:val="en-US"/>
        </w:rPr>
      </w:pPr>
      <w:r>
        <w:rPr>
          <w:szCs w:val="24"/>
        </w:rPr>
        <w:t>Per band: Qualcomm, MediaTek</w:t>
      </w:r>
    </w:p>
    <w:tbl>
      <w:tblPr>
        <w:tblStyle w:val="af6"/>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6"/>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8" w:name="_Hlk84264052"/>
            <w:r>
              <w:rPr>
                <w:rFonts w:asciiTheme="majorHAnsi" w:eastAsia="SimSun" w:hAnsiTheme="majorHAnsi" w:cstheme="majorHAnsi"/>
                <w:szCs w:val="18"/>
                <w:lang w:eastAsia="zh-CN"/>
              </w:rPr>
              <w:t>Msg3 repetition</w:t>
            </w:r>
            <w:bookmarkEnd w:id="48"/>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77777777"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a"/>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6"/>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a"/>
              <w:spacing w:beforeLines="50" w:before="120" w:after="0"/>
              <w:rPr>
                <w:b/>
                <w:sz w:val="22"/>
                <w:szCs w:val="22"/>
              </w:rPr>
            </w:pPr>
            <w:bookmarkStart w:id="49"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aa"/>
              <w:spacing w:beforeLines="50" w:before="120" w:after="0"/>
              <w:rPr>
                <w:rFonts w:eastAsia="SimSun"/>
                <w:color w:val="000000"/>
                <w:lang w:eastAsia="zh-CN"/>
              </w:rPr>
            </w:pPr>
            <w:bookmarkStart w:id="50"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9"/>
            <w:bookmarkEnd w:id="50"/>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aff"/>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5"/>
              <w:keepNext/>
              <w:jc w:val="center"/>
            </w:pPr>
            <w:bookmarkStart w:id="51" w:name="_Ref83202224"/>
            <w:r>
              <w:t xml:space="preserve">Table </w:t>
            </w:r>
            <w:r>
              <w:fldChar w:fldCharType="begin"/>
            </w:r>
            <w:r>
              <w:instrText xml:space="preserve"> SEQ Table \* ARABIC </w:instrText>
            </w:r>
            <w:r>
              <w:fldChar w:fldCharType="separate"/>
            </w:r>
            <w:r>
              <w:t>3</w:t>
            </w:r>
            <w:r>
              <w:fldChar w:fldCharType="end"/>
            </w:r>
            <w:bookmarkEnd w:id="51"/>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맑은 고딕"/>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2"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5"/>
              <w:keepNext/>
              <w:spacing w:after="0"/>
            </w:pPr>
            <w:bookmarkStart w:id="53" w:name="_Ref86954615"/>
            <w:r>
              <w:t xml:space="preserve">Table </w:t>
            </w:r>
            <w:r>
              <w:fldChar w:fldCharType="begin"/>
            </w:r>
            <w:r>
              <w:instrText xml:space="preserve"> SEQ Table \* ARABIC </w:instrText>
            </w:r>
            <w:r>
              <w:fldChar w:fldCharType="separate"/>
            </w:r>
            <w:r>
              <w:t>5</w:t>
            </w:r>
            <w:r>
              <w:fldChar w:fldCharType="end"/>
            </w:r>
            <w:bookmarkEnd w:id="52"/>
            <w:bookmarkEnd w:id="53"/>
            <w:r>
              <w:t xml:space="preserve">: Capabilities for </w:t>
            </w:r>
            <w:r>
              <w:rPr>
                <w:lang w:eastAsia="zh-CN"/>
              </w:rPr>
              <w:t>Type A PUSCH repetition for Msg3</w:t>
            </w:r>
          </w:p>
          <w:tbl>
            <w:tblPr>
              <w:tblStyle w:val="af6"/>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4" w:name="_Toc86951288"/>
            <w:r>
              <w:t>UE features for Type A PUSCH repetition for Msg3 are defined according to Table 5</w:t>
            </w:r>
            <w:bookmarkEnd w:id="54"/>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6"/>
        <w:tblW w:w="5000" w:type="pct"/>
        <w:tblLook w:val="04A0" w:firstRow="1" w:lastRow="0" w:firstColumn="1" w:lastColumn="0" w:noHBand="0" w:noVBand="1"/>
      </w:tblPr>
      <w:tblGrid>
        <w:gridCol w:w="1891"/>
        <w:gridCol w:w="16793"/>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맑은 고딕"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맑은 고딕"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5" w:name="OLE_LINK16"/>
            <w:r>
              <w:rPr>
                <w:rFonts w:eastAsia="SimSun" w:hint="eastAsia"/>
                <w:szCs w:val="21"/>
                <w:lang w:val="en-US" w:eastAsia="zh-CN"/>
              </w:rPr>
              <w:t>H</w:t>
            </w:r>
            <w:r>
              <w:rPr>
                <w:rFonts w:eastAsia="SimSun"/>
                <w:szCs w:val="21"/>
                <w:lang w:val="en-US" w:eastAsia="zh-CN"/>
              </w:rPr>
              <w:t>uawei, HiSilicon</w:t>
            </w:r>
            <w:bookmarkEnd w:id="55"/>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hint="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맑은 고딕"/>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hint="eastAsia"/>
                <w:color w:val="000000"/>
                <w:szCs w:val="21"/>
                <w:lang w:val="en-US"/>
              </w:rPr>
            </w:pPr>
            <w:r>
              <w:rPr>
                <w:rFonts w:eastAsia="맑은 고딕"/>
                <w:color w:val="000000"/>
                <w:szCs w:val="21"/>
                <w:lang w:val="en-US" w:eastAsia="ko-KR"/>
              </w:rPr>
              <w:t>In this regard, we are still not convinced on the need for FG 30-6.</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bookmarkStart w:id="56" w:name="_GoBack"/>
      <w:bookmarkEnd w:id="56"/>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aff"/>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aff"/>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6"/>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aff"/>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6"/>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6"/>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바탕" w:hAnsi="Times"/>
                <w:iCs/>
                <w:szCs w:val="21"/>
                <w:lang w:eastAsia="zh-CN"/>
              </w:rPr>
            </w:pPr>
            <w:r>
              <w:rPr>
                <w:rFonts w:ascii="Times" w:eastAsia="바탕"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191A" w14:textId="77777777" w:rsidR="00706C11" w:rsidRDefault="00706C11">
      <w:r>
        <w:separator/>
      </w:r>
    </w:p>
  </w:endnote>
  <w:endnote w:type="continuationSeparator" w:id="0">
    <w:p w14:paraId="68DB5954" w14:textId="77777777" w:rsidR="00706C11" w:rsidRDefault="0070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default"/>
    <w:sig w:usb0="00000000" w:usb1="00000000"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1989" w14:textId="77777777" w:rsidR="00ED06A3" w:rsidRDefault="00ED06A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8683" w14:textId="77777777" w:rsidR="00ED06A3" w:rsidRDefault="00ED06A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9A36" w14:textId="77777777" w:rsidR="00ED06A3" w:rsidRDefault="00ED06A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11216" w14:textId="77777777" w:rsidR="00706C11" w:rsidRDefault="00706C11">
      <w:r>
        <w:separator/>
      </w:r>
    </w:p>
  </w:footnote>
  <w:footnote w:type="continuationSeparator" w:id="0">
    <w:p w14:paraId="31DC9DA6" w14:textId="77777777" w:rsidR="00706C11" w:rsidRDefault="0070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B9DA" w14:textId="77777777" w:rsidR="00ED06A3" w:rsidRDefault="00ED06A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ED91" w14:textId="77777777" w:rsidR="00ED06A3" w:rsidRDefault="00ED06A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3C22" w14:textId="77777777" w:rsidR="00ED06A3" w:rsidRDefault="00ED06A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맑은 고딕"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
    <w:name w:val="heading 2"/>
    <w:basedOn w:val="a0"/>
    <w:next w:val="a0"/>
    <w:link w:val="2Char"/>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Char"/>
    <w:qFormat/>
    <w:pPr>
      <w:jc w:val="center"/>
    </w:pPr>
    <w:rPr>
      <w:b/>
      <w:color w:val="FF0000"/>
      <w:szCs w:val="21"/>
      <w:lang w:val="en-US"/>
    </w:rPr>
  </w:style>
  <w:style w:type="paragraph" w:styleId="a5">
    <w:name w:val="caption"/>
    <w:basedOn w:val="a0"/>
    <w:next w:val="a0"/>
    <w:qFormat/>
    <w:pPr>
      <w:spacing w:before="120" w:after="120"/>
    </w:pPr>
    <w:rPr>
      <w:b/>
    </w:rPr>
  </w:style>
  <w:style w:type="paragraph" w:styleId="a6">
    <w:name w:val="List Bullet"/>
    <w:basedOn w:val="a0"/>
    <w:qFormat/>
    <w:pPr>
      <w:tabs>
        <w:tab w:val="left" w:pos="360"/>
      </w:tabs>
      <w:ind w:left="360" w:hanging="360"/>
    </w:pPr>
  </w:style>
  <w:style w:type="paragraph" w:styleId="a7">
    <w:name w:val="Document Map"/>
    <w:basedOn w:val="a0"/>
    <w:semiHidden/>
    <w:qFormat/>
    <w:pPr>
      <w:shd w:val="clear" w:color="auto" w:fill="000080"/>
    </w:pPr>
    <w:rPr>
      <w:rFonts w:ascii="Tahoma" w:hAnsi="Tahoma"/>
    </w:rPr>
  </w:style>
  <w:style w:type="paragraph" w:styleId="a8">
    <w:name w:val="annotation text"/>
    <w:basedOn w:val="a0"/>
    <w:link w:val="Char0"/>
    <w:uiPriority w:val="99"/>
    <w:qFormat/>
    <w:rPr>
      <w:sz w:val="20"/>
    </w:rPr>
  </w:style>
  <w:style w:type="paragraph" w:styleId="32">
    <w:name w:val="Body Text 3"/>
    <w:basedOn w:val="a0"/>
    <w:qFormat/>
    <w:pPr>
      <w:jc w:val="both"/>
    </w:pPr>
  </w:style>
  <w:style w:type="paragraph" w:styleId="a9">
    <w:name w:val="Closing"/>
    <w:basedOn w:val="a0"/>
    <w:link w:val="Char1"/>
    <w:qFormat/>
    <w:pPr>
      <w:jc w:val="right"/>
    </w:pPr>
    <w:rPr>
      <w:b/>
      <w:color w:val="FF0000"/>
      <w:szCs w:val="21"/>
      <w:lang w:val="en-US"/>
    </w:rPr>
  </w:style>
  <w:style w:type="paragraph" w:styleId="aa">
    <w:name w:val="Body Text"/>
    <w:basedOn w:val="a0"/>
    <w:link w:val="Char2"/>
    <w:qFormat/>
    <w:pPr>
      <w:spacing w:after="120"/>
    </w:pPr>
  </w:style>
  <w:style w:type="paragraph" w:styleId="ab">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pPr>
      <w:ind w:left="851"/>
    </w:pPr>
  </w:style>
  <w:style w:type="paragraph" w:styleId="ac">
    <w:name w:val="List"/>
    <w:basedOn w:val="a0"/>
    <w:qFormat/>
    <w:pPr>
      <w:spacing w:after="180"/>
      <w:ind w:left="568" w:hanging="284"/>
    </w:pPr>
  </w:style>
  <w:style w:type="paragraph" w:styleId="21">
    <w:name w:val="List Bullet 2"/>
    <w:basedOn w:val="a6"/>
    <w:qFormat/>
    <w:pPr>
      <w:tabs>
        <w:tab w:val="clear" w:pos="360"/>
      </w:tabs>
      <w:spacing w:after="60"/>
      <w:ind w:left="1080" w:hanging="357"/>
    </w:pPr>
    <w:rPr>
      <w:rFonts w:ascii="Arial" w:hAnsi="Arial"/>
    </w:rPr>
  </w:style>
  <w:style w:type="paragraph" w:styleId="ad">
    <w:name w:val="Plain Text"/>
    <w:basedOn w:val="a0"/>
    <w:qFormat/>
    <w:rPr>
      <w:rFonts w:ascii="Courier New" w:hAnsi="Courier New"/>
    </w:rPr>
  </w:style>
  <w:style w:type="paragraph" w:styleId="80">
    <w:name w:val="toc 8"/>
    <w:basedOn w:val="10"/>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e">
    <w:name w:val="Balloon Text"/>
    <w:basedOn w:val="a0"/>
    <w:link w:val="Char3"/>
    <w:qFormat/>
    <w:rPr>
      <w:rFonts w:ascii="Arial" w:hAnsi="Arial"/>
      <w:sz w:val="18"/>
    </w:rPr>
  </w:style>
  <w:style w:type="paragraph" w:styleId="af">
    <w:name w:val="footer"/>
    <w:basedOn w:val="a0"/>
    <w:qFormat/>
    <w:pPr>
      <w:tabs>
        <w:tab w:val="center" w:pos="4536"/>
        <w:tab w:val="right" w:pos="9072"/>
      </w:tabs>
      <w:spacing w:before="120"/>
    </w:pPr>
    <w:rPr>
      <w:lang w:val="de-DE"/>
    </w:rPr>
  </w:style>
  <w:style w:type="paragraph" w:styleId="af0">
    <w:name w:val="header"/>
    <w:basedOn w:val="a0"/>
    <w:link w:val="Char4"/>
    <w:qFormat/>
    <w:pPr>
      <w:widowControl w:val="0"/>
    </w:pPr>
    <w:rPr>
      <w:rFonts w:ascii="Arial" w:eastAsia="MS Mincho" w:hAnsi="Arial"/>
      <w:b/>
      <w:sz w:val="18"/>
      <w:lang w:eastAsia="zh-CN"/>
    </w:rPr>
  </w:style>
  <w:style w:type="paragraph" w:styleId="af1">
    <w:name w:val="footnote text"/>
    <w:basedOn w:val="a0"/>
    <w:semiHidden/>
    <w:qFormat/>
    <w:pPr>
      <w:keepLines/>
      <w:ind w:left="454" w:hanging="454"/>
    </w:pPr>
    <w:rPr>
      <w:sz w:val="16"/>
    </w:rPr>
  </w:style>
  <w:style w:type="paragraph" w:styleId="af2">
    <w:name w:val="table of figures"/>
    <w:basedOn w:val="10"/>
    <w:next w:val="a0"/>
    <w:semiHidden/>
    <w:qFormat/>
    <w:pPr>
      <w:tabs>
        <w:tab w:val="right" w:leader="dot" w:pos="9360"/>
      </w:tabs>
      <w:spacing w:before="120" w:after="120"/>
    </w:pPr>
    <w:rPr>
      <w:caps/>
    </w:rPr>
  </w:style>
  <w:style w:type="paragraph" w:styleId="23">
    <w:name w:val="toc 2"/>
    <w:basedOn w:val="10"/>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3">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4">
    <w:name w:val="Title"/>
    <w:basedOn w:val="a0"/>
    <w:qFormat/>
    <w:pPr>
      <w:jc w:val="center"/>
    </w:pPr>
    <w:rPr>
      <w:rFonts w:ascii="Arial" w:hAnsi="Arial"/>
      <w:b/>
    </w:rPr>
  </w:style>
  <w:style w:type="paragraph" w:styleId="af5">
    <w:name w:val="annotation subject"/>
    <w:basedOn w:val="a8"/>
    <w:next w:val="a8"/>
    <w:link w:val="Char5"/>
    <w:qFormat/>
    <w:rPr>
      <w:b/>
      <w:sz w:val="24"/>
    </w:rPr>
  </w:style>
  <w:style w:type="table" w:styleId="af6">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qFormat/>
    <w:rPr>
      <w:rFonts w:eastAsia="Times New Roman"/>
      <w:kern w:val="2"/>
      <w:sz w:val="21"/>
      <w:lang w:val="en-GB"/>
    </w:rPr>
  </w:style>
  <w:style w:type="character" w:styleId="af9">
    <w:name w:val="FollowedHyperlink"/>
    <w:qFormat/>
    <w:rPr>
      <w:rFonts w:eastAsia="Times New Roman"/>
      <w:color w:val="800080"/>
      <w:kern w:val="2"/>
      <w:sz w:val="21"/>
      <w:u w:val="single"/>
      <w:lang w:val="en-GB"/>
    </w:rPr>
  </w:style>
  <w:style w:type="character" w:styleId="afa">
    <w:name w:val="Emphasis"/>
    <w:uiPriority w:val="20"/>
    <w:qFormat/>
    <w:rPr>
      <w:i/>
      <w:iCs/>
    </w:rPr>
  </w:style>
  <w:style w:type="character" w:styleId="afb">
    <w:name w:val="Hyperlink"/>
    <w:qFormat/>
    <w:rPr>
      <w:rFonts w:eastAsia="Times New Roman"/>
      <w:color w:val="0000FF"/>
      <w:kern w:val="2"/>
      <w:sz w:val="21"/>
      <w:u w:val="single"/>
      <w:lang w:val="en-GB"/>
    </w:rPr>
  </w:style>
  <w:style w:type="character" w:styleId="afc">
    <w:name w:val="annotation reference"/>
    <w:uiPriority w:val="99"/>
    <w:qFormat/>
    <w:rPr>
      <w:rFonts w:eastAsia="Times New Roman"/>
      <w:kern w:val="2"/>
      <w:sz w:val="16"/>
      <w:lang w:val="en-GB"/>
    </w:rPr>
  </w:style>
  <w:style w:type="character" w:styleId="afd">
    <w:name w:val="footnote reference"/>
    <w:semiHidden/>
    <w:qFormat/>
    <w:rPr>
      <w:rFonts w:eastAsia="Times New Roman"/>
      <w:b/>
      <w:kern w:val="2"/>
      <w:position w:val="6"/>
      <w:sz w:val="16"/>
      <w:lang w:val="en-GB"/>
    </w:rPr>
  </w:style>
  <w:style w:type="paragraph" w:customStyle="1" w:styleId="Heading1unnumbered">
    <w:name w:val="Heading 1 unnumbered"/>
    <w:basedOn w:val="1"/>
    <w:next w:val="aa"/>
    <w:qFormat/>
    <w:pPr>
      <w:tabs>
        <w:tab w:val="left" w:pos="360"/>
      </w:tabs>
      <w:spacing w:before="360" w:after="240"/>
      <w:ind w:left="360" w:hanging="360"/>
      <w:outlineLvl w:val="9"/>
    </w:pPr>
    <w:rPr>
      <w:rFonts w:ascii="Times New Roman" w:hAnsi="Times New Roman"/>
      <w:sz w:val="32"/>
    </w:rPr>
  </w:style>
  <w:style w:type="character" w:customStyle="1" w:styleId="Char4">
    <w:name w:val="머리글 Char"/>
    <w:link w:val="af0"/>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6"/>
    <w:next w:val="aa"/>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a"/>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Char3">
    <w:name w:val="풍선 도움말 텍스트 Char"/>
    <w:link w:val="ae"/>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0">
    <w:name w:val="메모 텍스트 Char"/>
    <w:basedOn w:val="a1"/>
    <w:link w:val="a8"/>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5">
    <w:name w:val="메모 주제 Char"/>
    <w:basedOn w:val="Char0"/>
    <w:link w:val="af5"/>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basedOn w:val="a0"/>
    <w:link w:val="Char6"/>
    <w:uiPriority w:val="34"/>
    <w:qFormat/>
    <w:pPr>
      <w:ind w:leftChars="400" w:left="840"/>
    </w:pPr>
  </w:style>
  <w:style w:type="character" w:customStyle="1" w:styleId="Char6">
    <w:name w:val="목록 단락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
    <w:name w:val="각주/미주 머리글 Char"/>
    <w:basedOn w:val="a1"/>
    <w:link w:val="a4"/>
    <w:qFormat/>
    <w:rPr>
      <w:rFonts w:ascii="Times New Roman" w:eastAsia="MS Gothic" w:hAnsi="Times New Roman"/>
      <w:b/>
      <w:color w:val="FF0000"/>
      <w:sz w:val="24"/>
      <w:szCs w:val="21"/>
    </w:rPr>
  </w:style>
  <w:style w:type="character" w:customStyle="1" w:styleId="Char1">
    <w:name w:val="맺음말 Char"/>
    <w:basedOn w:val="a1"/>
    <w:link w:val="a9"/>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a"/>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Pr>
      <w:rFonts w:ascii="Times New Roman" w:eastAsia="맑은 고딕"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a"/>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제목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a"/>
    <w:qFormat/>
    <w:pPr>
      <w:numPr>
        <w:numId w:val="8"/>
      </w:numPr>
      <w:tabs>
        <w:tab w:val="clear" w:pos="0"/>
      </w:tabs>
      <w:spacing w:after="120"/>
      <w:ind w:left="357" w:hanging="357"/>
      <w:jc w:val="both"/>
    </w:pPr>
    <w:rPr>
      <w:rFonts w:eastAsia="바탕"/>
      <w:b/>
      <w:sz w:val="24"/>
      <w:lang w:val="en-US" w:eastAsia="en-US"/>
    </w:rPr>
  </w:style>
  <w:style w:type="character" w:customStyle="1" w:styleId="HTMLChar">
    <w:name w:val="미리 서식이 지정된 HTML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2">
    <w:name w:val="본문 Char"/>
    <w:basedOn w:val="a1"/>
    <w:link w:val="aa"/>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Char">
    <w:name w:val="제목 2 Char"/>
    <w:basedOn w:val="a1"/>
    <w:link w:val="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9C9E3-67B3-4517-8789-56CFA5D5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21058</Words>
  <Characters>120037</Characters>
  <Application>Microsoft Office Word</Application>
  <DocSecurity>0</DocSecurity>
  <Lines>1000</Lines>
  <Paragraphs>281</Paragraphs>
  <ScaleCrop>false</ScaleCrop>
  <LinksUpToDate>false</LinksUpToDate>
  <CharactersWithSpaces>140814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2021-11-15T17:32:00Z</dcterms:created>
  <dcterms:modified xsi:type="dcterms:W3CDTF">2021-11-15T17:37:00Z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