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ＭＳ 明朝"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ＭＳ 明朝"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40FD0E83" w14:textId="77777777" w:rsidR="00EB3B75" w:rsidRDefault="00ED06A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8.16.8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ＭＳ 明朝"/>
          <w:sz w:val="22"/>
          <w:szCs w:val="22"/>
          <w:lang w:val="en-US"/>
        </w:rPr>
      </w:pPr>
    </w:p>
    <w:p w14:paraId="54B0E292" w14:textId="77777777" w:rsidR="00EB3B75" w:rsidRDefault="00ED06A3">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54C14F4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70B2F10"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23192B3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179CA65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6FA72A8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7B168634"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2A27761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46EA64A3"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2923ACF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58AF3AD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55717CBC"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DCB1355"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72B1985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t>Slot based dynamic PUCCH repetition indication</w:t>
      </w:r>
    </w:p>
    <w:p w14:paraId="222D3FC2"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3CF3B158" w14:textId="77777777" w:rsidR="00EB3B75" w:rsidRDefault="00EB3B75">
      <w:pPr>
        <w:spacing w:afterLines="50" w:after="120"/>
        <w:jc w:val="both"/>
        <w:rPr>
          <w:rFonts w:eastAsia="ＭＳ 明朝"/>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777777"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FL3</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37672BB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ＭＳ 明朝"/>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60D3864C" w14:textId="77777777" w:rsidR="00EB3B75" w:rsidRDefault="00ED06A3">
            <w:pPr>
              <w:jc w:val="both"/>
              <w:rPr>
                <w:sz w:val="22"/>
                <w:lang w:val="en-US"/>
              </w:rPr>
            </w:pPr>
            <w:r>
              <w:rPr>
                <w:rFonts w:eastAsia="ＭＳ 明朝"/>
                <w:sz w:val="22"/>
              </w:rPr>
              <w:t>Nokia, Nokia Shanghai Bell</w:t>
            </w:r>
          </w:p>
        </w:tc>
        <w:tc>
          <w:tcPr>
            <w:tcW w:w="19931" w:type="dxa"/>
          </w:tcPr>
          <w:p w14:paraId="2DD3ECF3"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5"/>
              <w:numPr>
                <w:ilvl w:val="1"/>
                <w:numId w:val="14"/>
              </w:numPr>
              <w:ind w:leftChars="0"/>
              <w:contextualSpacing/>
              <w:rPr>
                <w:sz w:val="20"/>
              </w:rPr>
            </w:pPr>
            <w:r>
              <w:rPr>
                <w:sz w:val="20"/>
              </w:rPr>
              <w:t>Confirm the FGs. Details to be finalized later.</w:t>
            </w:r>
          </w:p>
          <w:p w14:paraId="4D5996FB" w14:textId="77777777" w:rsidR="00EB3B75" w:rsidRDefault="00ED06A3">
            <w:pPr>
              <w:pStyle w:val="aff5"/>
              <w:numPr>
                <w:ilvl w:val="0"/>
                <w:numId w:val="14"/>
              </w:numPr>
              <w:ind w:leftChars="0"/>
              <w:contextualSpacing/>
              <w:rPr>
                <w:b/>
                <w:bCs/>
                <w:sz w:val="20"/>
              </w:rPr>
            </w:pPr>
            <w:r>
              <w:rPr>
                <w:b/>
                <w:bCs/>
                <w:sz w:val="20"/>
              </w:rPr>
              <w:t xml:space="preserve">30-1: </w:t>
            </w:r>
          </w:p>
          <w:p w14:paraId="0101F0E8" w14:textId="77777777" w:rsidR="00EB3B75" w:rsidRDefault="00ED06A3">
            <w:pPr>
              <w:pStyle w:val="aff5"/>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5"/>
              <w:numPr>
                <w:ilvl w:val="1"/>
                <w:numId w:val="14"/>
              </w:numPr>
              <w:ind w:leftChars="0"/>
              <w:contextualSpacing/>
              <w:rPr>
                <w:sz w:val="20"/>
              </w:rPr>
            </w:pPr>
            <w:r>
              <w:rPr>
                <w:sz w:val="20"/>
              </w:rPr>
              <w:lastRenderedPageBreak/>
              <w:t>Add FG11-6 (PUSCH repetition Type A) as pre-requisite</w:t>
            </w:r>
          </w:p>
          <w:p w14:paraId="4E9C9C99" w14:textId="77777777" w:rsidR="00EB3B75" w:rsidRDefault="00ED06A3">
            <w:pPr>
              <w:pStyle w:val="aff5"/>
              <w:numPr>
                <w:ilvl w:val="0"/>
                <w:numId w:val="14"/>
              </w:numPr>
              <w:ind w:leftChars="0"/>
              <w:contextualSpacing/>
              <w:rPr>
                <w:b/>
                <w:bCs/>
                <w:sz w:val="20"/>
              </w:rPr>
            </w:pPr>
            <w:r>
              <w:rPr>
                <w:b/>
                <w:bCs/>
                <w:sz w:val="20"/>
              </w:rPr>
              <w:t>30-1a:</w:t>
            </w:r>
          </w:p>
          <w:p w14:paraId="69308507" w14:textId="77777777" w:rsidR="00EB3B75" w:rsidRDefault="00ED06A3">
            <w:pPr>
              <w:pStyle w:val="aff5"/>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aff5"/>
              <w:numPr>
                <w:ilvl w:val="0"/>
                <w:numId w:val="14"/>
              </w:numPr>
              <w:ind w:leftChars="0"/>
              <w:contextualSpacing/>
              <w:rPr>
                <w:b/>
                <w:bCs/>
                <w:sz w:val="20"/>
              </w:rPr>
            </w:pPr>
            <w:r>
              <w:rPr>
                <w:b/>
                <w:bCs/>
                <w:sz w:val="20"/>
              </w:rPr>
              <w:t>30-2:</w:t>
            </w:r>
          </w:p>
          <w:p w14:paraId="264D1CFA" w14:textId="77777777" w:rsidR="00EB3B75" w:rsidRDefault="00ED06A3">
            <w:pPr>
              <w:pStyle w:val="aff5"/>
              <w:numPr>
                <w:ilvl w:val="1"/>
                <w:numId w:val="14"/>
              </w:numPr>
              <w:ind w:leftChars="0"/>
              <w:contextualSpacing/>
              <w:rPr>
                <w:sz w:val="20"/>
              </w:rPr>
            </w:pPr>
            <w:r>
              <w:rPr>
                <w:sz w:val="20"/>
              </w:rPr>
              <w:t>Add 30-1 as pre-requisite</w:t>
            </w:r>
          </w:p>
          <w:p w14:paraId="775D7C5B" w14:textId="77777777" w:rsidR="00EB3B75" w:rsidRDefault="00ED06A3">
            <w:pPr>
              <w:pStyle w:val="aff5"/>
              <w:numPr>
                <w:ilvl w:val="0"/>
                <w:numId w:val="14"/>
              </w:numPr>
              <w:ind w:leftChars="0"/>
              <w:contextualSpacing/>
              <w:rPr>
                <w:b/>
                <w:bCs/>
                <w:sz w:val="20"/>
              </w:rPr>
            </w:pPr>
            <w:r>
              <w:rPr>
                <w:b/>
                <w:bCs/>
                <w:sz w:val="20"/>
              </w:rPr>
              <w:t>30-2a:</w:t>
            </w:r>
          </w:p>
          <w:p w14:paraId="5878B195" w14:textId="77777777" w:rsidR="00EB3B75" w:rsidRDefault="00ED06A3">
            <w:pPr>
              <w:pStyle w:val="aff5"/>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347889FA" w14:textId="77777777" w:rsidR="00EB3B75" w:rsidRDefault="00ED06A3">
            <w:pPr>
              <w:jc w:val="both"/>
              <w:rPr>
                <w:sz w:val="22"/>
                <w:lang w:val="en-US"/>
              </w:rPr>
            </w:pPr>
            <w:r>
              <w:rPr>
                <w:rFonts w:eastAsia="ＭＳ 明朝"/>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ＭＳ 明朝" w:hAnsi="Arial" w:cs="Arial"/>
                      <w:b/>
                      <w:color w:val="000000" w:themeColor="text1"/>
                      <w:sz w:val="18"/>
                      <w:szCs w:val="18"/>
                    </w:rPr>
                  </w:pPr>
                  <w:r>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w:t>
                  </w: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ＭＳ 明朝"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ＭＳ 明朝" w:cstheme="minorHAnsi"/>
                <w:szCs w:val="18"/>
              </w:rPr>
              <w:t>[30-2] already includes [11-6] which is for both CG Type 2 PUSCH and DG PUSCH, we should also remove [5-16].</w:t>
            </w:r>
          </w:p>
          <w:p w14:paraId="43B623D4" w14:textId="77777777" w:rsidR="00EB3B75" w:rsidRDefault="00ED06A3">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 xml:space="preserve">Increased maximum number of Type 2 </w:t>
                  </w:r>
                  <w:proofErr w:type="spellStart"/>
                  <w:r>
                    <w:rPr>
                      <w:rFonts w:eastAsia="SimSun" w:cstheme="minorHAnsi"/>
                      <w:szCs w:val="18"/>
                    </w:rPr>
                    <w:t>configure</w:t>
                  </w:r>
                  <w:r>
                    <w:rPr>
                      <w:rFonts w:eastAsia="SimSun" w:cstheme="minorHAnsi"/>
                      <w:strike/>
                      <w:color w:val="FF0000"/>
                      <w:szCs w:val="18"/>
                    </w:rPr>
                    <w:t>c</w:t>
                  </w:r>
                  <w:r>
                    <w:rPr>
                      <w:rFonts w:eastAsia="SimSun" w:cstheme="minorHAnsi"/>
                      <w:szCs w:val="18"/>
                    </w:rPr>
                    <w:t>d</w:t>
                  </w:r>
                  <w:proofErr w:type="spellEnd"/>
                  <w:r>
                    <w:rPr>
                      <w:rFonts w:eastAsia="SimSun" w:cstheme="minorHAnsi"/>
                      <w:szCs w:val="18"/>
                    </w:rPr>
                    <w:t xml:space="preserve">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[5-16],</w:t>
                  </w:r>
                  <w:r>
                    <w:rPr>
                      <w:rFonts w:eastAsia="ＭＳ 明朝"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ＭＳ 明朝" w:cstheme="minorHAnsi"/>
                      <w:strike/>
                      <w:szCs w:val="18"/>
                      <w:lang w:eastAsia="ja-JP"/>
                    </w:rPr>
                  </w:pPr>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ＭＳ 明朝"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[5-14 or 5-16],</w:t>
                  </w:r>
                  <w:r>
                    <w:rPr>
                      <w:rFonts w:eastAsia="ＭＳ 明朝" w:cstheme="minorHAnsi"/>
                      <w:szCs w:val="18"/>
                      <w:lang w:eastAsia="ja-JP"/>
                    </w:rPr>
                    <w:t xml:space="preserve"> [30-2]</w:t>
                  </w:r>
                </w:p>
              </w:tc>
              <w:tc>
                <w:tcPr>
                  <w:tcW w:w="0" w:type="auto"/>
                </w:tcPr>
                <w:p w14:paraId="7F3743BA" w14:textId="77777777" w:rsidR="00EB3B75" w:rsidRDefault="00EB3B75">
                  <w:pPr>
                    <w:pStyle w:val="TAL"/>
                    <w:spacing w:after="0"/>
                    <w:rPr>
                      <w:rFonts w:eastAsia="ＭＳ 明朝"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1831" w:type="dxa"/>
          </w:tcPr>
          <w:p w14:paraId="6DBCCEB4" w14:textId="77777777" w:rsidR="00EB3B75" w:rsidRDefault="00ED06A3">
            <w:pPr>
              <w:jc w:val="both"/>
              <w:rPr>
                <w:sz w:val="22"/>
                <w:lang w:val="en-US"/>
              </w:rPr>
            </w:pPr>
            <w:r>
              <w:rPr>
                <w:rFonts w:eastAsia="ＭＳ 明朝"/>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游明朝" w:hint="eastAsia"/>
                <w:b/>
                <w:sz w:val="22"/>
                <w:szCs w:val="22"/>
                <w:u w:val="single"/>
              </w:rPr>
              <w:t>Proposal 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6A92C3E"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364357B7" w14:textId="77777777">
        <w:tc>
          <w:tcPr>
            <w:tcW w:w="621" w:type="dxa"/>
          </w:tcPr>
          <w:p w14:paraId="3D0A4146"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30-1a is merged into FG 30-1 as follows</w:t>
                  </w:r>
                </w:p>
                <w:p w14:paraId="195D1B55"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ＭＳ 明朝" w:hAnsiTheme="majorHAnsi" w:cstheme="majorHAnsi"/>
                            <w:sz w:val="12"/>
                            <w:szCs w:val="12"/>
                            <w:highlight w:val="yellow"/>
                            <w:lang w:eastAsia="ja-JP"/>
                          </w:rPr>
                        </w:pPr>
                        <w:r>
                          <w:rPr>
                            <w:rFonts w:asciiTheme="majorHAnsi" w:eastAsia="ＭＳ 明朝" w:hAnsiTheme="majorHAnsi" w:cstheme="majorHAnsi"/>
                            <w:color w:val="FF0000"/>
                            <w:sz w:val="12"/>
                            <w:szCs w:val="12"/>
                            <w:lang w:eastAsia="ja-JP"/>
                          </w:rPr>
                          <w:t>[5-16],</w:t>
                        </w:r>
                        <w:r>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color w:val="FF0000"/>
                            <w:sz w:val="12"/>
                            <w:szCs w:val="12"/>
                            <w:lang w:eastAsia="ja-JP"/>
                          </w:rPr>
                          <w:t>[5-14 or 5-16]</w:t>
                        </w:r>
                        <w:r>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2B9556DB" w14:textId="77777777" w:rsidR="00EB3B75" w:rsidRDefault="00ED06A3">
            <w:pPr>
              <w:jc w:val="both"/>
              <w:rPr>
                <w:sz w:val="22"/>
                <w:lang w:val="en-US"/>
              </w:rPr>
            </w:pPr>
            <w:r>
              <w:rPr>
                <w:rFonts w:eastAsia="ＭＳ 明朝"/>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ＭＳ 明朝" w:hAnsiTheme="majorHAnsi" w:cstheme="majorHAnsi"/>
                      <w:sz w:val="16"/>
                      <w:szCs w:val="16"/>
                      <w:highlight w:val="yellow"/>
                      <w:lang w:eastAsia="ja-JP"/>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ＭＳ 明朝" w:hAnsiTheme="majorHAnsi" w:cstheme="majorHAnsi"/>
                      <w:sz w:val="16"/>
                      <w:szCs w:val="16"/>
                      <w:lang w:val="en-US" w:eastAsia="ja-JP"/>
                    </w:rPr>
                  </w:pPr>
                </w:p>
                <w:p w14:paraId="1DAD10C3"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5"/>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sz w:val="16"/>
                      <w:szCs w:val="16"/>
                      <w:lang w:eastAsia="ja-JP"/>
                    </w:rPr>
                    <w:t xml:space="preserve">[5-16], </w:t>
                  </w:r>
                  <w:r>
                    <w:rPr>
                      <w:rFonts w:asciiTheme="majorHAnsi" w:eastAsia="ＭＳ 明朝" w:hAnsiTheme="majorHAnsi" w:cstheme="majorHAnsi"/>
                      <w:strike/>
                      <w:color w:val="FF0000"/>
                      <w:sz w:val="16"/>
                      <w:szCs w:val="16"/>
                      <w:lang w:eastAsia="ja-JP"/>
                    </w:rPr>
                    <w:t>[30-1]</w:t>
                  </w:r>
                </w:p>
                <w:p w14:paraId="360E5244" w14:textId="77777777" w:rsidR="00EB3B75" w:rsidRDefault="00EB3B75">
                  <w:pPr>
                    <w:pStyle w:val="TAL"/>
                    <w:rPr>
                      <w:rFonts w:asciiTheme="majorHAnsi" w:eastAsia="ＭＳ 明朝" w:hAnsiTheme="majorHAnsi" w:cstheme="majorHAnsi"/>
                      <w:color w:val="FF0000"/>
                      <w:sz w:val="16"/>
                      <w:szCs w:val="16"/>
                      <w:lang w:eastAsia="ja-JP"/>
                    </w:rPr>
                  </w:pPr>
                </w:p>
                <w:p w14:paraId="5E76DB6F"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ＭＳ 明朝" w:hAnsiTheme="majorHAnsi" w:cstheme="majorHAnsi"/>
                      <w:color w:val="FF0000"/>
                      <w:sz w:val="16"/>
                      <w:szCs w:val="16"/>
                      <w:lang w:eastAsia="ja-JP"/>
                    </w:rPr>
                  </w:pPr>
                </w:p>
                <w:p w14:paraId="280F1AF4" w14:textId="77777777" w:rsidR="00EB3B75" w:rsidRDefault="00EB3B75">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 xml:space="preserve">Type 2 </w:t>
                  </w:r>
                  <w:proofErr w:type="spellStart"/>
                  <w:r>
                    <w:rPr>
                      <w:rFonts w:asciiTheme="majorHAnsi" w:eastAsia="SimSun" w:hAnsiTheme="majorHAnsi" w:cstheme="majorHAnsi"/>
                      <w:sz w:val="16"/>
                      <w:szCs w:val="16"/>
                      <w:lang w:eastAsia="zh-CN"/>
                    </w:rPr>
                    <w:t>configurecd</w:t>
                  </w:r>
                  <w:proofErr w:type="spellEnd"/>
                  <w:r>
                    <w:rPr>
                      <w:rFonts w:asciiTheme="majorHAnsi" w:eastAsia="SimSun" w:hAnsiTheme="majorHAnsi" w:cstheme="majorHAnsi"/>
                      <w:sz w:val="16"/>
                      <w:szCs w:val="16"/>
                      <w:lang w:eastAsia="zh-CN"/>
                    </w:rPr>
                    <w:t xml:space="preserve"> grant PUSCH</w:t>
                  </w:r>
                  <w:r>
                    <w:rPr>
                      <w:rFonts w:asciiTheme="majorHAnsi" w:eastAsia="ＭＳ 明朝" w:hAnsiTheme="majorHAnsi" w:cstheme="majorHAnsi"/>
                      <w:sz w:val="16"/>
                      <w:szCs w:val="16"/>
                      <w:lang w:val="en-US" w:eastAsia="ja-JP"/>
                    </w:rPr>
                    <w:t>.</w:t>
                  </w:r>
                </w:p>
                <w:p w14:paraId="5DCAC807" w14:textId="77777777" w:rsidR="00EB3B75" w:rsidRDefault="00EB3B75">
                  <w:pPr>
                    <w:pStyle w:val="TAL"/>
                    <w:rPr>
                      <w:rFonts w:asciiTheme="majorHAnsi" w:eastAsia="ＭＳ 明朝"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ＭＳ 明朝" w:hAnsiTheme="majorHAnsi" w:cstheme="majorHAnsi"/>
                      <w:strike/>
                      <w:color w:val="FF0000"/>
                      <w:sz w:val="16"/>
                      <w:szCs w:val="16"/>
                      <w:lang w:eastAsia="ja-JP"/>
                    </w:rPr>
                  </w:pPr>
                  <w:r>
                    <w:rPr>
                      <w:rFonts w:asciiTheme="majorHAnsi" w:eastAsia="ＭＳ 明朝" w:hAnsiTheme="majorHAnsi" w:cstheme="majorHAnsi"/>
                      <w:sz w:val="16"/>
                      <w:szCs w:val="16"/>
                      <w:lang w:eastAsia="ja-JP"/>
                    </w:rPr>
                    <w:t xml:space="preserve">[5-14 or 5-16], </w:t>
                  </w:r>
                  <w:r>
                    <w:rPr>
                      <w:rFonts w:asciiTheme="majorHAnsi" w:eastAsia="ＭＳ 明朝" w:hAnsiTheme="majorHAnsi" w:cstheme="majorHAnsi"/>
                      <w:strike/>
                      <w:color w:val="FF0000"/>
                      <w:sz w:val="16"/>
                      <w:szCs w:val="16"/>
                      <w:lang w:eastAsia="ja-JP"/>
                    </w:rPr>
                    <w:t>[30-2]</w:t>
                  </w:r>
                </w:p>
                <w:p w14:paraId="25ACEE9A"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9ECCE96" w14:textId="77777777" w:rsidR="00EB3B75" w:rsidRDefault="00ED06A3">
            <w:pPr>
              <w:jc w:val="both"/>
              <w:rPr>
                <w:sz w:val="22"/>
                <w:lang w:val="en-US"/>
              </w:rPr>
            </w:pPr>
            <w:r>
              <w:rPr>
                <w:rFonts w:eastAsia="ＭＳ 明朝"/>
                <w:sz w:val="22"/>
              </w:rPr>
              <w:t>MediaTek Inc.</w:t>
            </w:r>
          </w:p>
        </w:tc>
        <w:tc>
          <w:tcPr>
            <w:tcW w:w="19931" w:type="dxa"/>
          </w:tcPr>
          <w:p w14:paraId="3CBE319A" w14:textId="77777777" w:rsidR="00EB3B75" w:rsidRDefault="00ED06A3">
            <w:pPr>
              <w:pStyle w:val="a6"/>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[Huawei, </w:t>
      </w:r>
      <w:proofErr w:type="spellStart"/>
      <w:r>
        <w:rPr>
          <w:szCs w:val="21"/>
          <w:lang w:val="en-US"/>
        </w:rPr>
        <w:t>HiSilicon</w:t>
      </w:r>
      <w:proofErr w:type="spellEnd"/>
      <w:r>
        <w:rPr>
          <w:szCs w:val="21"/>
          <w:lang w:val="en-US"/>
        </w:rPr>
        <w:t>], Intel</w:t>
      </w:r>
    </w:p>
    <w:p w14:paraId="03D2D074"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ZTE, Samsung, DOCOMO, Sharp</w:t>
      </w:r>
    </w:p>
    <w:p w14:paraId="5C612C9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Qualcomm, MediaTek</w:t>
      </w:r>
    </w:p>
    <w:p w14:paraId="4A3DE496"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ＭＳ Ｐゴシック"/>
                <w:color w:val="000000"/>
                <w:szCs w:val="21"/>
                <w:lang w:val="en-US"/>
              </w:rPr>
            </w:pPr>
            <w:r>
              <w:rPr>
                <w:rFonts w:eastAsia="ＭＳ Ｐゴシック" w:hint="eastAsia"/>
                <w:color w:val="000000"/>
                <w:szCs w:val="21"/>
                <w:lang w:val="en-US"/>
              </w:rPr>
              <w:t>P</w:t>
            </w:r>
            <w:r>
              <w:rPr>
                <w:rFonts w:eastAsia="ＭＳ Ｐゴシック"/>
                <w:color w:val="000000"/>
                <w:szCs w:val="21"/>
                <w:lang w:val="en-US"/>
              </w:rPr>
              <w:t>anasonic</w:t>
            </w:r>
          </w:p>
        </w:tc>
        <w:tc>
          <w:tcPr>
            <w:tcW w:w="4494" w:type="pct"/>
          </w:tcPr>
          <w:p w14:paraId="62BDCF65" w14:textId="77777777" w:rsidR="00EB3B75" w:rsidRDefault="00ED06A3">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ＭＳ Ｐゴシック"/>
                <w:color w:val="000000"/>
                <w:szCs w:val="21"/>
                <w:lang w:val="en-US"/>
              </w:rPr>
            </w:pPr>
            <w:r>
              <w:rPr>
                <w:rFonts w:eastAsia="ＭＳ Ｐゴシック"/>
                <w:color w:val="000000"/>
                <w:szCs w:val="21"/>
                <w:lang w:val="en-US"/>
              </w:rPr>
              <w:t>QC</w:t>
            </w:r>
          </w:p>
        </w:tc>
        <w:tc>
          <w:tcPr>
            <w:tcW w:w="4494" w:type="pct"/>
          </w:tcPr>
          <w:p w14:paraId="4109123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ＭＳ Ｐゴシック"/>
                <w:color w:val="000000"/>
                <w:szCs w:val="21"/>
              </w:rPr>
            </w:pPr>
            <w:r>
              <w:rPr>
                <w:rFonts w:eastAsia="ＭＳ Ｐゴシック"/>
                <w:color w:val="000000"/>
                <w:szCs w:val="21"/>
              </w:rPr>
              <w:t>Intel</w:t>
            </w:r>
          </w:p>
        </w:tc>
        <w:tc>
          <w:tcPr>
            <w:tcW w:w="4494" w:type="pct"/>
          </w:tcPr>
          <w:p w14:paraId="49A6E92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tc>
          <w:tcPr>
            <w:tcW w:w="506" w:type="pct"/>
          </w:tcPr>
          <w:p w14:paraId="35ADA53B" w14:textId="77777777" w:rsidR="00EB3B75" w:rsidRDefault="00ED06A3">
            <w:pPr>
              <w:rPr>
                <w:rFonts w:eastAsia="SimSun"/>
                <w:color w:val="000000"/>
                <w:szCs w:val="21"/>
                <w:lang w:val="en-US" w:eastAsia="zh-CN"/>
              </w:rPr>
            </w:pPr>
            <w:r>
              <w:rPr>
                <w:rFonts w:eastAsia="ＭＳ Ｐゴシック"/>
                <w:color w:val="000000"/>
                <w:szCs w:val="21"/>
              </w:rPr>
              <w:lastRenderedPageBreak/>
              <w:t>Apple</w:t>
            </w:r>
          </w:p>
        </w:tc>
        <w:tc>
          <w:tcPr>
            <w:tcW w:w="4494" w:type="pct"/>
          </w:tcPr>
          <w:p w14:paraId="61A889D8"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1 and option 3. Which one is selected is up to the progress of AI8.8.1.1.</w:t>
            </w:r>
          </w:p>
        </w:tc>
      </w:tr>
      <w:tr w:rsidR="00EB3B75" w14:paraId="3F38B18E" w14:textId="77777777">
        <w:tc>
          <w:tcPr>
            <w:tcW w:w="506" w:type="pct"/>
          </w:tcPr>
          <w:p w14:paraId="0598CB7C" w14:textId="77777777" w:rsidR="00EB3B75" w:rsidRDefault="00ED06A3">
            <w:pPr>
              <w:rPr>
                <w:rFonts w:eastAsia="ＭＳ Ｐゴシック"/>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SimSun"/>
                <w:color w:val="000000"/>
                <w:szCs w:val="21"/>
                <w:lang w:eastAsia="zh-CN"/>
              </w:rPr>
            </w:pPr>
            <w:r>
              <w:rPr>
                <w:rFonts w:eastAsia="ＭＳ Ｐゴシック"/>
                <w:color w:val="000000"/>
                <w:szCs w:val="21"/>
              </w:rPr>
              <w:t>Nokia, NSB</w:t>
            </w:r>
          </w:p>
        </w:tc>
        <w:tc>
          <w:tcPr>
            <w:tcW w:w="4494" w:type="pct"/>
          </w:tcPr>
          <w:p w14:paraId="1DBAD233" w14:textId="77777777" w:rsidR="00EB3B75" w:rsidRDefault="00ED06A3">
            <w:pPr>
              <w:rPr>
                <w:rFonts w:eastAsia="ＭＳ Ｐゴシック"/>
                <w:color w:val="000000"/>
                <w:szCs w:val="21"/>
                <w:lang w:val="en-US"/>
              </w:rPr>
            </w:pPr>
            <w:r>
              <w:rPr>
                <w:rFonts w:eastAsia="ＭＳ Ｐゴシック"/>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ＭＳ Ｐゴシック"/>
                <w:color w:val="000000"/>
                <w:szCs w:val="21"/>
                <w:lang w:val="en-US"/>
              </w:rPr>
              <w:t xml:space="preserve">In addition, we notice that for 30-1a, the text in Feature group column is “Increased maximum number of </w:t>
            </w:r>
            <w:r>
              <w:rPr>
                <w:rFonts w:eastAsia="ＭＳ Ｐゴシック"/>
                <w:b/>
                <w:bCs/>
                <w:color w:val="000000"/>
                <w:szCs w:val="21"/>
                <w:lang w:val="en-US"/>
              </w:rPr>
              <w:t>Type 2</w:t>
            </w:r>
            <w:r>
              <w:rPr>
                <w:rFonts w:eastAsia="ＭＳ Ｐゴシック"/>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ＭＳ Ｐゴシック"/>
                <w:b/>
                <w:bCs/>
                <w:color w:val="000000"/>
                <w:szCs w:val="21"/>
                <w:lang w:val="en-US"/>
              </w:rPr>
              <w:t>Type 1</w:t>
            </w:r>
            <w:r>
              <w:rPr>
                <w:rFonts w:eastAsia="ＭＳ Ｐゴシック"/>
                <w:color w:val="000000"/>
                <w:szCs w:val="21"/>
                <w:lang w:val="en-US"/>
              </w:rPr>
              <w:t xml:space="preserve"> configured grant configuration.” This should be fixed as “The number of repetitions is jointly coded with SLIV in TDRA list. A row index of the TDRA list is indicated </w:t>
            </w:r>
            <w:r>
              <w:rPr>
                <w:rFonts w:eastAsia="ＭＳ Ｐゴシック"/>
                <w:color w:val="FF0000"/>
                <w:szCs w:val="21"/>
                <w:lang w:val="en-US"/>
              </w:rPr>
              <w:t>by the activation DCI or</w:t>
            </w:r>
            <w:r>
              <w:rPr>
                <w:rFonts w:eastAsia="ＭＳ Ｐゴシック"/>
                <w:color w:val="000000"/>
                <w:szCs w:val="21"/>
                <w:lang w:val="en-US"/>
              </w:rPr>
              <w:t xml:space="preserve"> by a </w:t>
            </w:r>
            <w:r>
              <w:rPr>
                <w:rFonts w:eastAsia="ＭＳ Ｐゴシック"/>
                <w:b/>
                <w:bCs/>
                <w:color w:val="000000"/>
                <w:szCs w:val="21"/>
                <w:lang w:val="en-US"/>
              </w:rPr>
              <w:t xml:space="preserve">Type </w:t>
            </w:r>
            <w:r>
              <w:rPr>
                <w:rFonts w:eastAsia="ＭＳ Ｐゴシック"/>
                <w:b/>
                <w:bCs/>
                <w:strike/>
                <w:color w:val="FF0000"/>
                <w:szCs w:val="21"/>
                <w:lang w:val="en-US"/>
              </w:rPr>
              <w:t>1</w:t>
            </w:r>
            <w:r>
              <w:rPr>
                <w:rFonts w:eastAsia="ＭＳ Ｐゴシック"/>
                <w:b/>
                <w:bCs/>
                <w:color w:val="FF0000"/>
                <w:szCs w:val="21"/>
                <w:lang w:val="en-US"/>
              </w:rPr>
              <w:t>2</w:t>
            </w:r>
            <w:r>
              <w:rPr>
                <w:rFonts w:eastAsia="ＭＳ Ｐゴシック"/>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ＭＳ Ｐゴシック"/>
                <w:color w:val="000000"/>
                <w:szCs w:val="21"/>
              </w:rPr>
            </w:pPr>
            <w:r>
              <w:rPr>
                <w:rFonts w:eastAsia="ＭＳ Ｐゴシック"/>
                <w:color w:val="000000"/>
                <w:szCs w:val="21"/>
              </w:rPr>
              <w:t>Ericsson</w:t>
            </w:r>
          </w:p>
        </w:tc>
        <w:tc>
          <w:tcPr>
            <w:tcW w:w="4494" w:type="pct"/>
          </w:tcPr>
          <w:p w14:paraId="090AD55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2. Whether type 1 CG-PUSCH is supported are still under discussion.  Also, there is a typo since 30-1a is for Type 2 at present: ‘TDRA list is indicated by a Type </w:t>
            </w:r>
            <w:r>
              <w:rPr>
                <w:rFonts w:eastAsia="ＭＳ Ｐゴシック"/>
                <w:color w:val="000000"/>
                <w:szCs w:val="21"/>
                <w:highlight w:val="yellow"/>
                <w:lang w:val="en-US"/>
              </w:rPr>
              <w:t>1</w:t>
            </w:r>
            <w:r>
              <w:rPr>
                <w:rFonts w:eastAsia="ＭＳ Ｐゴシック"/>
                <w:color w:val="000000"/>
                <w:szCs w:val="21"/>
                <w:lang w:val="en-US"/>
              </w:rPr>
              <w:t xml:space="preserve"> configured grant’ should be ‘TDRA list is indicated by a Type </w:t>
            </w:r>
            <w:r>
              <w:rPr>
                <w:rFonts w:eastAsia="ＭＳ Ｐゴシック"/>
                <w:color w:val="000000"/>
                <w:szCs w:val="21"/>
                <w:highlight w:val="yellow"/>
                <w:lang w:val="en-US"/>
              </w:rPr>
              <w:t>2</w:t>
            </w:r>
            <w:r>
              <w:rPr>
                <w:rFonts w:eastAsia="ＭＳ Ｐゴシック"/>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6A89F9E1"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A44228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5"/>
              <w:numPr>
                <w:ilvl w:val="5"/>
                <w:numId w:val="16"/>
              </w:numPr>
              <w:spacing w:afterLines="50" w:after="120"/>
              <w:ind w:leftChars="0"/>
              <w:jc w:val="both"/>
              <w:rPr>
                <w:szCs w:val="21"/>
                <w:lang w:val="en-US"/>
              </w:rPr>
            </w:pPr>
            <w:r>
              <w:rPr>
                <w:rFonts w:eastAsia="ＭＳ Ｐゴシック"/>
                <w:color w:val="000000"/>
                <w:szCs w:val="21"/>
                <w:lang w:val="en-US"/>
              </w:rPr>
              <w:t>CG-PUSCH is already separate FG as optional w/ capability signaling</w:t>
            </w:r>
          </w:p>
          <w:p w14:paraId="61EFE64F" w14:textId="77777777" w:rsidR="00EB3B75" w:rsidRDefault="00ED06A3">
            <w:pPr>
              <w:pStyle w:val="aff5"/>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61203E15"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5"/>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5"/>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14:paraId="231334BD" w14:textId="77777777" w:rsidR="00EB3B75" w:rsidRDefault="00ED06A3">
            <w:pPr>
              <w:pStyle w:val="aff5"/>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aff5"/>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lastRenderedPageBreak/>
              <w:t>S</w:t>
            </w:r>
            <w:r>
              <w:rPr>
                <w:szCs w:val="21"/>
                <w:lang w:val="en-US"/>
              </w:rPr>
              <w:t>upport: Qualcomm, Apple (wait for progress on AI 8.8.1.1 whether to support Option 1 or 3), vivo</w:t>
            </w:r>
          </w:p>
          <w:p w14:paraId="30B5F0FD" w14:textId="77777777" w:rsidR="00EB3B75" w:rsidRDefault="00ED06A3">
            <w:pPr>
              <w:pStyle w:val="aff5"/>
              <w:numPr>
                <w:ilvl w:val="4"/>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4EEAE390" w14:textId="77777777" w:rsidR="00EB3B75" w:rsidRDefault="00ED06A3">
            <w:pPr>
              <w:pStyle w:val="aff5"/>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ＭＳ Ｐゴシック"/>
                <w:color w:val="000000"/>
                <w:szCs w:val="21"/>
                <w:lang w:val="en-US"/>
              </w:rPr>
            </w:pPr>
          </w:p>
          <w:p w14:paraId="5319563D"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ＭＳ Ｐゴシック"/>
                <w:color w:val="000000"/>
                <w:szCs w:val="21"/>
                <w:lang w:val="en-US"/>
              </w:rPr>
            </w:pPr>
            <w:r>
              <w:rPr>
                <w:rFonts w:eastAsia="ＭＳ Ｐゴシック"/>
                <w:color w:val="000000"/>
                <w:szCs w:val="21"/>
                <w:lang w:val="en-US"/>
              </w:rPr>
              <w:t>We prefer Option1 for both proposals, i.e.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SimSun" w:hint="eastAsia"/>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w:t>
            </w:r>
            <w:r>
              <w:rPr>
                <w:rFonts w:eastAsiaTheme="minorEastAsia"/>
                <w:color w:val="000000"/>
                <w:szCs w:val="21"/>
                <w:lang w:val="en-US"/>
              </w:rPr>
              <w:t xml:space="preserve">respective </w:t>
            </w:r>
            <w:r>
              <w:rPr>
                <w:rFonts w:eastAsiaTheme="minorEastAsia"/>
                <w:color w:val="000000"/>
                <w:szCs w:val="21"/>
                <w:lang w:val="en-US"/>
              </w:rPr>
              <w:t xml:space="preserve">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lastRenderedPageBreak/>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 xml:space="preserve">Huawei, </w:t>
            </w:r>
            <w:proofErr w:type="spellStart"/>
            <w:r>
              <w:rPr>
                <w:rFonts w:eastAsia="SimSun"/>
                <w:szCs w:val="21"/>
                <w:lang w:val="en-US" w:eastAsia="zh-CN"/>
              </w:rPr>
              <w:t>HiSilicon</w:t>
            </w:r>
            <w:bookmarkEnd w:id="28"/>
            <w:proofErr w:type="spellEnd"/>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0E7D7995" w14:textId="77777777" w:rsidR="00EB3B75" w:rsidRDefault="00ED06A3">
      <w:pPr>
        <w:pStyle w:val="aff5"/>
        <w:numPr>
          <w:ilvl w:val="2"/>
          <w:numId w:val="16"/>
        </w:numPr>
        <w:spacing w:afterLines="50" w:after="120"/>
        <w:ind w:leftChars="0"/>
        <w:jc w:val="both"/>
        <w:rPr>
          <w:szCs w:val="24"/>
          <w:lang w:val="en-US"/>
        </w:rPr>
      </w:pPr>
      <w:r>
        <w:rPr>
          <w:rFonts w:eastAsia="ＭＳ 明朝"/>
          <w:sz w:val="22"/>
        </w:rPr>
        <w:t xml:space="preserve">FDD/TDD differentiation is not necessary: Huawei, </w:t>
      </w:r>
      <w:proofErr w:type="spellStart"/>
      <w:r>
        <w:rPr>
          <w:rFonts w:eastAsia="ＭＳ 明朝"/>
          <w:sz w:val="22"/>
        </w:rPr>
        <w:t>HiSilicon</w:t>
      </w:r>
      <w:proofErr w:type="spellEnd"/>
    </w:p>
    <w:p w14:paraId="7EAE12D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ＭＳ Ｐゴシック" w:eastAsia="SimSun" w:hAnsi="ＭＳ Ｐゴシック" w:cs="ＭＳ Ｐゴシック"/>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ＭＳ Ｐゴシック" w:eastAsia="SimSun" w:hAnsi="ＭＳ Ｐゴシック" w:cs="ＭＳ Ｐゴシック"/>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ＭＳ Ｐゴシック" w:eastAsia="SimSun" w:hAnsi="ＭＳ Ｐゴシック" w:cs="ＭＳ Ｐゴシック"/>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58EC2F8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3B86BD68" w14:textId="77777777" w:rsidR="00EB3B75" w:rsidRDefault="00ED06A3">
            <w:pPr>
              <w:pStyle w:val="ad"/>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 xml:space="preserve">Feature 30-2 should be considered as prerequisite feature for feature 30-3.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 captured in the component for Feature 30-3.</w:t>
            </w:r>
          </w:p>
          <w:bookmarkEnd w:id="30"/>
          <w:p w14:paraId="3B1D0A62"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ＭＳ 明朝" w:hAnsi="Arial" w:cs="Arial"/>
                      <w:color w:val="FF0000"/>
                      <w:sz w:val="18"/>
                      <w:szCs w:val="18"/>
                    </w:rPr>
                  </w:pPr>
                  <w:r>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proofErr w:type="spellStart"/>
                  <w:r>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ＭＳ 明朝" w:hAnsi="Arial" w:cs="Arial"/>
                      <w:strike/>
                      <w:color w:val="FF0000"/>
                      <w:sz w:val="18"/>
                      <w:szCs w:val="18"/>
                    </w:rPr>
                    <w:t xml:space="preserve">[11-6] </w:t>
                  </w:r>
                  <w:r>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409" w:type="pct"/>
          </w:tcPr>
          <w:p w14:paraId="510346AD" w14:textId="77777777" w:rsidR="00EB3B75" w:rsidRDefault="00ED06A3">
            <w:pPr>
              <w:jc w:val="both"/>
              <w:rPr>
                <w:sz w:val="22"/>
                <w:lang w:val="en-US"/>
              </w:rPr>
            </w:pPr>
            <w:r>
              <w:rPr>
                <w:rFonts w:eastAsia="ＭＳ 明朝"/>
                <w:sz w:val="22"/>
              </w:rPr>
              <w:t>Nokia, Nokia Shanghai Bell</w:t>
            </w:r>
          </w:p>
        </w:tc>
        <w:tc>
          <w:tcPr>
            <w:tcW w:w="4452" w:type="pct"/>
          </w:tcPr>
          <w:p w14:paraId="05BB4D7E"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5"/>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20539986" w14:textId="77777777" w:rsidR="00EB3B75" w:rsidRDefault="00ED06A3">
            <w:pPr>
              <w:jc w:val="both"/>
              <w:rPr>
                <w:sz w:val="22"/>
                <w:lang w:val="en-US"/>
              </w:rPr>
            </w:pPr>
            <w:r>
              <w:rPr>
                <w:rFonts w:eastAsia="ＭＳ 明朝"/>
                <w:sz w:val="22"/>
              </w:rPr>
              <w:t>Intel Corporation</w:t>
            </w:r>
          </w:p>
        </w:tc>
        <w:tc>
          <w:tcPr>
            <w:tcW w:w="4452" w:type="pct"/>
          </w:tcPr>
          <w:p w14:paraId="42357DF9" w14:textId="77777777" w:rsidR="00EB3B75" w:rsidRDefault="00ED06A3">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192EA090" w14:textId="77777777" w:rsidR="00EB3B75" w:rsidRDefault="00ED06A3">
            <w:pPr>
              <w:pStyle w:val="a6"/>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EB3B75" w14:paraId="1C7018BC" w14:textId="77777777">
        <w:tc>
          <w:tcPr>
            <w:tcW w:w="139" w:type="pct"/>
          </w:tcPr>
          <w:p w14:paraId="075B8984"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lastRenderedPageBreak/>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66CABB3" w14:textId="77777777" w:rsidR="00EB3B75" w:rsidRDefault="00ED06A3">
            <w:pPr>
              <w:pStyle w:val="a6"/>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ＭＳ 明朝"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ＭＳ 明朝" w:cstheme="minorHAnsi"/>
                      <w:color w:val="FF0000"/>
                      <w:szCs w:val="18"/>
                      <w:u w:val="single"/>
                      <w:lang w:eastAsia="ja-JP"/>
                    </w:rPr>
                  </w:pPr>
                  <w:r>
                    <w:rPr>
                      <w:rFonts w:eastAsia="ＭＳ 明朝"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409" w:type="pct"/>
          </w:tcPr>
          <w:p w14:paraId="0FABCC5A" w14:textId="77777777" w:rsidR="00EB3B75" w:rsidRDefault="00ED06A3">
            <w:pPr>
              <w:jc w:val="both"/>
              <w:rPr>
                <w:sz w:val="22"/>
                <w:lang w:val="en-US"/>
              </w:rPr>
            </w:pPr>
            <w:r>
              <w:rPr>
                <w:rFonts w:eastAsia="ＭＳ 明朝"/>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36AFC530" w14:textId="77777777" w:rsidR="00EB3B75" w:rsidRDefault="00ED06A3">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 xml:space="preserve">Repetitions of </w:t>
            </w:r>
            <w:proofErr w:type="spellStart"/>
            <w:r>
              <w:rPr>
                <w:rFonts w:eastAsia="游明朝"/>
                <w:b/>
                <w:bCs/>
                <w:sz w:val="22"/>
                <w:szCs w:val="22"/>
              </w:rPr>
              <w:t>TBoMS</w:t>
            </w:r>
            <w:proofErr w:type="spellEnd"/>
            <w:r>
              <w:rPr>
                <w:rFonts w:eastAsia="游明朝"/>
                <w:b/>
                <w:bCs/>
                <w:sz w:val="22"/>
                <w:szCs w:val="22"/>
              </w:rPr>
              <w:t xml:space="preserve">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CE0D5F"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2921E884" w14:textId="77777777">
        <w:tc>
          <w:tcPr>
            <w:tcW w:w="139" w:type="pct"/>
          </w:tcPr>
          <w:p w14:paraId="31F2FFC3"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slot based counting is applicable to </w:t>
            </w:r>
            <w:proofErr w:type="spellStart"/>
            <w:r>
              <w:rPr>
                <w:lang w:val="en-US"/>
              </w:rPr>
              <w:t>TBoMS</w:t>
            </w:r>
            <w:proofErr w:type="spellEnd"/>
            <w:r>
              <w:rPr>
                <w:lang w:val="en-US"/>
              </w:rPr>
              <w:t xml:space="preserve">. If only the available slot based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409" w:type="pct"/>
          </w:tcPr>
          <w:p w14:paraId="379F7BC4" w14:textId="77777777" w:rsidR="00EB3B75" w:rsidRDefault="00ED06A3">
            <w:pPr>
              <w:jc w:val="both"/>
              <w:rPr>
                <w:sz w:val="22"/>
                <w:lang w:val="en-US"/>
              </w:rPr>
            </w:pPr>
            <w:r>
              <w:rPr>
                <w:rFonts w:eastAsia="ＭＳ 明朝"/>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5"/>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5EA83F8B" w14:textId="77777777" w:rsidR="00EB3B75" w:rsidRDefault="00ED06A3">
            <w:pPr>
              <w:jc w:val="both"/>
              <w:rPr>
                <w:sz w:val="22"/>
                <w:lang w:val="en-US"/>
              </w:rPr>
            </w:pPr>
            <w:r>
              <w:rPr>
                <w:rFonts w:eastAsia="ＭＳ 明朝"/>
                <w:sz w:val="22"/>
              </w:rPr>
              <w:t>MediaTek Inc.</w:t>
            </w:r>
          </w:p>
        </w:tc>
        <w:tc>
          <w:tcPr>
            <w:tcW w:w="4452" w:type="pct"/>
          </w:tcPr>
          <w:p w14:paraId="779A95AE" w14:textId="77777777" w:rsidR="00EB3B75" w:rsidRDefault="00ED06A3">
            <w:pPr>
              <w:pStyle w:val="a6"/>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separated FGs for DG, CG Type 2 and CG Type 1 (if supported).</w:t>
            </w:r>
          </w:p>
          <w:p w14:paraId="006D1A6B"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eastAsia="ＭＳ 明朝"/>
          <w:sz w:val="22"/>
        </w:rPr>
        <w:t xml:space="preserve">Huawei, </w:t>
      </w:r>
      <w:proofErr w:type="spellStart"/>
      <w:r>
        <w:rPr>
          <w:rFonts w:eastAsia="ＭＳ 明朝"/>
          <w:sz w:val="22"/>
        </w:rPr>
        <w:t>HiSilicon</w:t>
      </w:r>
      <w:proofErr w:type="spellEnd"/>
      <w:r>
        <w:rPr>
          <w:rFonts w:eastAsia="ＭＳ 明朝"/>
          <w:sz w:val="22"/>
        </w:rPr>
        <w:t>, ZTE, Samsung, DOCOMO</w:t>
      </w:r>
    </w:p>
    <w:p w14:paraId="170789A6"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ＭＳ 明朝"/>
          <w:sz w:val="22"/>
        </w:rPr>
        <w:t xml:space="preserve">Huawei, </w:t>
      </w:r>
      <w:proofErr w:type="spellStart"/>
      <w:r>
        <w:rPr>
          <w:rFonts w:eastAsia="ＭＳ 明朝"/>
          <w:sz w:val="22"/>
        </w:rPr>
        <w:t>HiSilicon</w:t>
      </w:r>
      <w:proofErr w:type="spellEnd"/>
      <w:r>
        <w:rPr>
          <w:szCs w:val="21"/>
          <w:lang w:val="en-US"/>
        </w:rPr>
        <w:t>], Qualcomm, MediaTek</w:t>
      </w:r>
    </w:p>
    <w:p w14:paraId="6725E8AA"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ＭＳ 明朝"/>
          <w:sz w:val="22"/>
        </w:rPr>
        <w:t xml:space="preserve">Huawei, </w:t>
      </w:r>
      <w:proofErr w:type="spellStart"/>
      <w:r>
        <w:rPr>
          <w:rFonts w:eastAsia="ＭＳ 明朝"/>
          <w:sz w:val="22"/>
        </w:rPr>
        <w:t>HiSilicon</w:t>
      </w:r>
      <w:proofErr w:type="spellEnd"/>
      <w:r>
        <w:rPr>
          <w:szCs w:val="21"/>
          <w:lang w:val="en-US"/>
        </w:rPr>
        <w:t>], Intel</w:t>
      </w:r>
    </w:p>
    <w:p w14:paraId="3ADFDD92"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 xml:space="preserve">refer not to split FG. Since single RRC parameter is used for indicating the number of allocated slots for </w:t>
            </w:r>
            <w:proofErr w:type="spellStart"/>
            <w:r>
              <w:rPr>
                <w:rFonts w:eastAsia="ＭＳ Ｐゴシック"/>
                <w:color w:val="000000"/>
                <w:szCs w:val="21"/>
                <w:lang w:val="en-US"/>
              </w:rPr>
              <w:t>TBoMS</w:t>
            </w:r>
            <w:proofErr w:type="spellEnd"/>
            <w:r>
              <w:rPr>
                <w:rFonts w:eastAsia="ＭＳ Ｐゴシック"/>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ＭＳ Ｐゴシック"/>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ＭＳ Ｐゴシック"/>
                <w:color w:val="000000"/>
                <w:szCs w:val="21"/>
              </w:rPr>
              <w:t>Intel</w:t>
            </w:r>
          </w:p>
        </w:tc>
        <w:tc>
          <w:tcPr>
            <w:tcW w:w="4494" w:type="pct"/>
          </w:tcPr>
          <w:p w14:paraId="14BA0B8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3. We prefer to differentiate DG and CG for </w:t>
            </w:r>
            <w:proofErr w:type="spellStart"/>
            <w:r>
              <w:rPr>
                <w:rFonts w:eastAsia="ＭＳ Ｐゴシック"/>
                <w:color w:val="000000"/>
                <w:szCs w:val="21"/>
                <w:lang w:val="en-US"/>
              </w:rPr>
              <w:t>TBoMS</w:t>
            </w:r>
            <w:proofErr w:type="spellEnd"/>
            <w:r>
              <w:rPr>
                <w:rFonts w:eastAsia="ＭＳ Ｐゴシック"/>
                <w:color w:val="000000"/>
                <w:szCs w:val="21"/>
                <w:lang w:val="en-US"/>
              </w:rPr>
              <w:t xml:space="preserve">. In our view, CG-PUSCH is optional w/ capability signaling. It would be more preferrable to differentiate these two cases.  </w:t>
            </w:r>
          </w:p>
        </w:tc>
      </w:tr>
      <w:tr w:rsidR="00EB3B75" w14:paraId="420743D8" w14:textId="77777777">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tc>
          <w:tcPr>
            <w:tcW w:w="506" w:type="pct"/>
          </w:tcPr>
          <w:p w14:paraId="2BC28079" w14:textId="77777777" w:rsidR="00EB3B75" w:rsidRDefault="00ED06A3">
            <w:pPr>
              <w:jc w:val="both"/>
              <w:rPr>
                <w:rFonts w:eastAsia="SimSun"/>
                <w:color w:val="000000"/>
                <w:szCs w:val="21"/>
                <w:lang w:val="en-US" w:eastAsia="zh-CN"/>
              </w:rPr>
            </w:pPr>
            <w:r>
              <w:rPr>
                <w:rFonts w:eastAsia="ＭＳ Ｐゴシック"/>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ＭＳ Ｐゴシック"/>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SimSun"/>
                <w:color w:val="000000"/>
                <w:szCs w:val="21"/>
                <w:lang w:eastAsia="zh-CN"/>
              </w:rPr>
            </w:pPr>
            <w:r>
              <w:rPr>
                <w:rFonts w:eastAsia="ＭＳ Ｐゴシック"/>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ＭＳ Ｐゴシック"/>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ＭＳ Ｐゴシック"/>
                <w:color w:val="000000"/>
                <w:szCs w:val="21"/>
              </w:rPr>
            </w:pPr>
            <w:r>
              <w:rPr>
                <w:rFonts w:eastAsia="ＭＳ Ｐゴシック"/>
                <w:color w:val="000000"/>
                <w:szCs w:val="21"/>
              </w:rPr>
              <w:t>Ericsson</w:t>
            </w:r>
          </w:p>
        </w:tc>
        <w:tc>
          <w:tcPr>
            <w:tcW w:w="4494" w:type="pct"/>
          </w:tcPr>
          <w:p w14:paraId="1B23FC8C" w14:textId="77777777" w:rsidR="00EB3B75" w:rsidRDefault="00ED06A3">
            <w:pPr>
              <w:rPr>
                <w:rFonts w:eastAsia="ＭＳ Ｐゴシック"/>
                <w:color w:val="000000"/>
                <w:szCs w:val="21"/>
                <w:lang w:val="en-US"/>
              </w:rPr>
            </w:pPr>
            <w:r>
              <w:rPr>
                <w:rFonts w:eastAsia="SimSun"/>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SimSun"/>
                <w:szCs w:val="21"/>
                <w:lang w:val="en-US" w:eastAsia="zh-CN"/>
              </w:rPr>
            </w:pPr>
            <w:r>
              <w:rPr>
                <w:rFonts w:eastAsia="ＭＳ Ｐゴシック" w:hint="eastAsia"/>
                <w:color w:val="000000"/>
                <w:szCs w:val="21"/>
              </w:rPr>
              <w:lastRenderedPageBreak/>
              <w:t>F</w:t>
            </w:r>
            <w:r>
              <w:rPr>
                <w:rFonts w:eastAsia="ＭＳ Ｐゴシック"/>
                <w:color w:val="000000"/>
                <w:szCs w:val="21"/>
              </w:rPr>
              <w:t>L2</w:t>
            </w:r>
          </w:p>
        </w:tc>
        <w:tc>
          <w:tcPr>
            <w:tcW w:w="4494" w:type="pct"/>
          </w:tcPr>
          <w:p w14:paraId="30EBDECC"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63CF1073"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1976C5DB"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p>
          <w:p w14:paraId="7C91294A"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single RRC parameter is used for indicating the number of allocated slots for </w:t>
            </w:r>
            <w:proofErr w:type="spellStart"/>
            <w:r>
              <w:rPr>
                <w:szCs w:val="21"/>
                <w:lang w:val="en-US"/>
              </w:rPr>
              <w:t>TBoMS</w:t>
            </w:r>
            <w:proofErr w:type="spellEnd"/>
          </w:p>
          <w:p w14:paraId="67E9E7B4" w14:textId="77777777" w:rsidR="00EB3B75" w:rsidRDefault="00ED06A3">
            <w:pPr>
              <w:pStyle w:val="aff5"/>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5"/>
              <w:numPr>
                <w:ilvl w:val="3"/>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30EF7280"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5"/>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ＭＳ Ｐゴシック"/>
                <w:color w:val="000000"/>
                <w:szCs w:val="21"/>
                <w:lang w:val="en-US"/>
              </w:rPr>
            </w:pPr>
          </w:p>
          <w:p w14:paraId="3E76C309"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ＭＳ Ｐゴシック"/>
                <w:color w:val="000000"/>
                <w:szCs w:val="21"/>
              </w:rPr>
            </w:pPr>
            <w:r>
              <w:rPr>
                <w:rFonts w:hint="eastAsia"/>
                <w:szCs w:val="21"/>
                <w:lang w:val="en-US"/>
              </w:rPr>
              <w:t>F</w:t>
            </w:r>
            <w:r>
              <w:rPr>
                <w:szCs w:val="21"/>
                <w:lang w:val="en-US"/>
              </w:rPr>
              <w:t>L3</w:t>
            </w:r>
          </w:p>
        </w:tc>
        <w:tc>
          <w:tcPr>
            <w:tcW w:w="4494" w:type="pct"/>
          </w:tcPr>
          <w:p w14:paraId="2EE2CF1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tc>
          <w:tcPr>
            <w:tcW w:w="506" w:type="pct"/>
          </w:tcPr>
          <w:p w14:paraId="2FA55AA4" w14:textId="684097AF" w:rsidR="00F652C5" w:rsidRDefault="00F652C5" w:rsidP="00F652C5">
            <w:pPr>
              <w:jc w:val="both"/>
              <w:rPr>
                <w:rFonts w:eastAsia="SimSun" w:hint="eastAsia"/>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hint="eastAsia"/>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4950" w:type="pct"/>
        <w:tblLook w:val="04A0" w:firstRow="1" w:lastRow="0" w:firstColumn="1" w:lastColumn="0" w:noHBand="0" w:noVBand="1"/>
      </w:tblPr>
      <w:tblGrid>
        <w:gridCol w:w="2238"/>
        <w:gridCol w:w="19921"/>
      </w:tblGrid>
      <w:tr w:rsidR="00EB3B75" w14:paraId="578FE6D7" w14:textId="77777777">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tc>
          <w:tcPr>
            <w:tcW w:w="505" w:type="pct"/>
          </w:tcPr>
          <w:p w14:paraId="46979AB3" w14:textId="77777777" w:rsidR="00EB3B75" w:rsidRDefault="00ED06A3">
            <w:pPr>
              <w:jc w:val="both"/>
              <w:rPr>
                <w:szCs w:val="21"/>
                <w:lang w:val="en-US"/>
              </w:rPr>
            </w:pPr>
            <w:r>
              <w:rPr>
                <w:rFonts w:hint="eastAsia"/>
                <w:szCs w:val="21"/>
                <w:lang w:val="en-US"/>
              </w:rPr>
              <w:lastRenderedPageBreak/>
              <w:t>N</w:t>
            </w:r>
            <w:r>
              <w:rPr>
                <w:szCs w:val="21"/>
                <w:lang w:val="en-US"/>
              </w:rPr>
              <w:t>TT DOCOMO</w:t>
            </w:r>
          </w:p>
        </w:tc>
        <w:tc>
          <w:tcPr>
            <w:tcW w:w="4494"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w:t>
            </w:r>
            <w:proofErr w:type="spellStart"/>
            <w:r>
              <w:rPr>
                <w:szCs w:val="21"/>
                <w:lang w:val="en-US"/>
              </w:rPr>
              <w:t>TBoMS</w:t>
            </w:r>
            <w:proofErr w:type="spellEnd"/>
            <w:r>
              <w:rPr>
                <w:szCs w:val="21"/>
                <w:lang w:val="en-US"/>
              </w:rPr>
              <w:t xml:space="preserve">. </w:t>
            </w:r>
          </w:p>
          <w:p w14:paraId="1C43D78A" w14:textId="77777777"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TBoMS</w:t>
            </w:r>
            <w:proofErr w:type="spellEnd"/>
            <w:r>
              <w:rPr>
                <w:szCs w:val="21"/>
                <w:lang w:val="en-US"/>
              </w:rPr>
              <w:t>.</w:t>
            </w:r>
          </w:p>
        </w:tc>
      </w:tr>
      <w:tr w:rsidR="00EB3B75" w14:paraId="0BA69BF1" w14:textId="77777777">
        <w:tc>
          <w:tcPr>
            <w:tcW w:w="505" w:type="pct"/>
          </w:tcPr>
          <w:p w14:paraId="1ABD5D71" w14:textId="77777777" w:rsidR="00EB3B75" w:rsidRDefault="00ED06A3">
            <w:pPr>
              <w:jc w:val="both"/>
              <w:rPr>
                <w:szCs w:val="21"/>
                <w:lang w:val="en-US"/>
              </w:rPr>
            </w:pPr>
            <w:r>
              <w:rPr>
                <w:szCs w:val="21"/>
                <w:lang w:val="en-US"/>
              </w:rPr>
              <w:t>QC</w:t>
            </w:r>
          </w:p>
        </w:tc>
        <w:tc>
          <w:tcPr>
            <w:tcW w:w="4494" w:type="pct"/>
          </w:tcPr>
          <w:p w14:paraId="6DB674AA"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Useful to have. Helps establish a clear lineage to R15 features.</w:t>
            </w:r>
          </w:p>
        </w:tc>
      </w:tr>
      <w:tr w:rsidR="00EB3B75" w14:paraId="1C8C0BEF" w14:textId="77777777">
        <w:tc>
          <w:tcPr>
            <w:tcW w:w="505" w:type="pct"/>
          </w:tcPr>
          <w:p w14:paraId="11B91B89" w14:textId="77777777" w:rsidR="00EB3B75" w:rsidRDefault="00ED06A3">
            <w:pPr>
              <w:jc w:val="both"/>
              <w:rPr>
                <w:szCs w:val="21"/>
                <w:lang w:val="en-US"/>
              </w:rPr>
            </w:pPr>
            <w:r>
              <w:rPr>
                <w:szCs w:val="21"/>
                <w:lang w:val="en-US"/>
              </w:rPr>
              <w:t>Intel</w:t>
            </w:r>
          </w:p>
        </w:tc>
        <w:tc>
          <w:tcPr>
            <w:tcW w:w="4494" w:type="pct"/>
          </w:tcPr>
          <w:p w14:paraId="056205FA" w14:textId="77777777" w:rsidR="00EB3B75" w:rsidRDefault="00ED06A3">
            <w:pPr>
              <w:rPr>
                <w:szCs w:val="21"/>
                <w:lang w:val="en-US"/>
              </w:rPr>
            </w:pPr>
            <w:r>
              <w:rPr>
                <w:szCs w:val="21"/>
                <w:lang w:val="en-US"/>
              </w:rPr>
              <w:t xml:space="preserve">We are fine to add a FG for </w:t>
            </w:r>
            <w:proofErr w:type="spellStart"/>
            <w:r>
              <w:rPr>
                <w:szCs w:val="21"/>
                <w:lang w:val="en-US"/>
              </w:rPr>
              <w:t>TBoMS</w:t>
            </w:r>
            <w:proofErr w:type="spellEnd"/>
            <w:r>
              <w:rPr>
                <w:szCs w:val="21"/>
                <w:lang w:val="en-US"/>
              </w:rPr>
              <w:t xml:space="preserve"> repetition. </w:t>
            </w:r>
          </w:p>
        </w:tc>
      </w:tr>
      <w:tr w:rsidR="00EB3B75" w14:paraId="4D0E1119" w14:textId="77777777">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4" w:type="pct"/>
          </w:tcPr>
          <w:p w14:paraId="79D56F97" w14:textId="77777777" w:rsidR="00EB3B75" w:rsidRDefault="00ED06A3">
            <w:pPr>
              <w:rPr>
                <w:rFonts w:eastAsia="SimSun"/>
                <w:szCs w:val="21"/>
                <w:lang w:val="en-US" w:eastAsia="zh-CN"/>
              </w:rPr>
            </w:pPr>
            <w:r>
              <w:rPr>
                <w:szCs w:val="21"/>
                <w:lang w:val="en-US"/>
              </w:rPr>
              <w:t xml:space="preserve">Ok to add a FG for </w:t>
            </w:r>
            <w:proofErr w:type="spellStart"/>
            <w:r>
              <w:rPr>
                <w:szCs w:val="21"/>
                <w:lang w:val="en-US"/>
              </w:rPr>
              <w:t>TBoMS</w:t>
            </w:r>
            <w:proofErr w:type="spellEnd"/>
            <w:r>
              <w:rPr>
                <w:szCs w:val="21"/>
                <w:lang w:val="en-US"/>
              </w:rPr>
              <w:t xml:space="preserve"> repetition.</w:t>
            </w:r>
          </w:p>
        </w:tc>
      </w:tr>
      <w:tr w:rsidR="00EB3B75" w14:paraId="73D2E437" w14:textId="77777777">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01A1636" w14:textId="77777777" w:rsidR="00EB3B75" w:rsidRDefault="00ED06A3">
            <w:pPr>
              <w:rPr>
                <w:szCs w:val="21"/>
                <w:lang w:val="en-US"/>
              </w:rPr>
            </w:pPr>
            <w:r>
              <w:rPr>
                <w:szCs w:val="21"/>
              </w:rPr>
              <w:t xml:space="preserve">No need to introduce a separate capability for the repetition of </w:t>
            </w:r>
            <w:proofErr w:type="spellStart"/>
            <w:r>
              <w:rPr>
                <w:szCs w:val="21"/>
              </w:rPr>
              <w:t>TBoMS</w:t>
            </w:r>
            <w:proofErr w:type="spellEnd"/>
            <w:r>
              <w:rPr>
                <w:szCs w:val="21"/>
              </w:rPr>
              <w:t xml:space="preserve">. If a UE supports </w:t>
            </w:r>
            <w:proofErr w:type="spellStart"/>
            <w:r>
              <w:rPr>
                <w:szCs w:val="21"/>
              </w:rPr>
              <w:t>TBoMS</w:t>
            </w:r>
            <w:proofErr w:type="spellEnd"/>
            <w:r>
              <w:rPr>
                <w:szCs w:val="21"/>
              </w:rPr>
              <w:t xml:space="preserve"> and PUSCH repetition Type A respectively, it means the UE also supports the repetition of </w:t>
            </w:r>
            <w:proofErr w:type="spellStart"/>
            <w:r>
              <w:rPr>
                <w:szCs w:val="21"/>
              </w:rPr>
              <w:t>TBoMS</w:t>
            </w:r>
            <w:proofErr w:type="spellEnd"/>
            <w:r>
              <w:rPr>
                <w:szCs w:val="21"/>
              </w:rPr>
              <w:t xml:space="preserve">. As for RV cycling, since legacy RV sequence and RV index indication is reused, we don’t see the need for separate FG for this combination. </w:t>
            </w:r>
          </w:p>
        </w:tc>
      </w:tr>
      <w:tr w:rsidR="00EB3B75" w14:paraId="4F17528B" w14:textId="77777777">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785EC63E" w14:textId="77777777"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 xml:space="preserve">upport to add FG for </w:t>
            </w:r>
            <w:proofErr w:type="spellStart"/>
            <w:r>
              <w:rPr>
                <w:rFonts w:eastAsia="SimSun"/>
                <w:szCs w:val="21"/>
                <w:lang w:val="en-US" w:eastAsia="zh-CN"/>
              </w:rPr>
              <w:t>TBoMS</w:t>
            </w:r>
            <w:proofErr w:type="spellEnd"/>
            <w:r>
              <w:rPr>
                <w:rFonts w:eastAsia="SimSun"/>
                <w:szCs w:val="21"/>
                <w:lang w:val="en-US" w:eastAsia="zh-CN"/>
              </w:rPr>
              <w:t xml:space="preserve"> with repetition.</w:t>
            </w:r>
          </w:p>
        </w:tc>
      </w:tr>
      <w:tr w:rsidR="00EB3B75" w14:paraId="615CA9CC" w14:textId="77777777">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4" w:type="pct"/>
          </w:tcPr>
          <w:p w14:paraId="2C62B23D" w14:textId="77777777" w:rsidR="00EB3B75" w:rsidRDefault="00ED06A3">
            <w:pPr>
              <w:rPr>
                <w:rFonts w:eastAsia="SimSun"/>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TBoMS</w:t>
            </w:r>
            <w:proofErr w:type="spellEnd"/>
            <w:r>
              <w:rPr>
                <w:szCs w:val="21"/>
                <w:lang w:val="en-US"/>
              </w:rPr>
              <w:t>) PUSCH is unclear.</w:t>
            </w:r>
          </w:p>
        </w:tc>
      </w:tr>
      <w:tr w:rsidR="00EB3B75" w14:paraId="67640877" w14:textId="77777777">
        <w:tc>
          <w:tcPr>
            <w:tcW w:w="505" w:type="pct"/>
          </w:tcPr>
          <w:p w14:paraId="3AEAD692" w14:textId="77777777" w:rsidR="00EB3B75" w:rsidRDefault="00ED06A3">
            <w:pPr>
              <w:jc w:val="both"/>
              <w:rPr>
                <w:szCs w:val="21"/>
                <w:lang w:val="en-US"/>
              </w:rPr>
            </w:pPr>
            <w:r>
              <w:rPr>
                <w:szCs w:val="21"/>
                <w:lang w:val="en-US"/>
              </w:rPr>
              <w:t>Ericsson</w:t>
            </w:r>
          </w:p>
        </w:tc>
        <w:tc>
          <w:tcPr>
            <w:tcW w:w="4494" w:type="pct"/>
          </w:tcPr>
          <w:p w14:paraId="5E366240" w14:textId="77777777" w:rsidR="00EB3B75" w:rsidRDefault="00ED06A3">
            <w:pPr>
              <w:rPr>
                <w:szCs w:val="21"/>
                <w:lang w:val="en-US"/>
              </w:rPr>
            </w:pPr>
            <w:r>
              <w:rPr>
                <w:szCs w:val="21"/>
                <w:lang w:val="en-US"/>
              </w:rPr>
              <w:t xml:space="preserve">We are OK to introduce a separate capability for </w:t>
            </w:r>
            <w:proofErr w:type="spellStart"/>
            <w:r>
              <w:rPr>
                <w:szCs w:val="21"/>
                <w:lang w:val="en-US"/>
              </w:rPr>
              <w:t>TBoMS</w:t>
            </w:r>
            <w:proofErr w:type="spellEnd"/>
            <w:r>
              <w:rPr>
                <w:szCs w:val="21"/>
                <w:lang w:val="en-US"/>
              </w:rPr>
              <w:t xml:space="preserve"> repetition.  This is similar to Rel-15 where UL slot aggregation is an independent feature from single-slot TB transmission without repetition. Here </w:t>
            </w:r>
            <w:proofErr w:type="spellStart"/>
            <w:r>
              <w:rPr>
                <w:szCs w:val="21"/>
                <w:lang w:val="en-US"/>
              </w:rPr>
              <w:t>TBoMS</w:t>
            </w:r>
            <w:proofErr w:type="spellEnd"/>
            <w:r>
              <w:rPr>
                <w:szCs w:val="21"/>
                <w:lang w:val="en-US"/>
              </w:rPr>
              <w:t xml:space="preserve"> is analogous to single-slot TB, and its repetition can be a separate capability.</w:t>
            </w:r>
          </w:p>
        </w:tc>
      </w:tr>
      <w:tr w:rsidR="00EB3B75" w14:paraId="4C38BFB0" w14:textId="77777777">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519C2C3"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85173F4" w14:textId="77777777" w:rsidR="00EB3B75" w:rsidRDefault="00ED06A3">
            <w:pPr>
              <w:pStyle w:val="aff5"/>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5"/>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77777777" w:rsidR="00EB3B75" w:rsidRDefault="00ED06A3">
            <w:pPr>
              <w:pStyle w:val="aff5"/>
              <w:numPr>
                <w:ilvl w:val="2"/>
                <w:numId w:val="16"/>
              </w:numPr>
              <w:spacing w:afterLines="50" w:after="120"/>
              <w:ind w:leftChars="0"/>
              <w:jc w:val="both"/>
              <w:rPr>
                <w:szCs w:val="21"/>
                <w:lang w:val="en-US"/>
              </w:rPr>
            </w:pPr>
            <w:proofErr w:type="spellStart"/>
            <w:r>
              <w:rPr>
                <w:szCs w:val="21"/>
                <w:lang w:val="en-US"/>
              </w:rPr>
              <w:t>TBoMS</w:t>
            </w:r>
            <w:proofErr w:type="spellEnd"/>
            <w:r>
              <w:rPr>
                <w:szCs w:val="21"/>
                <w:lang w:val="en-US"/>
              </w:rPr>
              <w:t xml:space="preserve"> is analogous to single-slot TB, and its repetition can be a separate capability</w:t>
            </w:r>
          </w:p>
          <w:p w14:paraId="50B78829"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5"/>
              <w:numPr>
                <w:ilvl w:val="2"/>
                <w:numId w:val="16"/>
              </w:numPr>
              <w:spacing w:afterLines="50" w:after="120"/>
              <w:ind w:leftChars="0"/>
              <w:jc w:val="both"/>
              <w:rPr>
                <w:szCs w:val="21"/>
                <w:lang w:val="en-US"/>
              </w:rPr>
            </w:pPr>
            <w:r>
              <w:rPr>
                <w:szCs w:val="21"/>
              </w:rPr>
              <w:t>legacy RV sequence and RV index indication is reused</w:t>
            </w:r>
          </w:p>
          <w:p w14:paraId="1AE324DC" w14:textId="77777777" w:rsidR="00EB3B75" w:rsidRDefault="00ED06A3">
            <w:pPr>
              <w:pStyle w:val="aff5"/>
              <w:numPr>
                <w:ilvl w:val="2"/>
                <w:numId w:val="16"/>
              </w:numPr>
              <w:spacing w:afterLines="50" w:after="120"/>
              <w:ind w:leftChars="0"/>
              <w:jc w:val="both"/>
              <w:rPr>
                <w:szCs w:val="21"/>
                <w:lang w:val="en-US"/>
              </w:rPr>
            </w:pP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w:t>
            </w:r>
          </w:p>
          <w:p w14:paraId="1709C279" w14:textId="77777777" w:rsidR="00EB3B75" w:rsidRDefault="00EB3B75">
            <w:pPr>
              <w:rPr>
                <w:szCs w:val="21"/>
                <w:lang w:val="en-US"/>
              </w:rPr>
            </w:pPr>
          </w:p>
          <w:p w14:paraId="6C76586C"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07662782"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A696C01" w14:textId="77777777">
        <w:tc>
          <w:tcPr>
            <w:tcW w:w="505" w:type="pct"/>
          </w:tcPr>
          <w:p w14:paraId="0D05BE96" w14:textId="77777777" w:rsidR="00EB3B75" w:rsidRDefault="00ED06A3">
            <w:pPr>
              <w:jc w:val="both"/>
              <w:rPr>
                <w:szCs w:val="21"/>
                <w:lang w:val="en-US"/>
              </w:rPr>
            </w:pPr>
            <w:r>
              <w:rPr>
                <w:szCs w:val="21"/>
                <w:lang w:val="en-US"/>
              </w:rPr>
              <w:t>QC</w:t>
            </w:r>
          </w:p>
        </w:tc>
        <w:tc>
          <w:tcPr>
            <w:tcW w:w="4494" w:type="pct"/>
          </w:tcPr>
          <w:p w14:paraId="306D4128"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xml:space="preserve">. </w:t>
            </w:r>
          </w:p>
        </w:tc>
      </w:tr>
      <w:tr w:rsidR="00EB3B75" w14:paraId="62F8951C" w14:textId="77777777">
        <w:tc>
          <w:tcPr>
            <w:tcW w:w="505" w:type="pct"/>
          </w:tcPr>
          <w:p w14:paraId="69613F59" w14:textId="77777777" w:rsidR="00EB3B75" w:rsidRDefault="00ED06A3">
            <w:pPr>
              <w:jc w:val="both"/>
              <w:rPr>
                <w:szCs w:val="21"/>
                <w:lang w:val="en-US"/>
              </w:rPr>
            </w:pPr>
            <w:r>
              <w:rPr>
                <w:szCs w:val="21"/>
                <w:lang w:val="en-US"/>
              </w:rPr>
              <w:t>Nokia, NSB</w:t>
            </w:r>
          </w:p>
        </w:tc>
        <w:tc>
          <w:tcPr>
            <w:tcW w:w="4494" w:type="pct"/>
          </w:tcPr>
          <w:p w14:paraId="52C82321"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2, for the reasons in our previous comment above. </w:t>
            </w:r>
          </w:p>
        </w:tc>
      </w:tr>
      <w:tr w:rsidR="00EB3B75" w14:paraId="54B5DB4A" w14:textId="77777777">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D56F255"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1. Separate </w:t>
            </w:r>
            <w:proofErr w:type="spellStart"/>
            <w:r>
              <w:rPr>
                <w:rFonts w:eastAsia="SimSun"/>
                <w:color w:val="000000"/>
                <w:szCs w:val="21"/>
                <w:lang w:val="en-US" w:eastAsia="zh-CN"/>
              </w:rPr>
              <w:t>TBoMS</w:t>
            </w:r>
            <w:proofErr w:type="spellEnd"/>
            <w:r>
              <w:rPr>
                <w:rFonts w:eastAsia="SimSun"/>
                <w:color w:val="000000"/>
                <w:szCs w:val="21"/>
                <w:lang w:val="en-US" w:eastAsia="zh-CN"/>
              </w:rPr>
              <w:t xml:space="preserve"> capability and repetition capability are separately reported, same as single PUSCH and PUSCH repetition.</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lastRenderedPageBreak/>
        <w:t>[FL1] High priority question 3-3:</w:t>
      </w:r>
    </w:p>
    <w:p w14:paraId="28E71C1B"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proofErr w:type="spellStart"/>
      <w:r>
        <w:rPr>
          <w:b/>
          <w:bCs/>
          <w:szCs w:val="21"/>
          <w:lang w:val="en-US"/>
        </w:rPr>
        <w:t>whethe</w:t>
      </w:r>
      <w:proofErr w:type="spellEnd"/>
      <w:r>
        <w:rPr>
          <w:b/>
          <w:bCs/>
          <w:szCs w:val="21"/>
          <w:lang w:val="en-US"/>
        </w:rPr>
        <w:t xml:space="preserve"> to add an FG for the maximum concurrent </w:t>
      </w:r>
      <w:proofErr w:type="spellStart"/>
      <w:r>
        <w:rPr>
          <w:b/>
          <w:bCs/>
          <w:szCs w:val="21"/>
          <w:lang w:val="en-US"/>
        </w:rPr>
        <w:t>TBoMS</w:t>
      </w:r>
      <w:proofErr w:type="spellEnd"/>
      <w:r>
        <w:rPr>
          <w:b/>
          <w:bCs/>
          <w:szCs w:val="21"/>
          <w:lang w:val="en-US"/>
        </w:rPr>
        <w:t xml:space="preserve"> transmissions supported by a UE across all carriers when operating in UL-CA</w:t>
      </w:r>
    </w:p>
    <w:p w14:paraId="452DEF68"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tbl>
      <w:tblPr>
        <w:tblStyle w:val="afc"/>
        <w:tblW w:w="5000" w:type="pct"/>
        <w:tblLook w:val="04A0" w:firstRow="1" w:lastRow="0" w:firstColumn="1" w:lastColumn="0" w:noHBand="0" w:noVBand="1"/>
      </w:tblPr>
      <w:tblGrid>
        <w:gridCol w:w="2265"/>
        <w:gridCol w:w="20118"/>
      </w:tblGrid>
      <w:tr w:rsidR="00EB3B75" w14:paraId="1E74172E" w14:textId="77777777">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rPr>
              <w:t>W</w:t>
            </w:r>
            <w:r>
              <w:rPr>
                <w:szCs w:val="21"/>
                <w:lang w:val="en-US"/>
              </w:rPr>
              <w:t>e are not sure why we need this FG.</w:t>
            </w:r>
          </w:p>
        </w:tc>
      </w:tr>
      <w:tr w:rsidR="00EB3B75" w14:paraId="41597D78" w14:textId="77777777">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77777777" w:rsidR="00EB3B75" w:rsidRDefault="00ED06A3">
            <w:pPr>
              <w:rPr>
                <w:rFonts w:eastAsia="SimSun"/>
                <w:szCs w:val="21"/>
                <w:lang w:val="en-US" w:eastAsia="zh-CN"/>
              </w:rPr>
            </w:pPr>
            <w:r>
              <w:rPr>
                <w:szCs w:val="21"/>
                <w:lang w:val="en-US"/>
              </w:rPr>
              <w:t xml:space="preserve">The motivation to introduce this FG is not clear, </w:t>
            </w:r>
            <w:proofErr w:type="spellStart"/>
            <w:r>
              <w:rPr>
                <w:szCs w:val="21"/>
                <w:lang w:val="en-US"/>
              </w:rPr>
              <w:t>TBoMS</w:t>
            </w:r>
            <w:proofErr w:type="spellEnd"/>
            <w:r>
              <w:rPr>
                <w:szCs w:val="21"/>
                <w:lang w:val="en-US"/>
              </w:rPr>
              <w:t xml:space="preserve"> is introduced as a coverage enhancement technique. If UE already has the coverage issue why it is configured with UL CA.</w:t>
            </w:r>
          </w:p>
        </w:tc>
      </w:tr>
      <w:tr w:rsidR="00EB3B75" w14:paraId="2CAA526D" w14:textId="77777777">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0DA3B96"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5"/>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 xml:space="preserve">Huawei, </w:t>
            </w:r>
            <w:proofErr w:type="spellStart"/>
            <w:r>
              <w:rPr>
                <w:rFonts w:eastAsia="SimSun"/>
                <w:szCs w:val="21"/>
                <w:lang w:val="en-US" w:eastAsia="zh-CN"/>
              </w:rPr>
              <w:t>HiSilicon</w:t>
            </w:r>
            <w:proofErr w:type="spellEnd"/>
          </w:p>
          <w:p w14:paraId="1D9CDA1F"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UL CA is not the main target for </w:t>
            </w:r>
            <w:proofErr w:type="spellStart"/>
            <w:r>
              <w:rPr>
                <w:szCs w:val="21"/>
                <w:lang w:val="en-US"/>
              </w:rPr>
              <w:t>CovEnh</w:t>
            </w:r>
            <w:proofErr w:type="spellEnd"/>
          </w:p>
          <w:p w14:paraId="256894B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77777777" w:rsidR="00EB3B75" w:rsidRDefault="00ED06A3">
            <w:pPr>
              <w:pStyle w:val="aff5"/>
              <w:numPr>
                <w:ilvl w:val="0"/>
                <w:numId w:val="20"/>
              </w:numPr>
              <w:ind w:leftChars="0"/>
              <w:rPr>
                <w:rFonts w:eastAsia="SimSun"/>
                <w:color w:val="000000"/>
                <w:szCs w:val="21"/>
                <w:lang w:val="en-US" w:eastAsia="zh-CN"/>
              </w:rPr>
            </w:pPr>
            <w:r>
              <w:rPr>
                <w:b/>
                <w:bCs/>
                <w:szCs w:val="21"/>
                <w:lang w:val="en-US"/>
              </w:rPr>
              <w:t xml:space="preserve">FG for the maximum concurrent </w:t>
            </w:r>
            <w:proofErr w:type="spellStart"/>
            <w:r>
              <w:rPr>
                <w:b/>
                <w:bCs/>
                <w:szCs w:val="21"/>
                <w:lang w:val="en-US"/>
              </w:rPr>
              <w:t>TBoMS</w:t>
            </w:r>
            <w:proofErr w:type="spellEnd"/>
            <w:r>
              <w:rPr>
                <w:b/>
                <w:bCs/>
                <w:szCs w:val="21"/>
                <w:lang w:val="en-US"/>
              </w:rPr>
              <w:t xml:space="preserve"> transmissions supported by a UE across all carriers when operating in UL-CA is not necessary</w:t>
            </w:r>
          </w:p>
        </w:tc>
      </w:tr>
      <w:tr w:rsidR="00EB3B75" w14:paraId="70D1E065" w14:textId="77777777">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397E4E2" w14:textId="77777777">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ＭＳ Ｐゴシック"/>
                <w:color w:val="000000"/>
                <w:szCs w:val="21"/>
                <w:lang w:val="en-US"/>
              </w:rPr>
            </w:pPr>
            <w:r>
              <w:rPr>
                <w:rFonts w:eastAsia="ＭＳ Ｐゴシック"/>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ＭＳ Ｐゴシック"/>
                <w:color w:val="000000"/>
                <w:szCs w:val="21"/>
                <w:lang w:val="en-US"/>
              </w:rPr>
            </w:pPr>
            <w:r>
              <w:rPr>
                <w:rFonts w:eastAsia="ＭＳ Ｐゴシック"/>
                <w:color w:val="000000"/>
                <w:szCs w:val="21"/>
                <w:lang w:val="en-US"/>
              </w:rPr>
              <w:t>Let not conclude this issue since many companies have asked for clarification.</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lastRenderedPageBreak/>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103315DD" w14:textId="77777777" w:rsidR="00EB3B75" w:rsidRDefault="00ED06A3">
            <w:pPr>
              <w:rPr>
                <w:rFonts w:ascii="ＭＳ Ｐゴシック" w:eastAsia="ＭＳ Ｐゴシック" w:hAnsi="ＭＳ Ｐゴシック" w:cs="ＭＳ Ｐゴシック"/>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 xml:space="preserve">er UE: Huawei, </w:t>
      </w:r>
      <w:proofErr w:type="spellStart"/>
      <w:r>
        <w:rPr>
          <w:szCs w:val="24"/>
        </w:rPr>
        <w:t>HiSilicon</w:t>
      </w:r>
      <w:proofErr w:type="spellEnd"/>
      <w:r>
        <w:rPr>
          <w:szCs w:val="24"/>
        </w:rPr>
        <w:t>, ZTE</w:t>
      </w:r>
    </w:p>
    <w:p w14:paraId="2688306F"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5"/>
        <w:numPr>
          <w:ilvl w:val="3"/>
          <w:numId w:val="16"/>
        </w:numPr>
        <w:spacing w:afterLines="50" w:after="120"/>
        <w:ind w:leftChars="0"/>
        <w:jc w:val="both"/>
        <w:rPr>
          <w:szCs w:val="24"/>
          <w:lang w:val="en-US"/>
        </w:rPr>
      </w:pPr>
      <w:r>
        <w:rPr>
          <w:szCs w:val="24"/>
          <w:lang w:val="en-US"/>
        </w:rPr>
        <w:t xml:space="preserve">Not necessary: </w:t>
      </w:r>
      <w:r>
        <w:rPr>
          <w:szCs w:val="24"/>
        </w:rPr>
        <w:t xml:space="preserve">Huawei, </w:t>
      </w:r>
      <w:proofErr w:type="spellStart"/>
      <w:r>
        <w:rPr>
          <w:szCs w:val="24"/>
        </w:rPr>
        <w:t>HiSilicon</w:t>
      </w:r>
      <w:proofErr w:type="spellEnd"/>
    </w:p>
    <w:p w14:paraId="6EEB5752" w14:textId="77777777" w:rsidR="00EB3B75" w:rsidRDefault="00ED06A3">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 xml:space="preserve">No differentiation between TDD and FDD is needed, as it was agreed that a single </w:t>
            </w:r>
            <w:proofErr w:type="spellStart"/>
            <w:r>
              <w:rPr>
                <w:szCs w:val="21"/>
                <w:lang w:val="en-US"/>
              </w:rPr>
              <w:t>TBoMS</w:t>
            </w:r>
            <w:proofErr w:type="spellEnd"/>
            <w:r>
              <w:rPr>
                <w:szCs w:val="21"/>
                <w:lang w:val="en-US"/>
              </w:rPr>
              <w:t xml:space="preserve">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77777777" w:rsidR="00EB3B75" w:rsidRDefault="00ED06A3">
            <w:pPr>
              <w:spacing w:after="0"/>
              <w:rPr>
                <w:rFonts w:ascii="ＭＳ Ｐゴシック" w:eastAsia="ＭＳ Ｐゴシック" w:hAnsi="ＭＳ Ｐゴシック" w:cs="ＭＳ Ｐゴシック"/>
                <w:color w:val="000000"/>
                <w:szCs w:val="21"/>
                <w:lang w:val="en-US"/>
              </w:rPr>
            </w:pPr>
            <w:r>
              <w:rPr>
                <w:bCs/>
                <w:szCs w:val="24"/>
              </w:rPr>
              <w:t xml:space="preserve">Prerequisite </w:t>
            </w:r>
            <w:r>
              <w:rPr>
                <w:rFonts w:eastAsia="SimSun"/>
                <w:color w:val="000000"/>
                <w:szCs w:val="21"/>
                <w:lang w:val="en-US" w:eastAsia="zh-CN"/>
              </w:rPr>
              <w:t xml:space="preserve">FG should be 30-2, since </w:t>
            </w:r>
            <w:proofErr w:type="spellStart"/>
            <w:r>
              <w:rPr>
                <w:rFonts w:eastAsia="SimSun"/>
                <w:color w:val="000000"/>
                <w:szCs w:val="21"/>
                <w:lang w:val="en-US" w:eastAsia="zh-CN"/>
              </w:rPr>
              <w:t>TBoMS</w:t>
            </w:r>
            <w:proofErr w:type="spellEnd"/>
            <w:r>
              <w:rPr>
                <w:rFonts w:eastAsia="SimSun"/>
                <w:color w:val="000000"/>
                <w:szCs w:val="21"/>
                <w:lang w:val="en-US" w:eastAsia="zh-CN"/>
              </w:rPr>
              <w:t xml:space="preserve">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ＭＳ 明朝"/>
          <w:b/>
          <w:bCs/>
          <w:szCs w:val="24"/>
          <w:lang w:val="de-DE"/>
        </w:rPr>
      </w:pPr>
      <w:r>
        <w:rPr>
          <w:rFonts w:eastAsia="ＭＳ 明朝"/>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52A8ED22"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77777777" w:rsidR="00EB3B75" w:rsidRDefault="00ED06A3">
            <w:pPr>
              <w:rPr>
                <w:lang w:eastAsia="zh-CN"/>
              </w:rPr>
            </w:pPr>
            <w:r>
              <w:rPr>
                <w:lang w:eastAsia="zh-CN"/>
              </w:rPr>
              <w:t xml:space="preserve">On the basis of the agreements reached in AI 8.8.1.3, whether DMRS bundling for repetition type B and </w:t>
            </w:r>
            <w:proofErr w:type="spellStart"/>
            <w:r>
              <w:rPr>
                <w:lang w:eastAsia="zh-CN"/>
              </w:rPr>
              <w:t>TBoMS</w:t>
            </w:r>
            <w:proofErr w:type="spellEnd"/>
            <w:r>
              <w:rPr>
                <w:lang w:eastAsia="zh-CN"/>
              </w:rPr>
              <w:t xml:space="preserve">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w:t>
            </w:r>
            <w:proofErr w:type="gramStart"/>
            <w:r>
              <w:rPr>
                <w:b/>
                <w:i/>
                <w:szCs w:val="24"/>
                <w:lang w:eastAsia="zh-CN"/>
              </w:rPr>
              <w:t>e.g.</w:t>
            </w:r>
            <w:proofErr w:type="gramEnd"/>
            <w:r>
              <w:rPr>
                <w:b/>
                <w:i/>
                <w:szCs w:val="24"/>
                <w:lang w:eastAsia="zh-CN"/>
              </w:rPr>
              <w:t xml:space="preserve"> repetition type A, repetition type B, </w:t>
            </w:r>
            <w:proofErr w:type="spellStart"/>
            <w:r>
              <w:rPr>
                <w:b/>
                <w:i/>
                <w:szCs w:val="24"/>
                <w:lang w:eastAsia="zh-CN"/>
              </w:rPr>
              <w:t>TBoMS</w:t>
            </w:r>
            <w:proofErr w:type="spellEnd"/>
            <w:r>
              <w:rPr>
                <w:b/>
                <w:i/>
                <w:szCs w:val="24"/>
                <w:lang w:eastAsia="zh-CN"/>
              </w:rPr>
              <w:t>,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77777777"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w:t>
            </w:r>
            <w:proofErr w:type="spellStart"/>
            <w:r>
              <w:rPr>
                <w:rFonts w:eastAsia="SimSun" w:hint="eastAsia"/>
                <w:sz w:val="20"/>
                <w:lang w:val="en-US" w:eastAsia="zh-CN"/>
              </w:rPr>
              <w:t>TBoMS</w:t>
            </w:r>
            <w:proofErr w:type="spellEnd"/>
            <w:r>
              <w:rPr>
                <w:rFonts w:eastAsia="SimSun" w:hint="eastAsia"/>
                <w:sz w:val="20"/>
                <w:lang w:val="en-US" w:eastAsia="zh-CN"/>
              </w:rPr>
              <w:t xml:space="preserve">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d"/>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67FF8353" w14:textId="77777777" w:rsidR="00EB3B75" w:rsidRDefault="00ED06A3">
            <w:pPr>
              <w:jc w:val="both"/>
              <w:rPr>
                <w:sz w:val="22"/>
                <w:lang w:val="en-US"/>
              </w:rPr>
            </w:pPr>
            <w:r>
              <w:rPr>
                <w:rFonts w:eastAsia="ＭＳ 明朝"/>
                <w:sz w:val="22"/>
              </w:rPr>
              <w:t>Nokia, Nokia Shanghai Bell</w:t>
            </w:r>
          </w:p>
        </w:tc>
        <w:tc>
          <w:tcPr>
            <w:tcW w:w="19931" w:type="dxa"/>
          </w:tcPr>
          <w:p w14:paraId="505DF539" w14:textId="77777777" w:rsidR="00EB3B75" w:rsidRDefault="00ED06A3">
            <w:pPr>
              <w:pStyle w:val="aff5"/>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5"/>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1831" w:type="dxa"/>
          </w:tcPr>
          <w:p w14:paraId="6EE255B1" w14:textId="77777777" w:rsidR="00EB3B75" w:rsidRDefault="00ED06A3">
            <w:pPr>
              <w:jc w:val="both"/>
              <w:rPr>
                <w:sz w:val="22"/>
                <w:lang w:val="en-US"/>
              </w:rPr>
            </w:pPr>
            <w:r>
              <w:rPr>
                <w:rFonts w:eastAsia="ＭＳ 明朝"/>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5"/>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c"/>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77777777"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TBoMS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TBoMS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TBoMS</w:t>
            </w:r>
            <w:proofErr w:type="spellEnd"/>
            <w:r>
              <w:rPr>
                <w:rFonts w:eastAsiaTheme="minorEastAsia"/>
                <w:lang w:eastAsia="ko-KR"/>
              </w:rPr>
              <w:t xml:space="preserve">.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d"/>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77777777" w:rsidR="00EB3B75" w:rsidRDefault="00ED06A3">
            <w:pPr>
              <w:pStyle w:val="ad"/>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w:t>
            </w:r>
            <w:proofErr w:type="spellStart"/>
            <w:r>
              <w:rPr>
                <w:rFonts w:cstheme="minorHAnsi"/>
              </w:rPr>
              <w:t>TBoMS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7EE456D3" w14:textId="77777777" w:rsidR="00EB3B75" w:rsidRDefault="00ED06A3">
            <w:pPr>
              <w:pStyle w:val="ad"/>
              <w:spacing w:before="240"/>
              <w:rPr>
                <w:rFonts w:cstheme="minorHAnsi"/>
              </w:rPr>
            </w:pPr>
            <w:r>
              <w:rPr>
                <w:rFonts w:cstheme="minorHAnsi"/>
                <w:b/>
                <w:bCs/>
              </w:rPr>
              <w:lastRenderedPageBreak/>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77777777" w:rsidR="00EB3B75" w:rsidRDefault="00ED06A3">
            <w:pPr>
              <w:pStyle w:val="ad"/>
              <w:spacing w:before="240"/>
              <w:rPr>
                <w:rFonts w:cstheme="minorHAnsi"/>
              </w:rPr>
            </w:pPr>
            <w:r>
              <w:rPr>
                <w:rFonts w:cstheme="minorHAnsi"/>
                <w:b/>
                <w:bCs/>
              </w:rPr>
              <w:t xml:space="preserve">30-4c: </w:t>
            </w:r>
            <w:r>
              <w:rPr>
                <w:rFonts w:cstheme="minorHAnsi"/>
              </w:rPr>
              <w:t xml:space="preserve">Similar to 30-4b, our understanding is that DM-RS bundling for </w:t>
            </w:r>
            <w:proofErr w:type="spellStart"/>
            <w:r>
              <w:rPr>
                <w:rFonts w:cstheme="minorHAnsi"/>
              </w:rPr>
              <w:t>TBoMS</w:t>
            </w:r>
            <w:proofErr w:type="spellEnd"/>
            <w:r>
              <w:rPr>
                <w:rFonts w:cstheme="minorHAnsi"/>
              </w:rPr>
              <w:t xml:space="preserve"> is not any different than for Type A repetition, so it is not specifically for </w:t>
            </w:r>
            <w:proofErr w:type="spellStart"/>
            <w:r>
              <w:rPr>
                <w:rFonts w:cstheme="minorHAnsi"/>
              </w:rPr>
              <w:t>TBoMS</w:t>
            </w:r>
            <w:proofErr w:type="spellEnd"/>
            <w:r>
              <w:rPr>
                <w:rFonts w:cstheme="minorHAnsi"/>
              </w:rPr>
              <w:t xml:space="preserve">, but the support is for DM-RS bundling when </w:t>
            </w:r>
            <w:proofErr w:type="spellStart"/>
            <w:r>
              <w:rPr>
                <w:rFonts w:cstheme="minorHAnsi"/>
              </w:rPr>
              <w:t>TBoMS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77777777" w:rsidR="00EB3B75" w:rsidRDefault="00ED06A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TBoMS</w:t>
            </w:r>
            <w:proofErr w:type="spellEnd"/>
            <w:r>
              <w:rPr>
                <w:rFonts w:cstheme="minorHAnsi"/>
              </w:rPr>
              <w:t xml:space="preserve">. PUSCH Type A scheduling (2-16) is assumed as a baseline for both of these features and so should be a prerequisite. Lastly, especially since UEs in a cell not supporting JCE or </w:t>
            </w:r>
            <w:proofErr w:type="spellStart"/>
            <w:r>
              <w:rPr>
                <w:rFonts w:cstheme="minorHAnsi"/>
              </w:rPr>
              <w:t>TBoMS</w:t>
            </w:r>
            <w:proofErr w:type="spellEnd"/>
            <w:r>
              <w:rPr>
                <w:rFonts w:cstheme="minorHAnsi"/>
              </w:rPr>
              <w:t xml:space="preserve"> should be able to hop with UEs configured for JCE and/or </w:t>
            </w:r>
            <w:proofErr w:type="spellStart"/>
            <w:r>
              <w:rPr>
                <w:rFonts w:cstheme="minorHAnsi"/>
              </w:rPr>
              <w:t>TBoMS</w:t>
            </w:r>
            <w:proofErr w:type="spellEnd"/>
            <w:r>
              <w:rPr>
                <w:rFonts w:cstheme="minorHAnsi"/>
              </w:rPr>
              <w:t xml:space="preserve">, and since enhanced frequency hopping patterns can have gains for UEs not configured for JCE and/or </w:t>
            </w:r>
            <w:proofErr w:type="spellStart"/>
            <w:r>
              <w:rPr>
                <w:rFonts w:cstheme="minorHAnsi"/>
              </w:rPr>
              <w:t>TBoMS</w:t>
            </w:r>
            <w:proofErr w:type="spellEnd"/>
            <w:r>
              <w:rPr>
                <w:rFonts w:cstheme="minorHAnsi"/>
              </w:rPr>
              <w:t>, 2-16 should be a sufficient prerequisite for PUSCH inter-slot frequency hopping, and e.g. 30-4 and 30-3 should not be prerequisites.</w:t>
            </w:r>
          </w:p>
          <w:p w14:paraId="2EC532E9" w14:textId="77777777" w:rsidR="00EB3B75" w:rsidRDefault="00ED06A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ad"/>
              <w:spacing w:before="240"/>
              <w:rPr>
                <w:rFonts w:cstheme="minorHAnsi"/>
              </w:rPr>
            </w:pPr>
            <w:r>
              <w:rPr>
                <w:rFonts w:cstheme="minorHAnsi"/>
                <w:b/>
                <w:bCs/>
              </w:rPr>
              <w:t xml:space="preserve">30-4g: </w:t>
            </w:r>
            <w:r>
              <w:rPr>
                <w:rFonts w:cstheme="minorHAnsi"/>
              </w:rPr>
              <w:t xml:space="preserve">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proofErr w:type="gramStart"/>
            <w:r>
              <w:rPr>
                <w:strike/>
                <w:color w:val="FF0000"/>
              </w:rPr>
              <w:t>the</w:t>
            </w:r>
            <w:r>
              <w:rPr>
                <w:color w:val="FF0000"/>
              </w:rPr>
              <w:t xml:space="preserve"> </w:t>
            </w:r>
            <w:r>
              <w:rPr>
                <w:color w:val="FF0000"/>
                <w:u w:val="single"/>
              </w:rPr>
              <w:t>an</w:t>
            </w:r>
            <w:proofErr w:type="gramEnd"/>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a6"/>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521456DC" w14:textId="77777777" w:rsidR="00EB3B75" w:rsidRDefault="00ED06A3">
            <w:pPr>
              <w:jc w:val="both"/>
              <w:rPr>
                <w:sz w:val="22"/>
                <w:lang w:val="en-US"/>
              </w:rPr>
            </w:pPr>
            <w:r>
              <w:rPr>
                <w:rFonts w:eastAsia="ＭＳ 明朝"/>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77777777"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TBoMS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6C284B8E"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7</w:t>
            </w:r>
            <w:r>
              <w:rPr>
                <w:rFonts w:eastAsia="游明朝" w:hint="eastAsia"/>
                <w:b/>
                <w:sz w:val="22"/>
                <w:szCs w:val="22"/>
              </w:rPr>
              <w:t>:</w:t>
            </w:r>
            <w:r>
              <w:rPr>
                <w:rFonts w:eastAsia="游明朝"/>
                <w:b/>
                <w:sz w:val="22"/>
                <w:szCs w:val="22"/>
              </w:rPr>
              <w:t xml:space="preserve"> Merge FGs 30-4a, 30-4b, and 30-4c into the same FG, since the common DM-RS bundling mechanism is used for PUSCH repetition type A, B, and </w:t>
            </w:r>
            <w:proofErr w:type="spellStart"/>
            <w:r>
              <w:rPr>
                <w:rFonts w:eastAsia="游明朝"/>
                <w:b/>
                <w:sz w:val="22"/>
                <w:szCs w:val="22"/>
              </w:rPr>
              <w:t>TBoMS</w:t>
            </w:r>
            <w:proofErr w:type="spellEnd"/>
            <w:r>
              <w:rPr>
                <w:rFonts w:eastAsia="游明朝"/>
                <w:b/>
                <w:sz w:val="22"/>
                <w:szCs w:val="22"/>
              </w:rPr>
              <w:t xml:space="preserve">.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656DDC74" w14:textId="77777777" w:rsidR="00EB3B75" w:rsidRDefault="00ED06A3">
            <w:pPr>
              <w:rPr>
                <w:rFonts w:eastAsia="SimSun"/>
                <w:lang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0E392268" w14:textId="77777777">
        <w:tc>
          <w:tcPr>
            <w:tcW w:w="621" w:type="dxa"/>
          </w:tcPr>
          <w:p w14:paraId="59E49D12"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EEC63DA" w14:textId="77777777" w:rsidR="00EB3B75" w:rsidRDefault="00ED06A3">
            <w:pPr>
              <w:jc w:val="both"/>
              <w:rPr>
                <w:sz w:val="22"/>
                <w:lang w:val="en-US"/>
              </w:rPr>
            </w:pPr>
            <w:r>
              <w:rPr>
                <w:rFonts w:eastAsia="ＭＳ 明朝"/>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1B433EA6" w14:textId="77777777" w:rsidR="00EB3B75" w:rsidRDefault="00ED06A3">
            <w:pPr>
              <w:jc w:val="both"/>
              <w:rPr>
                <w:sz w:val="22"/>
                <w:lang w:val="en-US"/>
              </w:rPr>
            </w:pPr>
            <w:r>
              <w:rPr>
                <w:rFonts w:eastAsia="ＭＳ 明朝"/>
                <w:sz w:val="22"/>
              </w:rPr>
              <w:t>MediaTek Inc.</w:t>
            </w:r>
          </w:p>
        </w:tc>
        <w:tc>
          <w:tcPr>
            <w:tcW w:w="19931" w:type="dxa"/>
          </w:tcPr>
          <w:p w14:paraId="7DC731FB" w14:textId="77777777" w:rsidR="00EB3B75" w:rsidRDefault="00ED06A3">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a6"/>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(a) different modulation orders</w:t>
      </w:r>
    </w:p>
    <w:p w14:paraId="22F83A2D"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p w14:paraId="56C4AD4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tbl>
      <w:tblPr>
        <w:tblStyle w:val="afc"/>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not clear why we’ll ever have 16-QAM or higher modulation order paired with PUSCH repetitions.</w:t>
            </w:r>
          </w:p>
          <w:p w14:paraId="2FF6F1D5"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(b) this will definitely be needed as a UE Tx needs to get into a “standby” mode before resuming transmissions, and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ＭＳ Ｐゴシック"/>
                <w:color w:val="000000"/>
                <w:szCs w:val="21"/>
                <w:lang w:val="en-US"/>
              </w:rPr>
            </w:pPr>
            <w:r>
              <w:rPr>
                <w:rFonts w:eastAsia="ＭＳ Ｐゴシック"/>
                <w:color w:val="000000"/>
                <w:szCs w:val="21"/>
                <w:lang w:val="en-US"/>
              </w:rPr>
              <w:t>Intel</w:t>
            </w:r>
          </w:p>
        </w:tc>
        <w:tc>
          <w:tcPr>
            <w:tcW w:w="4526" w:type="pct"/>
          </w:tcPr>
          <w:p w14:paraId="42AF0902"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ＭＳ Ｐゴシック"/>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ＭＳ Ｐゴシック"/>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ＭＳ Ｐゴシック"/>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77777777" w:rsidR="00EB3B75" w:rsidRDefault="00ED06A3">
            <w:pPr>
              <w:jc w:val="both"/>
              <w:rPr>
                <w:rFonts w:eastAsia="SimSun"/>
                <w:color w:val="000000"/>
                <w:szCs w:val="21"/>
                <w:lang w:val="en-US" w:eastAsia="zh-CN"/>
              </w:rPr>
            </w:pPr>
            <w:r>
              <w:rPr>
                <w:rFonts w:eastAsia="SimSun"/>
                <w:color w:val="000000"/>
                <w:szCs w:val="21"/>
                <w:lang w:val="en-US" w:eastAsia="zh-CN"/>
              </w:rPr>
              <w:t>vivo</w:t>
            </w:r>
          </w:p>
        </w:tc>
        <w:tc>
          <w:tcPr>
            <w:tcW w:w="4526" w:type="pct"/>
          </w:tcPr>
          <w:p w14:paraId="718E3E53" w14:textId="77777777" w:rsidR="00EB3B75" w:rsidRDefault="00ED06A3">
            <w:pPr>
              <w:rPr>
                <w:rFonts w:eastAsia="ＭＳ Ｐゴシック"/>
                <w:color w:val="000000"/>
                <w:szCs w:val="21"/>
                <w:lang w:val="en-US"/>
              </w:rPr>
            </w:pPr>
            <w:r>
              <w:rPr>
                <w:rFonts w:eastAsia="SimSun"/>
                <w:color w:val="000000"/>
                <w:szCs w:val="21"/>
                <w:lang w:val="en-US" w:eastAsia="zh-CN"/>
              </w:rPr>
              <w:t>Fine</w:t>
            </w:r>
            <w:r>
              <w:rPr>
                <w:rFonts w:eastAsia="ＭＳ Ｐゴシック"/>
                <w:color w:val="000000"/>
                <w:szCs w:val="21"/>
                <w:lang w:val="en-US"/>
              </w:rPr>
              <w:t xml:space="preserve"> </w:t>
            </w:r>
            <w:r>
              <w:rPr>
                <w:rFonts w:eastAsia="SimSun"/>
                <w:color w:val="000000"/>
                <w:szCs w:val="21"/>
                <w:lang w:val="en-US" w:eastAsia="zh-CN"/>
              </w:rPr>
              <w:t>to</w:t>
            </w:r>
            <w:r>
              <w:rPr>
                <w:rFonts w:eastAsia="ＭＳ Ｐゴシック"/>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ＭＳ Ｐゴシック"/>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ＭＳ Ｐゴシック"/>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ＭＳ Ｐゴシック"/>
                <w:color w:val="000000"/>
                <w:szCs w:val="21"/>
                <w:lang w:val="en-US"/>
              </w:rPr>
            </w:pPr>
            <w:r>
              <w:rPr>
                <w:rFonts w:eastAsia="ＭＳ Ｐゴシック"/>
                <w:color w:val="000000"/>
                <w:szCs w:val="21"/>
                <w:lang w:val="en-US"/>
              </w:rPr>
              <w:t>Ericsson</w:t>
            </w:r>
            <w:r>
              <w:rPr>
                <w:rFonts w:eastAsia="ＭＳ Ｐゴシック"/>
                <w:color w:val="000000"/>
                <w:szCs w:val="21"/>
                <w:lang w:val="en-US"/>
              </w:rPr>
              <w:tab/>
            </w:r>
          </w:p>
        </w:tc>
        <w:tc>
          <w:tcPr>
            <w:tcW w:w="4526" w:type="pct"/>
          </w:tcPr>
          <w:p w14:paraId="48B01E26" w14:textId="77777777" w:rsidR="00EB3B75" w:rsidRDefault="00ED06A3">
            <w:pPr>
              <w:rPr>
                <w:rFonts w:eastAsia="ＭＳ Ｐゴシック"/>
                <w:color w:val="000000"/>
                <w:szCs w:val="21"/>
                <w:lang w:val="en-US"/>
              </w:rPr>
            </w:pPr>
            <w:r>
              <w:rPr>
                <w:rFonts w:eastAsia="ＭＳ Ｐゴシック"/>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ＭＳ Ｐゴシック" w:hint="eastAsia"/>
                <w:color w:val="000000"/>
                <w:szCs w:val="21"/>
                <w:lang w:val="en-US"/>
              </w:rPr>
              <w:t>F</w:t>
            </w:r>
            <w:r>
              <w:rPr>
                <w:rFonts w:eastAsia="ＭＳ Ｐゴシック"/>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ＭＳ Ｐゴシック" w:hint="eastAsia"/>
                <w:color w:val="000000"/>
                <w:szCs w:val="21"/>
                <w:lang w:val="en-US"/>
              </w:rPr>
              <w:t>G</w:t>
            </w:r>
            <w:r>
              <w:rPr>
                <w:rFonts w:eastAsia="ＭＳ Ｐゴシック"/>
                <w:color w:val="000000"/>
                <w:szCs w:val="21"/>
                <w:lang w:val="en-US"/>
              </w:rPr>
              <w:t>iven that majority companies prefer to wait for RAN4 reply for both (a) and (b), no proposal is made for now. Proponent can bring up this issue when RAN1 receives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 Ericsson, Qualcomm, MediaTek</w:t>
      </w:r>
    </w:p>
    <w:p w14:paraId="7092E40A"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w:t>
      </w:r>
    </w:p>
    <w:p w14:paraId="03597F84"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Huawei, </w:t>
      </w:r>
      <w:proofErr w:type="spellStart"/>
      <w:r>
        <w:rPr>
          <w:szCs w:val="21"/>
          <w:lang w:val="en-US"/>
        </w:rPr>
        <w:t>HiSilicon</w:t>
      </w:r>
      <w:proofErr w:type="spellEnd"/>
      <w:r>
        <w:rPr>
          <w:szCs w:val="21"/>
          <w:lang w:val="en-US"/>
        </w:rPr>
        <w:t>, Qualcomm, MediaTek</w:t>
      </w:r>
    </w:p>
    <w:p w14:paraId="39131BB7"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5"/>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EB3B75" w14:paraId="77B28A3D" w14:textId="77777777">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lastRenderedPageBreak/>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tc>
          <w:tcPr>
            <w:tcW w:w="506" w:type="pct"/>
          </w:tcPr>
          <w:p w14:paraId="6A3AF925" w14:textId="77777777" w:rsidR="00EB3B75" w:rsidRDefault="00ED06A3">
            <w:pPr>
              <w:jc w:val="both"/>
              <w:rPr>
                <w:szCs w:val="21"/>
                <w:lang w:val="en-US"/>
              </w:rPr>
            </w:pPr>
            <w:r>
              <w:rPr>
                <w:szCs w:val="21"/>
                <w:lang w:val="en-US"/>
              </w:rPr>
              <w:lastRenderedPageBreak/>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7777777"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TBoMS</w:t>
            </w:r>
            <w:proofErr w:type="spellEnd"/>
            <w:r>
              <w:rPr>
                <w:szCs w:val="21"/>
                <w:lang w:val="en-US"/>
              </w:rPr>
              <w:t xml:space="preserve">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t xml:space="preserve">Q5: No. This is aligned with current agreements. </w:t>
            </w:r>
          </w:p>
        </w:tc>
      </w:tr>
      <w:tr w:rsidR="00EB3B75" w14:paraId="0E06ED76" w14:textId="77777777">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 xml:space="preserve">Q2: There was an agreement that non </w:t>
            </w:r>
            <w:proofErr w:type="gramStart"/>
            <w:r>
              <w:rPr>
                <w:szCs w:val="21"/>
                <w:lang w:val="en-US"/>
              </w:rPr>
              <w:t>back to back</w:t>
            </w:r>
            <w:proofErr w:type="gramEnd"/>
            <w:r>
              <w:rPr>
                <w:szCs w:val="21"/>
                <w:lang w:val="en-US"/>
              </w:rPr>
              <w:t xml:space="preserve"> is a UE capability so an FG is needed.</w:t>
            </w:r>
          </w:p>
          <w:p w14:paraId="3FADF0B1" w14:textId="77777777" w:rsidR="00EB3B75" w:rsidRDefault="00ED06A3">
            <w:pPr>
              <w:rPr>
                <w:szCs w:val="21"/>
                <w:lang w:val="en-US"/>
              </w:rPr>
            </w:pPr>
            <w:r>
              <w:rPr>
                <w:szCs w:val="21"/>
                <w:lang w:val="en-US"/>
              </w:rPr>
              <w:lastRenderedPageBreak/>
              <w:t>Q2a: Need to discuss further, as this is still being debated in 8.8.1.3.</w:t>
            </w:r>
          </w:p>
          <w:p w14:paraId="0EF79277" w14:textId="77777777" w:rsidR="00EB3B75" w:rsidRDefault="00ED06A3">
            <w:pPr>
              <w:rPr>
                <w:szCs w:val="21"/>
                <w:lang w:val="en-US"/>
              </w:rPr>
            </w:pPr>
            <w:r>
              <w:rPr>
                <w:szCs w:val="21"/>
                <w:lang w:val="en-US"/>
              </w:rPr>
              <w:t>Q3: Merge FGs 30-4a and 30-4d into FG 30-</w:t>
            </w:r>
            <w:proofErr w:type="gramStart"/>
            <w:r>
              <w:rPr>
                <w:szCs w:val="21"/>
                <w:lang w:val="en-US"/>
              </w:rPr>
              <w:t>4  [</w:t>
            </w:r>
            <w:proofErr w:type="gramEnd"/>
            <w:r>
              <w:rPr>
                <w:szCs w:val="21"/>
                <w:lang w:val="en-US"/>
              </w:rPr>
              <w:t xml:space="preserve">PUCCH should be different, and JCE for </w:t>
            </w:r>
            <w:proofErr w:type="spellStart"/>
            <w:r>
              <w:rPr>
                <w:szCs w:val="21"/>
                <w:lang w:val="en-US"/>
              </w:rPr>
              <w:t>TBoMS</w:t>
            </w:r>
            <w:proofErr w:type="spellEnd"/>
            <w:r>
              <w:rPr>
                <w:szCs w:val="21"/>
                <w:lang w:val="en-US"/>
              </w:rPr>
              <w:t xml:space="preserve">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lastRenderedPageBreak/>
              <w:t xml:space="preserve">Huawei, </w:t>
            </w:r>
            <w:proofErr w:type="spellStart"/>
            <w:r>
              <w:rPr>
                <w:rFonts w:eastAsia="SimSun"/>
                <w:szCs w:val="21"/>
                <w:lang w:val="en-US" w:eastAsia="zh-CN"/>
              </w:rPr>
              <w:t>HiSilicon</w:t>
            </w:r>
            <w:proofErr w:type="spellEnd"/>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25F41A9E"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4C4B15D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 xml:space="preserve">Huawei, </w:t>
            </w:r>
            <w:proofErr w:type="spellStart"/>
            <w:r>
              <w:rPr>
                <w:rFonts w:eastAsia="SimSun"/>
                <w:szCs w:val="21"/>
                <w:lang w:val="en-US" w:eastAsia="zh-CN"/>
              </w:rPr>
              <w:t>HiSilicon</w:t>
            </w:r>
            <w:proofErr w:type="spellEnd"/>
            <w:r>
              <w:rPr>
                <w:rFonts w:eastAsia="SimSun"/>
                <w:szCs w:val="21"/>
                <w:lang w:val="en-US" w:eastAsia="zh-CN"/>
              </w:rPr>
              <w:t>, DOCOMO</w:t>
            </w:r>
          </w:p>
          <w:p w14:paraId="185CD236"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5"/>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EBD8657" w14:textId="77777777" w:rsidR="00EB3B75" w:rsidRDefault="00ED06A3">
            <w:pPr>
              <w:pStyle w:val="aff5"/>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5"/>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5"/>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5"/>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5"/>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7777777" w:rsidR="00EB3B75" w:rsidRDefault="00ED06A3">
            <w:pPr>
              <w:pStyle w:val="aff5"/>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TBoMS</w:t>
            </w:r>
            <w:proofErr w:type="spellEnd"/>
            <w:r>
              <w:rPr>
                <w:szCs w:val="21"/>
                <w:lang w:val="en-US"/>
              </w:rPr>
              <w:t xml:space="preserve"> reuses the design for PUSCH repetition type A.</w:t>
            </w:r>
          </w:p>
          <w:p w14:paraId="26B1E599"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5"/>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5983E7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5"/>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5"/>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5"/>
              <w:numPr>
                <w:ilvl w:val="3"/>
                <w:numId w:val="16"/>
              </w:numPr>
              <w:spacing w:afterLines="50" w:after="120"/>
              <w:ind w:leftChars="0"/>
              <w:jc w:val="both"/>
              <w:rPr>
                <w:szCs w:val="21"/>
                <w:lang w:val="en-US"/>
              </w:rPr>
            </w:pPr>
            <w:r>
              <w:rPr>
                <w:rFonts w:eastAsiaTheme="minorEastAsia"/>
                <w:lang w:eastAsia="ko-KR"/>
              </w:rPr>
              <w:lastRenderedPageBreak/>
              <w:t>no functional difference between PUSCH and PUCCH</w:t>
            </w:r>
          </w:p>
          <w:p w14:paraId="6566DC7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6243D56"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5"/>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5"/>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t>[FL2] High priority proposal 4-2a:</w:t>
            </w:r>
          </w:p>
          <w:p w14:paraId="183E85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5"/>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aff5"/>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034A7F08" w14:textId="77777777">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43BA1AA3" w14:textId="77777777">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w:t>
            </w:r>
          </w:p>
        </w:tc>
      </w:tr>
      <w:tr w:rsidR="00EB3B75" w14:paraId="218EBF20" w14:textId="77777777">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lastRenderedPageBreak/>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p>
    <w:p w14:paraId="32E197CA"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R1/FR2 differentiation is necessary: Huawei, </w:t>
      </w:r>
      <w:proofErr w:type="spellStart"/>
      <w:r>
        <w:rPr>
          <w:rFonts w:eastAsia="ＭＳ 明朝"/>
          <w:sz w:val="22"/>
        </w:rPr>
        <w:t>HiSilicon</w:t>
      </w:r>
      <w:proofErr w:type="spellEnd"/>
    </w:p>
    <w:p w14:paraId="1388EDB6" w14:textId="77777777" w:rsidR="00EB3B75" w:rsidRDefault="00ED06A3">
      <w:pPr>
        <w:pStyle w:val="aff5"/>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c"/>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5"/>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5"/>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5"/>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7777777" w:rsidR="00EB3B75" w:rsidRDefault="00ED06A3">
            <w:pPr>
              <w:jc w:val="both"/>
              <w:rPr>
                <w:szCs w:val="21"/>
                <w:lang w:val="en-US"/>
              </w:rPr>
            </w:pPr>
            <w:r>
              <w:rPr>
                <w:rFonts w:eastAsia="SimSun" w:hint="eastAsia"/>
                <w:szCs w:val="21"/>
                <w:lang w:val="en-US" w:eastAsia="zh-CN"/>
              </w:rPr>
              <w:lastRenderedPageBreak/>
              <w:t>v</w:t>
            </w:r>
            <w:r>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ＭＳ 明朝"/>
                <w:sz w:val="22"/>
              </w:rPr>
              <w:t xml:space="preserve">Huawei, </w:t>
            </w:r>
            <w:proofErr w:type="spellStart"/>
            <w:r>
              <w:rPr>
                <w:rFonts w:eastAsia="ＭＳ 明朝"/>
                <w:sz w:val="22"/>
              </w:rPr>
              <w:t>HiSilicon</w:t>
            </w:r>
            <w:proofErr w:type="spellEnd"/>
          </w:p>
        </w:tc>
        <w:tc>
          <w:tcPr>
            <w:tcW w:w="4494" w:type="pct"/>
          </w:tcPr>
          <w:p w14:paraId="2F6621A9" w14:textId="77777777" w:rsidR="00EB3B75" w:rsidRDefault="00ED06A3">
            <w:pPr>
              <w:rPr>
                <w:rFonts w:eastAsia="ＭＳ 明朝"/>
                <w:sz w:val="22"/>
              </w:rPr>
            </w:pPr>
            <w:r>
              <w:rPr>
                <w:rFonts w:eastAsia="SimSun"/>
                <w:color w:val="000000"/>
                <w:szCs w:val="21"/>
                <w:lang w:val="en-US" w:eastAsia="zh-CN"/>
              </w:rPr>
              <w:t xml:space="preserve">Prefer per UE and </w:t>
            </w:r>
            <w:r>
              <w:rPr>
                <w:rFonts w:eastAsia="ＭＳ 明朝"/>
                <w:sz w:val="22"/>
              </w:rPr>
              <w:t xml:space="preserve">FR1/FR2 differentiation. </w:t>
            </w:r>
          </w:p>
          <w:p w14:paraId="7C261314" w14:textId="77777777" w:rsidR="00EB3B75" w:rsidRDefault="00ED06A3">
            <w:pPr>
              <w:rPr>
                <w:rFonts w:eastAsia="SimSun"/>
                <w:color w:val="000000"/>
                <w:szCs w:val="21"/>
                <w:lang w:val="en-US" w:eastAsia="zh-CN"/>
              </w:rPr>
            </w:pPr>
            <w:r>
              <w:rPr>
                <w:rFonts w:eastAsia="ＭＳ 明朝"/>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01D273B1"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0EA64CCC" w14:textId="77777777" w:rsidR="00EB3B75" w:rsidRDefault="00ED06A3">
            <w:pPr>
              <w:jc w:val="both"/>
              <w:rPr>
                <w:sz w:val="22"/>
                <w:lang w:val="en-US"/>
              </w:rPr>
            </w:pPr>
            <w:r>
              <w:rPr>
                <w:rFonts w:eastAsia="ＭＳ 明朝"/>
                <w:sz w:val="22"/>
              </w:rPr>
              <w:t>Nokia, Nokia Shanghai Bell</w:t>
            </w:r>
          </w:p>
        </w:tc>
        <w:tc>
          <w:tcPr>
            <w:tcW w:w="19931" w:type="dxa"/>
          </w:tcPr>
          <w:p w14:paraId="1CDCED47" w14:textId="77777777" w:rsidR="00EB3B75" w:rsidRDefault="00ED06A3">
            <w:pPr>
              <w:pStyle w:val="aff5"/>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5"/>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d"/>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d"/>
              <w:spacing w:before="240"/>
              <w:rPr>
                <w:rFonts w:cstheme="minorHAnsi"/>
              </w:rPr>
            </w:pPr>
            <w:r>
              <w:rPr>
                <w:rFonts w:cstheme="minorHAnsi"/>
              </w:rPr>
              <w:lastRenderedPageBreak/>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ad"/>
              <w:spacing w:before="240"/>
              <w:rPr>
                <w:rFonts w:cstheme="minorHAnsi"/>
              </w:rPr>
            </w:pPr>
            <w:r>
              <w:rPr>
                <w:rFonts w:cstheme="minorHAnsi"/>
              </w:rPr>
              <w:t xml:space="preserve">Regarding the 30-5 feature description for dynamic PUCCH repetition indication, since dynamic PUCCH repetition is implemented by configuring a repetition factor per PUCCH resource, it can be supported together </w:t>
            </w:r>
            <w:proofErr w:type="gramStart"/>
            <w:r>
              <w:rPr>
                <w:rFonts w:cstheme="minorHAnsi"/>
              </w:rPr>
              <w:t>e.g.</w:t>
            </w:r>
            <w:proofErr w:type="gramEnd"/>
            <w:r>
              <w:rPr>
                <w:rFonts w:cstheme="minorHAnsi"/>
              </w:rPr>
              <w:t xml:space="preserve">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5"/>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proofErr w:type="spellStart"/>
            <w:r>
              <w:rPr>
                <w:rFonts w:cstheme="minorHAnsi"/>
                <w:i/>
              </w:rPr>
              <w:t>nrofSlots</w:t>
            </w:r>
            <w:proofErr w:type="spellEnd"/>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proofErr w:type="spellStart"/>
            <w:r>
              <w:rPr>
                <w:rFonts w:cstheme="minorHAnsi"/>
                <w:i/>
              </w:rPr>
              <w:t>nrofSlots</w:t>
            </w:r>
            <w:proofErr w:type="spellEnd"/>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6"/>
              <w:keepNext/>
              <w:spacing w:after="0"/>
            </w:pPr>
            <w:bookmarkStart w:id="45" w:name="_Ref84004705"/>
            <w:r>
              <w:t xml:space="preserve">Table </w:t>
            </w:r>
            <w:r>
              <w:fldChar w:fldCharType="begin"/>
            </w:r>
            <w:r>
              <w:instrText xml:space="preserve"> SEQ Table \* ARABIC </w:instrText>
            </w:r>
            <w:r>
              <w:fldChar w:fldCharType="separate"/>
            </w:r>
            <w:r>
              <w:t>4</w:t>
            </w:r>
            <w:r>
              <w:fldChar w:fldCharType="end"/>
            </w:r>
            <w:bookmarkEnd w:id="45"/>
            <w:r>
              <w:t xml:space="preserve">: Capabilities for </w:t>
            </w:r>
            <w:r>
              <w:rPr>
                <w:lang w:eastAsia="zh-CN"/>
              </w:rPr>
              <w:t>PUCCH Repetition Enhancement</w:t>
            </w:r>
          </w:p>
          <w:tbl>
            <w:tblPr>
              <w:tblStyle w:val="afc"/>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6" w:name="_Hlk86761874"/>
                  <w:r>
                    <w:rPr>
                      <w:color w:val="FF0000"/>
                      <w:u w:val="single"/>
                    </w:rPr>
                    <w:t>Support for configuring a repetition factor per PUCCH resource for slot based PUCCH formats 0, 1, 2, 3, and 4</w:t>
                  </w:r>
                  <w:bookmarkEnd w:id="46"/>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7" w:name="_Toc86951287"/>
            <w:r>
              <w:t>UE features for PUCCH repetition enhancement are defined according to Table 4</w:t>
            </w:r>
            <w:bookmarkEnd w:id="47"/>
          </w:p>
        </w:tc>
      </w:tr>
      <w:tr w:rsidR="00EB3B75" w14:paraId="13140BF7" w14:textId="77777777">
        <w:tc>
          <w:tcPr>
            <w:tcW w:w="621" w:type="dxa"/>
          </w:tcPr>
          <w:p w14:paraId="0EF3CD4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A16FA87" w14:textId="77777777" w:rsidR="00EB3B75" w:rsidRDefault="00ED06A3">
            <w:pPr>
              <w:jc w:val="both"/>
              <w:rPr>
                <w:sz w:val="22"/>
                <w:lang w:val="en-US"/>
              </w:rPr>
            </w:pPr>
            <w:r>
              <w:rPr>
                <w:rFonts w:eastAsia="ＭＳ 明朝"/>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7454E74E" w14:textId="77777777" w:rsidR="00EB3B75" w:rsidRDefault="00EB3B75">
            <w:pPr>
              <w:rPr>
                <w:rFonts w:eastAsia="游明朝"/>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游明朝" w:hint="eastAsia"/>
                <w:b/>
                <w:sz w:val="22"/>
                <w:szCs w:val="22"/>
                <w:u w:val="single"/>
              </w:rPr>
              <w:t xml:space="preserve">Proposal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75AD7C3"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1DA6C51B" w14:textId="77777777">
        <w:tc>
          <w:tcPr>
            <w:tcW w:w="621" w:type="dxa"/>
          </w:tcPr>
          <w:p w14:paraId="031BB815"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971BDB1" w14:textId="77777777" w:rsidR="00EB3B75" w:rsidRDefault="00ED06A3">
            <w:pPr>
              <w:jc w:val="both"/>
              <w:rPr>
                <w:sz w:val="22"/>
                <w:lang w:val="en-US"/>
              </w:rPr>
            </w:pPr>
            <w:r>
              <w:rPr>
                <w:rFonts w:eastAsia="ＭＳ 明朝"/>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lastRenderedPageBreak/>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529A87A4" w14:textId="77777777" w:rsidR="00EB3B75" w:rsidRDefault="00ED06A3">
            <w:pPr>
              <w:jc w:val="both"/>
              <w:rPr>
                <w:sz w:val="22"/>
                <w:lang w:val="en-US"/>
              </w:rPr>
            </w:pPr>
            <w:r>
              <w:rPr>
                <w:rFonts w:eastAsia="ＭＳ 明朝"/>
                <w:sz w:val="22"/>
              </w:rPr>
              <w:t>MediaTek Inc.</w:t>
            </w:r>
          </w:p>
        </w:tc>
        <w:tc>
          <w:tcPr>
            <w:tcW w:w="19931" w:type="dxa"/>
          </w:tcPr>
          <w:p w14:paraId="0D529139" w14:textId="77777777" w:rsidR="00EB3B75" w:rsidRDefault="00ED06A3">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3399E7BD"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c"/>
        <w:tblW w:w="5000" w:type="pct"/>
        <w:tblLook w:val="04A0" w:firstRow="1" w:lastRow="0" w:firstColumn="1" w:lastColumn="0" w:noHBand="0" w:noVBand="1"/>
      </w:tblPr>
      <w:tblGrid>
        <w:gridCol w:w="2265"/>
        <w:gridCol w:w="20118"/>
      </w:tblGrid>
      <w:tr w:rsidR="00EB3B75" w14:paraId="59FA18EB" w14:textId="77777777">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ＭＳ Ｐゴシック"/>
                <w:color w:val="000000"/>
                <w:szCs w:val="21"/>
                <w:lang w:val="en-US"/>
              </w:rPr>
            </w:pPr>
            <w:r>
              <w:rPr>
                <w:rFonts w:eastAsia="ＭＳ Ｐゴシック"/>
                <w:color w:val="000000"/>
                <w:szCs w:val="21"/>
                <w:lang w:val="en-US"/>
              </w:rPr>
              <w:t>At the RAN1#106bis-e meeting, we had following agreement, so that we support that the FG 30-5 is for PUCCH formats 0/1/2/3/4.</w:t>
            </w:r>
          </w:p>
          <w:p w14:paraId="03072F93"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ＭＳ Ｐゴシック" w:eastAsia="ＭＳ Ｐゴシック" w:hAnsi="ＭＳ Ｐゴシック" w:cs="ＭＳ Ｐゴシック"/>
                <w:color w:val="000000"/>
                <w:szCs w:val="21"/>
                <w:lang w:val="en-US"/>
              </w:rPr>
            </w:pPr>
            <w:r>
              <w:rPr>
                <w:szCs w:val="21"/>
                <w:lang w:val="en-US"/>
              </w:rPr>
              <w:t>We share similar view as</w:t>
            </w:r>
            <w:r>
              <w:rPr>
                <w:rFonts w:ascii="ＭＳ Ｐゴシック" w:eastAsia="ＭＳ Ｐゴシック" w:hAnsi="ＭＳ Ｐゴシック" w:cs="ＭＳ Ｐゴシック"/>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tc>
          <w:tcPr>
            <w:tcW w:w="506" w:type="pct"/>
          </w:tcPr>
          <w:p w14:paraId="757D9A97"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ＭＳ Ｐゴシック" w:eastAsia="ＭＳ Ｐゴシック" w:hAnsi="ＭＳ Ｐゴシック" w:cs="ＭＳ Ｐゴシック"/>
                <w:color w:val="000000"/>
                <w:szCs w:val="21"/>
                <w:lang w:val="en-US"/>
              </w:rPr>
              <w:t xml:space="preserve">Our understanding is that this applies to all PUCCH formats. </w:t>
            </w:r>
          </w:p>
        </w:tc>
      </w:tr>
      <w:tr w:rsidR="00EB3B75" w14:paraId="5C3C300B" w14:textId="77777777">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1641F299"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ＭＳ Ｐゴシック"/>
                <w:color w:val="000000"/>
                <w:szCs w:val="21"/>
                <w:lang w:val="en-US"/>
              </w:rPr>
            </w:pPr>
            <w:r>
              <w:rPr>
                <w:rFonts w:eastAsia="ＭＳ Ｐゴシック"/>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5"/>
              <w:numPr>
                <w:ilvl w:val="0"/>
                <w:numId w:val="20"/>
              </w:numPr>
              <w:ind w:leftChars="0"/>
              <w:rPr>
                <w:szCs w:val="21"/>
                <w:lang w:val="en-US" w:eastAsia="zh-CN"/>
              </w:rPr>
            </w:pPr>
            <w:r>
              <w:rPr>
                <w:b/>
                <w:bCs/>
                <w:szCs w:val="21"/>
                <w:lang w:val="en-US"/>
              </w:rPr>
              <w:lastRenderedPageBreak/>
              <w:t>FG 30-5 is the capability to indicate the support of slot based dynamic PUCCH repetition indication for PUCCH formats 0/1/2/3/4</w:t>
            </w:r>
          </w:p>
        </w:tc>
      </w:tr>
      <w:tr w:rsidR="00EB3B75" w14:paraId="41169C5E" w14:textId="77777777">
        <w:tc>
          <w:tcPr>
            <w:tcW w:w="506" w:type="pct"/>
          </w:tcPr>
          <w:p w14:paraId="04F112DB"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2F6D0E36" w14:textId="77777777" w:rsidR="00EB3B75" w:rsidRDefault="00ED06A3">
            <w:pPr>
              <w:jc w:val="both"/>
              <w:rPr>
                <w:rFonts w:eastAsia="ＭＳ Ｐゴシック"/>
                <w:color w:val="000000"/>
                <w:szCs w:val="21"/>
                <w:lang w:val="en-US"/>
              </w:rPr>
            </w:pPr>
            <w:r>
              <w:rPr>
                <w:rFonts w:eastAsia="ＭＳ Ｐゴシック" w:hint="eastAsia"/>
                <w:color w:val="000000"/>
                <w:szCs w:val="21"/>
                <w:lang w:val="en-US"/>
              </w:rPr>
              <w:t>F</w:t>
            </w:r>
            <w:r>
              <w:rPr>
                <w:rFonts w:eastAsia="ＭＳ Ｐゴシック"/>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5"/>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77777777" w:rsidR="00EB3B75" w:rsidRDefault="00ED06A3">
            <w:pPr>
              <w:jc w:val="both"/>
              <w:rPr>
                <w:rFonts w:eastAsia="ＭＳ Ｐゴシック"/>
                <w:color w:val="000000"/>
                <w:szCs w:val="21"/>
                <w:lang w:val="en-US"/>
              </w:rPr>
            </w:pPr>
            <w:r>
              <w:rPr>
                <w:rFonts w:eastAsia="ＭＳ Ｐゴシック"/>
                <w:color w:val="000000"/>
                <w:szCs w:val="21"/>
                <w:lang w:val="en-US"/>
              </w:rPr>
              <w:t>Might be best to introduce two separate feature groups. Else, we are introduced dependencies across two different WIs in R17.</w:t>
            </w:r>
          </w:p>
        </w:tc>
      </w:tr>
      <w:tr w:rsidR="00EB3B75" w14:paraId="2E27DC50" w14:textId="77777777">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77777777" w:rsidR="00EB3B75" w:rsidRDefault="00ED06A3">
            <w:pPr>
              <w:jc w:val="both"/>
              <w:rPr>
                <w:rFonts w:eastAsia="ＭＳ Ｐゴシック"/>
                <w:color w:val="000000"/>
                <w:szCs w:val="21"/>
                <w:lang w:val="en-US"/>
              </w:rPr>
            </w:pPr>
            <w:r>
              <w:rPr>
                <w:rFonts w:eastAsia="ＭＳ Ｐゴシック"/>
                <w:color w:val="000000"/>
                <w:szCs w:val="21"/>
                <w:lang w:val="en-US"/>
              </w:rPr>
              <w:t xml:space="preserve">Support FL3 proposal. The WI dimension is only truly visible during the specification stage. Once the features are specified, they are simply part of the specs and there is strict need to have explicit FGs for aspects that were agreed in different </w:t>
            </w:r>
            <w:proofErr w:type="spellStart"/>
            <w:r>
              <w:rPr>
                <w:rFonts w:eastAsia="ＭＳ Ｐゴシック"/>
                <w:color w:val="000000"/>
                <w:szCs w:val="21"/>
                <w:lang w:val="en-US"/>
              </w:rPr>
              <w:t>WIs.</w:t>
            </w:r>
            <w:proofErr w:type="spellEnd"/>
            <w:r>
              <w:rPr>
                <w:rFonts w:eastAsia="ＭＳ Ｐゴシック"/>
                <w:color w:val="000000"/>
                <w:szCs w:val="21"/>
                <w:lang w:val="en-US"/>
              </w:rPr>
              <w:t xml:space="preserve"> The FGs should reflect the specifications instead, and from that point of view it is preferable to have a single FG. </w:t>
            </w:r>
          </w:p>
        </w:tc>
      </w:tr>
      <w:tr w:rsidR="00EB3B75" w14:paraId="7F74F5D4" w14:textId="77777777">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 xml:space="preserve">Support the proposal. We think it is common practice to introduce dependencies between different features from different WIs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tc>
          <w:tcPr>
            <w:tcW w:w="506" w:type="pct"/>
          </w:tcPr>
          <w:p w14:paraId="4FF4A8AB" w14:textId="6AB6265B" w:rsidR="00F652C5" w:rsidRDefault="00F652C5" w:rsidP="00F652C5">
            <w:pPr>
              <w:jc w:val="both"/>
              <w:rPr>
                <w:rFonts w:eastAsia="SimSun" w:hint="eastAsia"/>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hint="eastAsia"/>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6A23F97E"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DD/TDD differentiation is not necessary: Huawei, </w:t>
      </w:r>
      <w:proofErr w:type="spellStart"/>
      <w:r>
        <w:rPr>
          <w:rFonts w:eastAsia="ＭＳ 明朝"/>
          <w:sz w:val="22"/>
        </w:rPr>
        <w:t>HiSilicon</w:t>
      </w:r>
      <w:proofErr w:type="spellEnd"/>
      <w:r>
        <w:rPr>
          <w:rFonts w:eastAsia="ＭＳ 明朝"/>
          <w:sz w:val="22"/>
        </w:rPr>
        <w:t>, ZTE, DOCOMO</w:t>
      </w:r>
    </w:p>
    <w:p w14:paraId="01273BA2" w14:textId="77777777" w:rsidR="00EB3B75" w:rsidRDefault="00ED06A3">
      <w:pPr>
        <w:pStyle w:val="aff5"/>
        <w:numPr>
          <w:ilvl w:val="1"/>
          <w:numId w:val="16"/>
        </w:numPr>
        <w:spacing w:afterLines="50" w:after="120"/>
        <w:ind w:leftChars="0"/>
        <w:jc w:val="both"/>
        <w:rPr>
          <w:szCs w:val="24"/>
          <w:lang w:val="en-US"/>
        </w:rPr>
      </w:pPr>
      <w:r>
        <w:rPr>
          <w:szCs w:val="24"/>
        </w:rPr>
        <w:t>Per band: Qualcomm, MediaTek</w:t>
      </w:r>
    </w:p>
    <w:tbl>
      <w:tblPr>
        <w:tblStyle w:val="afc"/>
        <w:tblW w:w="5000" w:type="pct"/>
        <w:tblLook w:val="04A0" w:firstRow="1" w:lastRow="0" w:firstColumn="1" w:lastColumn="0" w:noHBand="0" w:noVBand="1"/>
      </w:tblPr>
      <w:tblGrid>
        <w:gridCol w:w="2265"/>
        <w:gridCol w:w="20118"/>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tcPr>
          <w:p w14:paraId="18DAF6E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DA079BF" w14:textId="77777777" w:rsidR="00EB3B75" w:rsidRDefault="00ED06A3">
            <w:pPr>
              <w:rPr>
                <w:rFonts w:ascii="ＭＳ Ｐゴシック" w:eastAsia="SimSun" w:hAnsi="ＭＳ Ｐゴシック" w:cs="ＭＳ Ｐゴシック"/>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tcPr>
          <w:p w14:paraId="1225B2A4" w14:textId="77777777" w:rsidR="00EB3B75" w:rsidRDefault="00ED06A3">
            <w:pPr>
              <w:rPr>
                <w:szCs w:val="21"/>
                <w:lang w:val="en-US"/>
              </w:rPr>
            </w:pPr>
            <w:r>
              <w:rPr>
                <w:rFonts w:ascii="ＭＳ Ｐゴシック" w:eastAsia="ＭＳ Ｐゴシック" w:hAnsi="ＭＳ Ｐゴシック" w:cs="ＭＳ Ｐゴシック"/>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ＭＳ Ｐゴシック" w:eastAsia="ＭＳ Ｐゴシック" w:hAnsi="ＭＳ Ｐゴシック" w:cs="ＭＳ Ｐゴシック"/>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ＭＳ Ｐゴシック" w:eastAsia="ＭＳ Ｐゴシック" w:hAnsi="ＭＳ Ｐゴシック" w:cs="ＭＳ Ｐゴシック"/>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8" w:name="_Hlk84264052"/>
            <w:r>
              <w:rPr>
                <w:rFonts w:asciiTheme="majorHAnsi" w:eastAsia="SimSun" w:hAnsiTheme="majorHAnsi" w:cstheme="majorHAnsi"/>
                <w:szCs w:val="18"/>
                <w:lang w:eastAsia="zh-CN"/>
              </w:rPr>
              <w:t>Msg3 repetition</w:t>
            </w:r>
            <w:bookmarkEnd w:id="48"/>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0FE13CF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lastRenderedPageBreak/>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w:t>
            </w:r>
            <w:proofErr w:type="spellStart"/>
            <w:r>
              <w:rPr>
                <w:rFonts w:eastAsia="SimSun" w:hint="eastAsia"/>
                <w:lang w:val="en-US" w:eastAsia="zh-CN"/>
              </w:rPr>
              <w:t>gNB</w:t>
            </w:r>
            <w:proofErr w:type="spellEnd"/>
            <w:r>
              <w:rPr>
                <w:rFonts w:eastAsia="SimSun" w:hint="eastAsia"/>
                <w:lang w:val="en-US" w:eastAsia="zh-CN"/>
              </w:rPr>
              <w:t xml:space="preserve"> would not know how many of UEs in the cell is capable of Msg3 repetition. Because, only those Msg3 capable UEs in poor coverage will make a request. Allowing UE to report its capability of Msg3 repetition after initial access could let </w:t>
            </w:r>
            <w:proofErr w:type="spellStart"/>
            <w:r>
              <w:rPr>
                <w:rFonts w:eastAsia="SimSun" w:hint="eastAsia"/>
                <w:lang w:val="en-US" w:eastAsia="zh-CN"/>
              </w:rPr>
              <w:t>gNB</w:t>
            </w:r>
            <w:proofErr w:type="spellEnd"/>
            <w:r>
              <w:rPr>
                <w:rFonts w:eastAsia="SimSun"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77777777"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gNB's</w:t>
            </w:r>
            <w:proofErr w:type="spellEnd"/>
            <w:r>
              <w:t xml:space="preserve"> measurement, since </w:t>
            </w:r>
            <w:proofErr w:type="spellStart"/>
            <w:r>
              <w:t>gNB</w:t>
            </w:r>
            <w:proofErr w:type="spellEnd"/>
            <w:r>
              <w:t xml:space="preserve">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d"/>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ad"/>
              <w:spacing w:beforeLines="50" w:before="120" w:after="0"/>
              <w:rPr>
                <w:b/>
                <w:sz w:val="22"/>
                <w:szCs w:val="22"/>
              </w:rPr>
            </w:pPr>
            <w:bookmarkStart w:id="49" w:name="PP4"/>
            <w:r>
              <w:rPr>
                <w:rFonts w:eastAsia="SimSun"/>
                <w:color w:val="000000"/>
                <w:lang w:eastAsia="zh-CN"/>
              </w:rPr>
              <w:t xml:space="preserve">Hence, whether Features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01B99614" w14:textId="77777777" w:rsidR="00EB3B75" w:rsidRDefault="00ED06A3">
            <w:pPr>
              <w:pStyle w:val="ad"/>
              <w:spacing w:beforeLines="50" w:before="120" w:after="0"/>
              <w:rPr>
                <w:rFonts w:eastAsia="SimSun"/>
                <w:color w:val="000000"/>
                <w:lang w:eastAsia="zh-CN"/>
              </w:rPr>
            </w:pPr>
            <w:bookmarkStart w:id="50" w:name="PP3"/>
            <w:r>
              <w:rPr>
                <w:b/>
                <w:sz w:val="22"/>
                <w:szCs w:val="22"/>
              </w:rPr>
              <w:t xml:space="preserve">Proposal 3: Whether </w:t>
            </w:r>
            <w:r>
              <w:rPr>
                <w:rFonts w:eastAsia="SimSun"/>
                <w:b/>
                <w:color w:val="000000"/>
                <w:lang w:eastAsia="zh-CN"/>
              </w:rPr>
              <w:t xml:space="preserve">Features 30-6 is ‘Optional with capability </w:t>
            </w:r>
            <w:proofErr w:type="spellStart"/>
            <w:r>
              <w:rPr>
                <w:rFonts w:eastAsia="SimSun"/>
                <w:b/>
                <w:color w:val="000000"/>
                <w:lang w:eastAsia="zh-CN"/>
              </w:rPr>
              <w:t>signaling</w:t>
            </w:r>
            <w:proofErr w:type="spellEnd"/>
            <w:r>
              <w:rPr>
                <w:rFonts w:eastAsia="SimSun"/>
                <w:b/>
                <w:color w:val="000000"/>
                <w:lang w:eastAsia="zh-CN"/>
              </w:rPr>
              <w:t xml:space="preserve">’ or ‘Optional without capability </w:t>
            </w:r>
            <w:proofErr w:type="spellStart"/>
            <w:r>
              <w:rPr>
                <w:rFonts w:eastAsia="SimSun"/>
                <w:b/>
                <w:color w:val="000000"/>
                <w:lang w:eastAsia="zh-CN"/>
              </w:rPr>
              <w:t>signaling</w:t>
            </w:r>
            <w:proofErr w:type="spellEnd"/>
            <w:r>
              <w:rPr>
                <w:rFonts w:eastAsia="SimSun"/>
                <w:b/>
                <w:color w:val="000000"/>
                <w:lang w:eastAsia="zh-CN"/>
              </w:rPr>
              <w:t>’ can be up to RAN2 discussion</w:t>
            </w:r>
            <w:r>
              <w:rPr>
                <w:rFonts w:eastAsiaTheme="minorEastAsia"/>
                <w:b/>
                <w:sz w:val="22"/>
                <w:szCs w:val="22"/>
                <w:lang w:eastAsia="zh-CN"/>
              </w:rPr>
              <w:t>.</w:t>
            </w:r>
            <w:bookmarkEnd w:id="49"/>
            <w:bookmarkEnd w:id="50"/>
          </w:p>
        </w:tc>
      </w:tr>
      <w:tr w:rsidR="00EB3B75" w14:paraId="3FF990CA" w14:textId="77777777">
        <w:tc>
          <w:tcPr>
            <w:tcW w:w="139" w:type="pct"/>
          </w:tcPr>
          <w:p w14:paraId="0D8131E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409" w:type="pct"/>
          </w:tcPr>
          <w:p w14:paraId="30644F9F" w14:textId="77777777" w:rsidR="00EB3B75" w:rsidRDefault="00ED06A3">
            <w:pPr>
              <w:jc w:val="both"/>
              <w:rPr>
                <w:sz w:val="22"/>
                <w:lang w:val="en-US"/>
              </w:rPr>
            </w:pPr>
            <w:r>
              <w:rPr>
                <w:rFonts w:eastAsia="ＭＳ 明朝"/>
                <w:sz w:val="22"/>
              </w:rPr>
              <w:t>Nokia, Nokia Shanghai Bell</w:t>
            </w:r>
          </w:p>
        </w:tc>
        <w:tc>
          <w:tcPr>
            <w:tcW w:w="4452" w:type="pct"/>
          </w:tcPr>
          <w:p w14:paraId="134F6566" w14:textId="77777777" w:rsidR="00EB3B75" w:rsidRDefault="00ED06A3">
            <w:pPr>
              <w:pStyle w:val="aff5"/>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aff5"/>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4C75FA0A" w14:textId="77777777" w:rsidR="00EB3B75" w:rsidRDefault="00ED06A3">
            <w:pPr>
              <w:jc w:val="both"/>
              <w:rPr>
                <w:sz w:val="22"/>
                <w:lang w:val="en-US"/>
              </w:rPr>
            </w:pPr>
            <w:r>
              <w:rPr>
                <w:rFonts w:eastAsia="ＭＳ 明朝"/>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6"/>
              <w:keepNext/>
              <w:jc w:val="center"/>
            </w:pPr>
            <w:bookmarkStart w:id="51" w:name="_Ref83202224"/>
            <w:r>
              <w:t xml:space="preserve">Table </w:t>
            </w:r>
            <w:r>
              <w:fldChar w:fldCharType="begin"/>
            </w:r>
            <w:r>
              <w:instrText xml:space="preserve"> SEQ Table \* ARABIC </w:instrText>
            </w:r>
            <w:r>
              <w:fldChar w:fldCharType="separate"/>
            </w:r>
            <w:r>
              <w:t>3</w:t>
            </w:r>
            <w:r>
              <w:fldChar w:fldCharType="end"/>
            </w:r>
            <w:bookmarkEnd w:id="51"/>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random access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2"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6"/>
              <w:keepNext/>
              <w:spacing w:after="0"/>
            </w:pPr>
            <w:bookmarkStart w:id="53" w:name="_Ref86954615"/>
            <w:r>
              <w:t xml:space="preserve">Table </w:t>
            </w:r>
            <w:r>
              <w:fldChar w:fldCharType="begin"/>
            </w:r>
            <w:r>
              <w:instrText xml:space="preserve"> SEQ Table \* ARABIC </w:instrText>
            </w:r>
            <w:r>
              <w:fldChar w:fldCharType="separate"/>
            </w:r>
            <w:r>
              <w:t>5</w:t>
            </w:r>
            <w:r>
              <w:fldChar w:fldCharType="end"/>
            </w:r>
            <w:bookmarkEnd w:id="52"/>
            <w:bookmarkEnd w:id="53"/>
            <w:r>
              <w:t xml:space="preserve">: Capabilities for </w:t>
            </w:r>
            <w:r>
              <w:rPr>
                <w:lang w:eastAsia="zh-CN"/>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4" w:name="_Toc86951288"/>
            <w:r>
              <w:t>UE features for Type A PUSCH repetition for Msg3 are defined according to Table 5</w:t>
            </w:r>
            <w:bookmarkEnd w:id="54"/>
          </w:p>
        </w:tc>
      </w:tr>
      <w:tr w:rsidR="00EB3B75" w14:paraId="6D5C7802" w14:textId="77777777">
        <w:tc>
          <w:tcPr>
            <w:tcW w:w="139" w:type="pct"/>
          </w:tcPr>
          <w:p w14:paraId="30688439"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409" w:type="pct"/>
          </w:tcPr>
          <w:p w14:paraId="34A53E66" w14:textId="77777777" w:rsidR="00EB3B75" w:rsidRDefault="00ED06A3">
            <w:pPr>
              <w:jc w:val="both"/>
              <w:rPr>
                <w:sz w:val="22"/>
                <w:lang w:val="en-US"/>
              </w:rPr>
            </w:pPr>
            <w:r>
              <w:rPr>
                <w:rFonts w:eastAsia="ＭＳ 明朝"/>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10</w:t>
            </w:r>
            <w:r>
              <w:rPr>
                <w:rFonts w:eastAsia="游明朝" w:hint="eastAsia"/>
                <w:b/>
                <w:sz w:val="22"/>
                <w:szCs w:val="22"/>
              </w:rPr>
              <w:t>:</w:t>
            </w:r>
            <w:r>
              <w:rPr>
                <w:rFonts w:eastAsia="游明朝"/>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348845" w14:textId="77777777" w:rsidR="00EB3B75" w:rsidRDefault="00ED06A3">
            <w:pPr>
              <w:rPr>
                <w:rFonts w:eastAsia="SimSun"/>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5CADCA76" w14:textId="77777777">
        <w:tc>
          <w:tcPr>
            <w:tcW w:w="139" w:type="pct"/>
          </w:tcPr>
          <w:p w14:paraId="0F74E6BB"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w:t>
            </w:r>
            <w:r>
              <w:rPr>
                <w:lang w:val="en-US"/>
              </w:rPr>
              <w:lastRenderedPageBreak/>
              <w:t>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409" w:type="pct"/>
          </w:tcPr>
          <w:p w14:paraId="4AB95D3D" w14:textId="77777777" w:rsidR="00EB3B75" w:rsidRDefault="00ED06A3">
            <w:pPr>
              <w:jc w:val="both"/>
              <w:rPr>
                <w:sz w:val="22"/>
                <w:lang w:val="en-US"/>
              </w:rPr>
            </w:pPr>
            <w:r>
              <w:rPr>
                <w:rFonts w:eastAsia="ＭＳ 明朝"/>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No, </w:t>
                  </w:r>
                  <w:proofErr w:type="spellStart"/>
                  <w:r>
                    <w:rPr>
                      <w:rFonts w:asciiTheme="majorHAnsi" w:eastAsia="SimSun" w:hAnsiTheme="majorHAnsi" w:cstheme="majorHAnsi"/>
                      <w:color w:val="FF0000"/>
                      <w:sz w:val="16"/>
                      <w:szCs w:val="16"/>
                      <w:lang w:eastAsia="zh-CN"/>
                    </w:rPr>
                    <w:t>gNB</w:t>
                  </w:r>
                  <w:proofErr w:type="spellEnd"/>
                  <w:r>
                    <w:rPr>
                      <w:rFonts w:asciiTheme="majorHAnsi" w:eastAsia="SimSun"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0A41A86C" w14:textId="77777777" w:rsidR="00EB3B75" w:rsidRDefault="00ED06A3">
            <w:pPr>
              <w:jc w:val="both"/>
              <w:rPr>
                <w:sz w:val="22"/>
                <w:lang w:val="en-US"/>
              </w:rPr>
            </w:pPr>
            <w:r>
              <w:rPr>
                <w:rFonts w:eastAsia="ＭＳ 明朝"/>
                <w:sz w:val="22"/>
              </w:rPr>
              <w:t>MediaTek Inc.</w:t>
            </w:r>
          </w:p>
        </w:tc>
        <w:tc>
          <w:tcPr>
            <w:tcW w:w="4452" w:type="pct"/>
          </w:tcPr>
          <w:p w14:paraId="13E6FDAC"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6AF348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000" w:type="pct"/>
        <w:tblLook w:val="04A0" w:firstRow="1" w:lastRow="0" w:firstColumn="1" w:lastColumn="0" w:noHBand="0" w:noVBand="1"/>
      </w:tblPr>
      <w:tblGrid>
        <w:gridCol w:w="2265"/>
        <w:gridCol w:w="20118"/>
      </w:tblGrid>
      <w:tr w:rsidR="00EB3B75" w14:paraId="23B74F39" w14:textId="77777777">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lastRenderedPageBreak/>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tc>
          <w:tcPr>
            <w:tcW w:w="506" w:type="pct"/>
          </w:tcPr>
          <w:p w14:paraId="42B3A6B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w:t>
            </w: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 (out of those supporting Msg3 repetition). It is not needed that all UEs supportive of Msg3 repetition are known to </w:t>
            </w:r>
            <w:proofErr w:type="spellStart"/>
            <w:r>
              <w:rPr>
                <w:rFonts w:eastAsia="SimSun"/>
                <w:szCs w:val="21"/>
                <w:lang w:val="en-US" w:eastAsia="zh-CN"/>
              </w:rPr>
              <w:t>gNB</w:t>
            </w:r>
            <w:proofErr w:type="spellEnd"/>
            <w:r>
              <w:rPr>
                <w:rFonts w:eastAsia="SimSun"/>
                <w:szCs w:val="21"/>
                <w:lang w:val="en-US" w:eastAsia="zh-CN"/>
              </w:rPr>
              <w:t xml:space="preserve">. </w:t>
            </w:r>
            <w:r>
              <w:rPr>
                <w:szCs w:val="21"/>
                <w:lang w:val="en-US"/>
              </w:rPr>
              <w:t>Not all UEs supportive Msg3 demand for it anyway</w:t>
            </w:r>
          </w:p>
        </w:tc>
      </w:tr>
      <w:tr w:rsidR="00EB3B75" w14:paraId="0B340843" w14:textId="77777777">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tc>
          <w:tcPr>
            <w:tcW w:w="506" w:type="pct"/>
          </w:tcPr>
          <w:p w14:paraId="662DB9D2" w14:textId="77777777" w:rsidR="00EB3B75" w:rsidRDefault="00ED06A3">
            <w:pPr>
              <w:jc w:val="both"/>
              <w:rPr>
                <w:rFonts w:eastAsia="SimSun"/>
                <w:szCs w:val="21"/>
                <w:lang w:val="en-US" w:eastAsia="zh-CN"/>
              </w:rPr>
            </w:pPr>
            <w:bookmarkStart w:id="55" w:name="OLE_LINK16"/>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bookmarkEnd w:id="55"/>
            <w:proofErr w:type="spellEnd"/>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68C33CF"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5"/>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5"/>
              <w:numPr>
                <w:ilvl w:val="2"/>
                <w:numId w:val="16"/>
              </w:numPr>
              <w:spacing w:afterLines="50" w:after="120"/>
              <w:ind w:leftChars="0"/>
              <w:jc w:val="both"/>
              <w:rPr>
                <w:szCs w:val="21"/>
                <w:lang w:val="en-US"/>
              </w:rPr>
            </w:pP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w:t>
            </w:r>
          </w:p>
          <w:p w14:paraId="6B77E30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ＭＳ Ｐゴシック"/>
                <w:color w:val="000000"/>
                <w:szCs w:val="21"/>
                <w:lang w:val="en-US"/>
              </w:rPr>
            </w:pPr>
            <w:r>
              <w:rPr>
                <w:rFonts w:eastAsia="ＭＳ Ｐゴシック"/>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ＭＳ 明朝"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2B0A1569" w14:textId="77777777">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37ECBCB3" w14:textId="77777777">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tc>
          <w:tcPr>
            <w:tcW w:w="506" w:type="pct"/>
          </w:tcPr>
          <w:p w14:paraId="2459E5A3" w14:textId="2B31F347" w:rsidR="00F652C5" w:rsidRDefault="00F652C5" w:rsidP="00F652C5">
            <w:pPr>
              <w:jc w:val="both"/>
              <w:rPr>
                <w:rFonts w:eastAsia="SimSun" w:hint="eastAsia"/>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hint="eastAsia"/>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6"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6"/>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4565287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 MediaTek</w:t>
      </w:r>
    </w:p>
    <w:p w14:paraId="54CE2FA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0506EC0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c"/>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4B2A5FD" w14:textId="77777777" w:rsidR="00EB3B75" w:rsidRDefault="00ED06A3">
            <w:pPr>
              <w:rPr>
                <w:rFonts w:ascii="ＭＳ Ｐゴシック" w:eastAsia="ＭＳ Ｐゴシック" w:hAnsi="ＭＳ Ｐゴシック" w:cs="ＭＳ Ｐゴシック"/>
                <w:color w:val="000000"/>
                <w:szCs w:val="21"/>
                <w:lang w:val="en-US"/>
              </w:rPr>
            </w:pPr>
            <w:r>
              <w:rPr>
                <w:szCs w:val="24"/>
              </w:rPr>
              <w:t xml:space="preserve">Optional with capability signalling so that </w:t>
            </w:r>
            <w:proofErr w:type="spellStart"/>
            <w:r>
              <w:rPr>
                <w:szCs w:val="24"/>
              </w:rPr>
              <w:t>gNB</w:t>
            </w:r>
            <w:proofErr w:type="spellEnd"/>
            <w:r>
              <w:rPr>
                <w:szCs w:val="24"/>
              </w:rPr>
              <w:t xml:space="preserve">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 xml:space="preserve">Optional with capability </w:t>
            </w:r>
            <w:proofErr w:type="spellStart"/>
            <w:r>
              <w:rPr>
                <w:szCs w:val="24"/>
              </w:rPr>
              <w:t>signaling</w:t>
            </w:r>
            <w:proofErr w:type="spellEnd"/>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w:t>
      </w:r>
    </w:p>
    <w:p w14:paraId="24C63E28"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ＭＳ 明朝"/>
          <w:sz w:val="22"/>
        </w:rPr>
        <w:t xml:space="preserve">Huawei, </w:t>
      </w:r>
      <w:proofErr w:type="spellStart"/>
      <w:r>
        <w:rPr>
          <w:rFonts w:eastAsia="ＭＳ 明朝"/>
          <w:sz w:val="22"/>
        </w:rPr>
        <w:t>HiSilicon</w:t>
      </w:r>
      <w:proofErr w:type="spellEnd"/>
    </w:p>
    <w:p w14:paraId="3898C965" w14:textId="77777777" w:rsidR="00EB3B75" w:rsidRDefault="00ED06A3">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5872F26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c"/>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ＭＳ Ｐゴシック" w:eastAsia="ＭＳ Ｐゴシック" w:hAnsi="ＭＳ Ｐゴシック" w:cs="ＭＳ Ｐゴシック"/>
                <w:szCs w:val="21"/>
                <w:lang w:val="en-US"/>
              </w:rPr>
            </w:pPr>
            <w:r>
              <w:rPr>
                <w:rFonts w:ascii="ＭＳ Ｐゴシック" w:eastAsia="ＭＳ Ｐゴシック" w:hAnsi="ＭＳ Ｐゴシック" w:cs="ＭＳ Ｐゴシック"/>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ＭＳ Ｐゴシック" w:eastAsia="ＭＳ Ｐゴシック" w:hAnsi="ＭＳ Ｐゴシック" w:cs="ＭＳ Ｐゴシック"/>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ＭＳ Ｐゴシック"/>
                <w:color w:val="000000"/>
                <w:szCs w:val="21"/>
                <w:lang w:val="en-US"/>
              </w:rPr>
            </w:pPr>
            <w:r>
              <w:rPr>
                <w:rFonts w:eastAsia="ＭＳ Ｐゴシック"/>
                <w:color w:val="000000"/>
                <w:szCs w:val="21"/>
                <w:lang w:val="en-US"/>
              </w:rPr>
              <w:t xml:space="preserve">As to the name of the feature </w:t>
            </w:r>
            <w:proofErr w:type="gramStart"/>
            <w:r>
              <w:rPr>
                <w:rFonts w:eastAsia="ＭＳ Ｐゴシック"/>
                <w:color w:val="000000"/>
                <w:szCs w:val="21"/>
                <w:lang w:val="en-US"/>
              </w:rPr>
              <w:t>group,  since</w:t>
            </w:r>
            <w:proofErr w:type="gramEnd"/>
            <w:r>
              <w:rPr>
                <w:rFonts w:eastAsia="ＭＳ Ｐゴシック"/>
                <w:color w:val="000000"/>
                <w:szCs w:val="21"/>
                <w:lang w:val="en-US"/>
              </w:rPr>
              <w:t xml:space="preserv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 xml:space="preserve">Huawei, </w:t>
            </w:r>
            <w:proofErr w:type="spellStart"/>
            <w:r>
              <w:rPr>
                <w:szCs w:val="21"/>
                <w:lang w:val="en-US"/>
              </w:rPr>
              <w:t>HiSilicon</w:t>
            </w:r>
            <w:proofErr w:type="spellEnd"/>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ＭＳ 明朝"/>
          <w:b/>
          <w:bCs/>
          <w:szCs w:val="24"/>
          <w:lang w:val="en-US"/>
        </w:rPr>
      </w:pPr>
      <w:r>
        <w:rPr>
          <w:rFonts w:eastAsia="ＭＳ 明朝"/>
          <w:b/>
          <w:bCs/>
          <w:szCs w:val="24"/>
          <w:lang w:val="en-US"/>
        </w:rPr>
        <w:t>References</w:t>
      </w:r>
    </w:p>
    <w:p w14:paraId="0BE3BC0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ab/>
        <w:t>R1-2110587</w:t>
      </w:r>
      <w:r>
        <w:rPr>
          <w:rFonts w:eastAsia="ＭＳ 明朝"/>
          <w:sz w:val="22"/>
        </w:rPr>
        <w:tab/>
        <w:t>Updated RAN1 UE features list for Rel-17 NR after RAN1 #106bis-e</w:t>
      </w:r>
      <w:r>
        <w:rPr>
          <w:rFonts w:eastAsia="ＭＳ 明朝"/>
          <w:sz w:val="22"/>
        </w:rPr>
        <w:tab/>
        <w:t>Moderators (AT&amp;T, NTT DOCOMO, INC.)</w:t>
      </w:r>
    </w:p>
    <w:p w14:paraId="3AB1EC21"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R1-2110794</w:t>
      </w:r>
      <w:r>
        <w:rPr>
          <w:rFonts w:eastAsia="ＭＳ 明朝"/>
          <w:sz w:val="22"/>
        </w:rPr>
        <w:tab/>
        <w:t>Rel-17 UE features for NR coverage enhancement</w:t>
      </w:r>
      <w:r>
        <w:rPr>
          <w:rFonts w:eastAsia="ＭＳ 明朝"/>
          <w:sz w:val="22"/>
        </w:rPr>
        <w:tab/>
        <w:t xml:space="preserve">Huawei, </w:t>
      </w:r>
      <w:proofErr w:type="spellStart"/>
      <w:r>
        <w:rPr>
          <w:rFonts w:eastAsia="ＭＳ 明朝"/>
          <w:sz w:val="22"/>
        </w:rPr>
        <w:t>HiSilicon</w:t>
      </w:r>
      <w:proofErr w:type="spellEnd"/>
    </w:p>
    <w:p w14:paraId="56BC8AAC"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R1-2110927</w:t>
      </w:r>
      <w:r>
        <w:rPr>
          <w:rFonts w:eastAsia="ＭＳ 明朝"/>
          <w:sz w:val="22"/>
        </w:rPr>
        <w:tab/>
        <w:t>Discussion on UE features for NR coverage enhancement</w:t>
      </w:r>
      <w:r>
        <w:rPr>
          <w:rFonts w:eastAsia="ＭＳ 明朝"/>
          <w:sz w:val="22"/>
        </w:rPr>
        <w:tab/>
        <w:t>ZTE</w:t>
      </w:r>
    </w:p>
    <w:p w14:paraId="1A20DCC7"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R1-2111056</w:t>
      </w:r>
      <w:r>
        <w:rPr>
          <w:rFonts w:eastAsia="ＭＳ 明朝"/>
          <w:sz w:val="22"/>
        </w:rPr>
        <w:tab/>
        <w:t>Discussion on UE features for NR coverage enhancement</w:t>
      </w:r>
      <w:r>
        <w:rPr>
          <w:rFonts w:eastAsia="ＭＳ 明朝"/>
          <w:sz w:val="22"/>
        </w:rPr>
        <w:tab/>
        <w:t>vivo</w:t>
      </w:r>
    </w:p>
    <w:p w14:paraId="79C26E2B"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R1-2111159</w:t>
      </w:r>
      <w:r>
        <w:rPr>
          <w:rFonts w:eastAsia="ＭＳ 明朝"/>
          <w:sz w:val="22"/>
        </w:rPr>
        <w:tab/>
        <w:t>On UE features for NR coverage enhancement</w:t>
      </w:r>
      <w:r>
        <w:rPr>
          <w:rFonts w:eastAsia="ＭＳ 明朝"/>
          <w:sz w:val="22"/>
        </w:rPr>
        <w:tab/>
        <w:t>Nokia, Nokia Shanghai Bell</w:t>
      </w:r>
    </w:p>
    <w:p w14:paraId="33096A72"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R1-2111532</w:t>
      </w:r>
      <w:r>
        <w:rPr>
          <w:rFonts w:eastAsia="ＭＳ 明朝"/>
          <w:sz w:val="22"/>
        </w:rPr>
        <w:tab/>
        <w:t>Discussion on UE features for NR coverage enhancement</w:t>
      </w:r>
      <w:r>
        <w:rPr>
          <w:rFonts w:eastAsia="ＭＳ 明朝"/>
          <w:sz w:val="22"/>
        </w:rPr>
        <w:tab/>
        <w:t>Intel Corporation</w:t>
      </w:r>
    </w:p>
    <w:p w14:paraId="0B4576F4"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R1-2111776</w:t>
      </w:r>
      <w:r>
        <w:rPr>
          <w:rFonts w:eastAsia="ＭＳ 明朝"/>
          <w:sz w:val="22"/>
        </w:rPr>
        <w:tab/>
        <w:t>UE features for NR coverage enhancement</w:t>
      </w:r>
      <w:r>
        <w:rPr>
          <w:rFonts w:eastAsia="ＭＳ 明朝"/>
          <w:sz w:val="22"/>
        </w:rPr>
        <w:tab/>
        <w:t>Samsung</w:t>
      </w:r>
    </w:p>
    <w:p w14:paraId="02F11276"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R1-2111912</w:t>
      </w:r>
      <w:r>
        <w:rPr>
          <w:rFonts w:eastAsia="ＭＳ 明朝"/>
          <w:sz w:val="22"/>
        </w:rPr>
        <w:tab/>
        <w:t>Views on Rel-17 Coverage Enhancement UE Features</w:t>
      </w:r>
      <w:r>
        <w:rPr>
          <w:rFonts w:eastAsia="ＭＳ 明朝"/>
          <w:sz w:val="22"/>
        </w:rPr>
        <w:tab/>
        <w:t>Apple</w:t>
      </w:r>
    </w:p>
    <w:p w14:paraId="755DE599"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R1-2112041</w:t>
      </w:r>
      <w:r>
        <w:rPr>
          <w:rFonts w:eastAsia="ＭＳ 明朝"/>
          <w:sz w:val="22"/>
        </w:rPr>
        <w:tab/>
        <w:t>UE Features for NR Coverage Enhancement</w:t>
      </w:r>
      <w:r>
        <w:rPr>
          <w:rFonts w:eastAsia="ＭＳ 明朝"/>
          <w:sz w:val="22"/>
        </w:rPr>
        <w:tab/>
        <w:t>Ericsson</w:t>
      </w:r>
    </w:p>
    <w:p w14:paraId="2E3E094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R1-2112140</w:t>
      </w:r>
      <w:r>
        <w:rPr>
          <w:rFonts w:eastAsia="ＭＳ 明朝"/>
          <w:sz w:val="22"/>
        </w:rPr>
        <w:tab/>
        <w:t>Discussion on Rel.17 UE features for NR coverage enhancement</w:t>
      </w:r>
      <w:r>
        <w:rPr>
          <w:rFonts w:eastAsia="ＭＳ 明朝"/>
          <w:sz w:val="22"/>
        </w:rPr>
        <w:tab/>
        <w:t>NTT DOCOMO, INC.</w:t>
      </w:r>
    </w:p>
    <w:p w14:paraId="1CF6F2E3"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R1-2112168</w:t>
      </w:r>
      <w:r>
        <w:rPr>
          <w:rFonts w:eastAsia="ＭＳ 明朝"/>
          <w:sz w:val="22"/>
        </w:rPr>
        <w:tab/>
        <w:t>UE feature for Rel-17 coverage enhancement</w:t>
      </w:r>
      <w:r>
        <w:rPr>
          <w:rFonts w:eastAsia="ＭＳ 明朝"/>
          <w:sz w:val="22"/>
        </w:rPr>
        <w:tab/>
        <w:t>Sharp</w:t>
      </w:r>
    </w:p>
    <w:p w14:paraId="48D0BF3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R1-2112253</w:t>
      </w:r>
      <w:r>
        <w:rPr>
          <w:rFonts w:eastAsia="ＭＳ 明朝"/>
          <w:sz w:val="22"/>
        </w:rPr>
        <w:tab/>
        <w:t>UE Features for Coverage Enhancements</w:t>
      </w:r>
      <w:r>
        <w:rPr>
          <w:rFonts w:eastAsia="ＭＳ 明朝"/>
          <w:sz w:val="22"/>
        </w:rPr>
        <w:tab/>
        <w:t>Qualcomm Incorporated</w:t>
      </w:r>
    </w:p>
    <w:p w14:paraId="0B4559A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R1-2112319</w:t>
      </w:r>
      <w:r>
        <w:rPr>
          <w:rFonts w:eastAsia="ＭＳ 明朝"/>
          <w:sz w:val="22"/>
        </w:rPr>
        <w:tab/>
        <w:t>Discussion on UE features for NR Coverage Enhancement</w:t>
      </w:r>
      <w:r>
        <w:rPr>
          <w:rFonts w:eastAsia="ＭＳ 明朝"/>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C81D" w14:textId="77777777" w:rsidR="00720E34" w:rsidRDefault="00720E34">
      <w:r>
        <w:separator/>
      </w:r>
    </w:p>
  </w:endnote>
  <w:endnote w:type="continuationSeparator" w:id="0">
    <w:p w14:paraId="5D555E36" w14:textId="77777777" w:rsidR="00720E34" w:rsidRDefault="0072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1989" w14:textId="77777777" w:rsidR="00ED06A3" w:rsidRDefault="00ED06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8683" w14:textId="77777777" w:rsidR="00ED06A3" w:rsidRDefault="00ED06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9A36" w14:textId="77777777" w:rsidR="00ED06A3" w:rsidRDefault="00ED06A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CA9C" w14:textId="77777777" w:rsidR="00720E34" w:rsidRDefault="00720E34">
      <w:r>
        <w:separator/>
      </w:r>
    </w:p>
  </w:footnote>
  <w:footnote w:type="continuationSeparator" w:id="0">
    <w:p w14:paraId="67AAC2E6" w14:textId="77777777" w:rsidR="00720E34" w:rsidRDefault="0072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B9DA" w14:textId="77777777" w:rsidR="00ED06A3" w:rsidRDefault="00ED06A3">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ED91" w14:textId="77777777" w:rsidR="00ED06A3" w:rsidRDefault="00ED06A3">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3C22" w14:textId="77777777" w:rsidR="00ED06A3" w:rsidRDefault="00ED06A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10"/>
  </w:num>
  <w:num w:numId="21">
    <w:abstractNumId w:val="0"/>
  </w:num>
  <w:num w:numId="22">
    <w:abstractNumId w:val="29"/>
  </w:num>
  <w:num w:numId="23">
    <w:abstractNumId w:val="7"/>
  </w:num>
  <w:num w:numId="24">
    <w:abstractNumId w:val="23"/>
  </w:num>
  <w:num w:numId="25">
    <w:abstractNumId w:val="1"/>
  </w:num>
  <w:num w:numId="26">
    <w:abstractNumId w:val="9"/>
  </w:num>
  <w:num w:numId="27">
    <w:abstractNumId w:val="25"/>
  </w:num>
  <w:num w:numId="28">
    <w:abstractNumId w:val="14"/>
  </w:num>
  <w:num w:numId="29">
    <w:abstractNumId w:val="4"/>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qFormat/>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5">
    <w:name w:val="List Paragraph"/>
    <w:basedOn w:val="a0"/>
    <w:link w:val="aff6"/>
    <w:uiPriority w:val="34"/>
    <w:qFormat/>
    <w:pPr>
      <w:ind w:leftChars="400" w:left="840"/>
    </w:pPr>
  </w:style>
  <w:style w:type="character" w:customStyle="1" w:styleId="aff6">
    <w:name w:val="リスト段落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E853700-339E-4370-B62B-6D14B2F688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20930</Words>
  <Characters>119303</Characters>
  <Application>Microsoft Office Word</Application>
  <DocSecurity>0</DocSecurity>
  <Lines>994</Lines>
  <Paragraphs>279</Paragraphs>
  <ScaleCrop>false</ScaleCrop>
  <LinksUpToDate>false</LinksUpToDate>
  <CharactersWithSpaces>139954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2021-11-15T14:31:00Z</dcterms:created>
  <dcterms:modified xsi:type="dcterms:W3CDTF">2021-11-15T16:39:00Z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