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5036F6"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5036F6"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5036F6">
              <w:rPr>
                <w:rFonts w:ascii="Times New Roman" w:eastAsia="SimSun" w:hAnsi="Times New Roman"/>
                <w:sz w:val="22"/>
                <w:szCs w:val="22"/>
                <w:lang w:val="en-US" w:eastAsia="zh-CN"/>
              </w:rPr>
              <w:t>Huawei, HiSilicon</w:t>
            </w:r>
            <w:r>
              <w:rPr>
                <w:rFonts w:ascii="Times New Roman" w:eastAsia="SimSun" w:hAnsi="Times New Roman"/>
                <w:sz w:val="22"/>
                <w:szCs w:val="22"/>
                <w:lang w:val="en-US" w:eastAsia="zh-CN"/>
              </w:rPr>
              <w:t>, Intel,</w:t>
            </w:r>
            <w:r>
              <w:t xml:space="preserve"> </w:t>
            </w:r>
            <w:r>
              <w:rPr>
                <w:rFonts w:ascii="Times New Roman" w:eastAsia="SimSun" w:hAnsi="Times New Roman"/>
                <w:sz w:val="22"/>
                <w:szCs w:val="22"/>
                <w:lang w:val="en-US" w:eastAsia="zh-CN"/>
              </w:rPr>
              <w:t xml:space="preserve"> </w:t>
            </w:r>
            <w:r w:rsidRPr="00F44653">
              <w:rPr>
                <w:rFonts w:ascii="Times New Roman" w:eastAsia="SimSun" w:hAnsi="Times New Roman"/>
                <w:sz w:val="22"/>
                <w:szCs w:val="22"/>
                <w:lang w:val="en-US" w:eastAsia="zh-CN"/>
              </w:rPr>
              <w:t>Samsung</w:t>
            </w:r>
            <w:r>
              <w:rPr>
                <w:rFonts w:ascii="Times New Roman" w:eastAsia="SimSun" w:hAnsi="Times New Roman"/>
                <w:sz w:val="22"/>
                <w:szCs w:val="22"/>
                <w:lang w:val="en-US" w:eastAsia="zh-CN"/>
              </w:rPr>
              <w:t xml:space="preserve">, DOCOMO, </w:t>
            </w:r>
            <w:r w:rsidRPr="00F44653">
              <w:rPr>
                <w:rFonts w:ascii="Times New Roman" w:eastAsia="SimSun" w:hAnsi="Times New Roman"/>
                <w:sz w:val="22"/>
                <w:szCs w:val="22"/>
                <w:lang w:val="en-US" w:eastAsia="zh-CN"/>
              </w:rPr>
              <w:t>Nokia, Nokia Shanghai Bell</w:t>
            </w:r>
            <w:r>
              <w:rPr>
                <w:rFonts w:ascii="Times New Roman" w:eastAsia="SimSun" w:hAnsi="Times New Roman"/>
                <w:sz w:val="22"/>
                <w:szCs w:val="22"/>
                <w:lang w:val="en-US" w:eastAsia="zh-CN"/>
              </w:rPr>
              <w:t xml:space="preserve">, </w:t>
            </w:r>
            <w:r w:rsidRPr="00F44653">
              <w:rPr>
                <w:rFonts w:ascii="Times New Roman" w:eastAsia="SimSun" w:hAnsi="Times New Roman"/>
                <w:sz w:val="22"/>
                <w:szCs w:val="22"/>
                <w:lang w:val="en-US" w:eastAsia="zh-CN"/>
              </w:rPr>
              <w:t>Ericsson</w:t>
            </w:r>
            <w:r w:rsidR="00B0104B">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 xml:space="preserve"> </w:t>
            </w:r>
            <w:r w:rsidR="00B0104B" w:rsidRPr="00E74B8E">
              <w:rPr>
                <w:rFonts w:ascii="Times New Roman" w:eastAsia="SimSun" w:hAnsi="Times New Roman"/>
                <w:sz w:val="22"/>
                <w:szCs w:val="22"/>
                <w:lang w:val="en-US" w:eastAsia="zh-CN"/>
              </w:rPr>
              <w:t>Spreadtrum</w:t>
            </w:r>
            <w:r w:rsidR="00B0104B">
              <w:rPr>
                <w:rFonts w:ascii="Times New Roman" w:eastAsia="SimSun" w:hAnsi="Times New Roman"/>
                <w:sz w:val="22"/>
                <w:szCs w:val="22"/>
                <w:lang w:val="en-US" w:eastAsia="zh-CN"/>
              </w:rPr>
              <w:t>(2</w:t>
            </w:r>
            <w:r w:rsidR="00B0104B" w:rsidRPr="00B0104B">
              <w:rPr>
                <w:rFonts w:ascii="Times New Roman" w:eastAsia="SimSun" w:hAnsi="Times New Roman"/>
                <w:sz w:val="22"/>
                <w:szCs w:val="22"/>
                <w:vertAlign w:val="superscript"/>
                <w:lang w:val="en-US" w:eastAsia="zh-CN"/>
              </w:rPr>
              <w:t>nd</w:t>
            </w:r>
            <w:r w:rsidR="00B0104B">
              <w:rPr>
                <w:rFonts w:ascii="Times New Roman" w:eastAsia="SimSun" w:hAnsi="Times New Roman"/>
                <w:sz w:val="22"/>
                <w:szCs w:val="22"/>
                <w:lang w:val="en-US"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6A06DD6" w14:textId="77777777" w:rsidR="009356EA" w:rsidRPr="0000598C" w:rsidRDefault="009356EA" w:rsidP="004F19BD">
            <w:pPr>
              <w:autoSpaceDE w:val="0"/>
              <w:autoSpaceDN w:val="0"/>
              <w:adjustRightInd w:val="0"/>
              <w:snapToGrid w:val="0"/>
              <w:spacing w:beforeLines="50" w:before="120"/>
              <w:jc w:val="both"/>
              <w:rPr>
                <w:rFonts w:ascii="Times New Roman" w:hAnsi="Times New Roman"/>
                <w:sz w:val="22"/>
                <w:szCs w:val="22"/>
              </w:rPr>
            </w:pP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F2D05FE" w14:textId="77777777" w:rsidR="00DE19B0" w:rsidRPr="00667215" w:rsidRDefault="00DE19B0" w:rsidP="0071517A">
            <w:pPr>
              <w:autoSpaceDE w:val="0"/>
              <w:autoSpaceDN w:val="0"/>
              <w:adjustRightInd w:val="0"/>
              <w:snapToGrid w:val="0"/>
              <w:spacing w:beforeLines="50" w:before="120"/>
              <w:jc w:val="both"/>
              <w:rPr>
                <w:rFonts w:ascii="Times New Roman" w:hAnsi="Times New Roman"/>
                <w:sz w:val="22"/>
                <w:szCs w:val="22"/>
              </w:rPr>
            </w:pPr>
          </w:p>
        </w:tc>
      </w:tr>
    </w:tbl>
    <w:p w14:paraId="619A320E" w14:textId="77777777" w:rsidR="00DE19B0" w:rsidRPr="00667215"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lastRenderedPageBreak/>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lastRenderedPageBreak/>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667215" w:rsidRPr="00667215" w14:paraId="33560D2D" w14:textId="77777777" w:rsidTr="00667215">
        <w:tc>
          <w:tcPr>
            <w:tcW w:w="1384"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667215">
        <w:tc>
          <w:tcPr>
            <w:tcW w:w="1384"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667215">
        <w:tc>
          <w:tcPr>
            <w:tcW w:w="1384" w:type="dxa"/>
            <w:shd w:val="clear" w:color="auto" w:fill="auto"/>
          </w:tcPr>
          <w:p w14:paraId="257B7391"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0C0D5094" w14:textId="77777777" w:rsidR="00667215" w:rsidRPr="00667215" w:rsidRDefault="00667215" w:rsidP="00667215">
            <w:pPr>
              <w:autoSpaceDE w:val="0"/>
              <w:autoSpaceDN w:val="0"/>
              <w:adjustRightInd w:val="0"/>
              <w:snapToGrid w:val="0"/>
              <w:spacing w:beforeLines="50" w:before="120"/>
              <w:jc w:val="both"/>
              <w:rPr>
                <w:rFonts w:ascii="Times New Roman" w:hAnsi="Times New Roman"/>
                <w:sz w:val="22"/>
                <w:szCs w:val="22"/>
              </w:rPr>
            </w:pPr>
          </w:p>
        </w:tc>
      </w:tr>
    </w:tbl>
    <w:p w14:paraId="455D5DD7" w14:textId="77777777" w:rsidR="00667215" w:rsidRPr="004F19BD"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AF362C"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lastRenderedPageBreak/>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AF362C">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2298F2D4" w14:textId="77777777" w:rsidR="00BD3A9A" w:rsidRPr="0000598C" w:rsidRDefault="00BD3A9A" w:rsidP="0071517A">
            <w:pPr>
              <w:autoSpaceDE w:val="0"/>
              <w:autoSpaceDN w:val="0"/>
              <w:adjustRightInd w:val="0"/>
              <w:snapToGrid w:val="0"/>
              <w:spacing w:beforeLines="50" w:before="120"/>
              <w:jc w:val="both"/>
              <w:rPr>
                <w:rFonts w:ascii="Times New Roman" w:hAnsi="Times New Roman"/>
                <w:sz w:val="22"/>
                <w:szCs w:val="22"/>
              </w:rPr>
            </w:pP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0996DAA9" w14:textId="7D1E44BE"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3/4}.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12DF046E" w14:textId="77777777" w:rsidR="00A46351" w:rsidRPr="0000598C" w:rsidRDefault="00A46351" w:rsidP="00667215">
            <w:pPr>
              <w:autoSpaceDE w:val="0"/>
              <w:autoSpaceDN w:val="0"/>
              <w:adjustRightInd w:val="0"/>
              <w:snapToGrid w:val="0"/>
              <w:spacing w:beforeLines="50" w:before="120"/>
              <w:jc w:val="both"/>
              <w:rPr>
                <w:rFonts w:ascii="Times New Roman" w:hAnsi="Times New Roman"/>
                <w:sz w:val="22"/>
                <w:szCs w:val="22"/>
              </w:rPr>
            </w:pP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lastRenderedPageBreak/>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p>
        </w:tc>
        <w:tc>
          <w:tcPr>
            <w:tcW w:w="8250" w:type="dxa"/>
            <w:shd w:val="clear" w:color="auto" w:fill="auto"/>
          </w:tcPr>
          <w:p w14:paraId="52A50990" w14:textId="77777777" w:rsidR="0074056B" w:rsidRPr="00305777" w:rsidRDefault="0074056B" w:rsidP="007D6171">
            <w:pPr>
              <w:autoSpaceDE w:val="0"/>
              <w:autoSpaceDN w:val="0"/>
              <w:adjustRightInd w:val="0"/>
              <w:snapToGrid w:val="0"/>
              <w:spacing w:beforeLines="50" w:before="120"/>
              <w:ind w:left="0" w:firstLine="0"/>
              <w:jc w:val="both"/>
              <w:rPr>
                <w:rFonts w:ascii="Times New Roman" w:hAnsi="Times New Roman"/>
                <w:sz w:val="22"/>
                <w:szCs w:val="22"/>
              </w:rPr>
            </w:pP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FD079D"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8A7E5F" w:rsidRDefault="00BF44E2" w:rsidP="00BF44E2">
      <w:pPr>
        <w:jc w:val="both"/>
        <w:rPr>
          <w:rFonts w:ascii="Times New Roman" w:eastAsia="Malgun Gothic" w:hAnsi="Times New Roman"/>
          <w:sz w:val="22"/>
          <w:szCs w:val="22"/>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007D12F8">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007D12F8">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007D12F8">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007D12F8">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 xml:space="preserve">ivo and Nokia propose to enhance NCJT CSI reporting on PUCCH when PMI and </w:t>
      </w:r>
      <w:r>
        <w:rPr>
          <w:rFonts w:ascii="Times New Roman" w:eastAsiaTheme="minorEastAsia" w:hAnsi="Times New Roman" w:cs="Times New Roman"/>
          <w:color w:val="auto"/>
          <w:kern w:val="2"/>
          <w:sz w:val="22"/>
          <w:szCs w:val="22"/>
        </w:rPr>
        <w:lastRenderedPageBreak/>
        <w:t>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007D12F8">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007D12F8">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007D12F8">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4272CAE6"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77777777"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 xml:space="preserve"> 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77777777"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(9)</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DoCoMo, 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w:t>
      </w:r>
      <w:r w:rsidRPr="00F112BA">
        <w:rPr>
          <w:rStyle w:val="Strong"/>
          <w:b w:val="0"/>
          <w:color w:val="000000"/>
          <w:sz w:val="22"/>
          <w:szCs w:val="22"/>
        </w:rPr>
        <w:lastRenderedPageBreak/>
        <w:t>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5"/>
      <w:r>
        <w:rPr>
          <w:rFonts w:ascii="Times New Roman" w:eastAsia="Times New Roman" w:hAnsi="Times New Roman"/>
          <w:iCs/>
          <w:color w:val="000000" w:themeColor="text1"/>
          <w:sz w:val="22"/>
        </w:rPr>
        <w:t>Alt 2-1:</w:t>
      </w:r>
      <w:commentRangeEnd w:id="15"/>
      <w:r>
        <w:rPr>
          <w:rStyle w:val="CommentReference"/>
          <w:lang w:eastAsia="en-US"/>
        </w:rPr>
        <w:commentReference w:id="15"/>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6"/>
      <w:r>
        <w:rPr>
          <w:rFonts w:ascii="Times New Roman" w:eastAsia="Times New Roman" w:hAnsi="Times New Roman"/>
          <w:iCs/>
          <w:color w:val="000000" w:themeColor="text1"/>
          <w:sz w:val="22"/>
        </w:rPr>
        <w:t>Alt 2-2:</w:t>
      </w:r>
      <w:commentRangeEnd w:id="16"/>
      <w:r>
        <w:rPr>
          <w:rStyle w:val="CommentReference"/>
          <w:lang w:eastAsia="en-US"/>
        </w:rPr>
        <w:commentReference w:id="16"/>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007D12F8">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007D12F8">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007D12F8">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BA87188"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42D855C1" w14:textId="77777777" w:rsidR="00BF44E2" w:rsidRPr="002E5210"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007D12F8">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007D12F8">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007D12F8">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bl>
    <w:p w14:paraId="600C0A52" w14:textId="77777777" w:rsidR="00BF44E2" w:rsidRPr="00D50FBF"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17"/>
      <w:r>
        <w:rPr>
          <w:rFonts w:eastAsiaTheme="minorEastAsia" w:hint="eastAsia"/>
          <w:bCs/>
          <w:lang w:eastAsia="zh-CN"/>
        </w:rPr>
        <w:t>A</w:t>
      </w:r>
      <w:r>
        <w:rPr>
          <w:rFonts w:eastAsiaTheme="minorEastAsia"/>
          <w:bCs/>
          <w:lang w:eastAsia="zh-CN"/>
        </w:rPr>
        <w:t>lt 1-1:</w:t>
      </w:r>
      <w:commentRangeEnd w:id="17"/>
      <w:r>
        <w:rPr>
          <w:rStyle w:val="CommentReference"/>
          <w:lang w:eastAsia="en-US"/>
        </w:rPr>
        <w:commentReference w:id="1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AF362C"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18"/>
      <w:r>
        <w:rPr>
          <w:rFonts w:eastAsiaTheme="minorEastAsia" w:hint="eastAsia"/>
          <w:bCs/>
          <w:sz w:val="22"/>
          <w:szCs w:val="22"/>
          <w:lang w:eastAsia="zh-CN"/>
        </w:rPr>
        <w:t>Al</w:t>
      </w:r>
      <w:r>
        <w:rPr>
          <w:rFonts w:eastAsiaTheme="minorEastAsia"/>
          <w:bCs/>
          <w:sz w:val="22"/>
          <w:szCs w:val="22"/>
          <w:lang w:eastAsia="zh-CN"/>
        </w:rPr>
        <w:t>t 1-2</w:t>
      </w:r>
      <w:commentRangeEnd w:id="18"/>
      <w:r>
        <w:rPr>
          <w:rStyle w:val="CommentReference"/>
          <w:lang w:eastAsia="en-US"/>
        </w:rPr>
        <w:commentReference w:id="1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 xml:space="preserve">Alt 2: </w:t>
      </w:r>
      <w:commentRangeEnd w:id="19"/>
      <w:r>
        <w:rPr>
          <w:rStyle w:val="CommentReference"/>
          <w:lang w:eastAsia="en-US"/>
        </w:rPr>
        <w:commentReference w:id="1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007D12F8">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lastRenderedPageBreak/>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007D12F8">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007D12F8">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72797C4D"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eastAsia="zh-CN"/>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c>
          <w:tcPr>
            <w:tcW w:w="8196" w:type="dxa"/>
            <w:shd w:val="clear" w:color="auto" w:fill="auto"/>
          </w:tcPr>
          <w:p w14:paraId="08EF69D9"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77777777" w:rsidR="00BF44E2" w:rsidRDefault="00BF44E2" w:rsidP="007D12F8">
            <w:pPr>
              <w:tabs>
                <w:tab w:val="num" w:pos="576"/>
              </w:tabs>
              <w:autoSpaceDE w:val="0"/>
              <w:autoSpaceDN w:val="0"/>
              <w:adjustRightInd w:val="0"/>
              <w:snapToGrid w:val="0"/>
              <w:jc w:val="both"/>
              <w:rPr>
                <w:rFonts w:ascii="Times New Roman" w:eastAsia="SimSun" w:hAnsi="Times New Roman"/>
                <w:sz w:val="22"/>
                <w:szCs w:val="22"/>
              </w:rPr>
            </w:pP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7777777" w:rsidR="00BF44E2" w:rsidRPr="00C5591C"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lastRenderedPageBreak/>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lastRenderedPageBreak/>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20" w:name="_Toc87051392"/>
            <w:r w:rsidRPr="00480B45">
              <w:rPr>
                <w:b w:val="0"/>
                <w:sz w:val="22"/>
                <w:szCs w:val="22"/>
              </w:rPr>
              <w:t>Non-PMI CSI reporting for NCJT measurement hypothesis is not supported in Rel-17.</w:t>
            </w:r>
            <w:bookmarkEnd w:id="2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2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2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AF362C"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p>
        </w:tc>
        <w:tc>
          <w:tcPr>
            <w:tcW w:w="7796" w:type="dxa"/>
            <w:shd w:val="clear" w:color="auto" w:fill="auto"/>
          </w:tcPr>
          <w:p w14:paraId="14285DE6" w14:textId="77777777" w:rsidR="00BF44E2" w:rsidRPr="00305777" w:rsidRDefault="00BF44E2" w:rsidP="007D12F8">
            <w:pPr>
              <w:autoSpaceDE w:val="0"/>
              <w:autoSpaceDN w:val="0"/>
              <w:adjustRightInd w:val="0"/>
              <w:snapToGrid w:val="0"/>
              <w:spacing w:beforeLines="50" w:before="120"/>
              <w:ind w:left="0" w:firstLine="0"/>
              <w:jc w:val="both"/>
              <w:rPr>
                <w:rFonts w:ascii="Times New Roman" w:hAnsi="Times New Roman"/>
                <w:sz w:val="22"/>
                <w:szCs w:val="22"/>
              </w:rPr>
            </w:pP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2"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23"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4" w:name="_Hlk87261235"/>
      <w:bookmarkEnd w:id="2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5" w:name="_Hlk87261298"/>
      <w:bookmarkEnd w:id="2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6" w:name="_Hlk87261374"/>
      <w:bookmarkEnd w:id="2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27" w:name="_Hlk87261427"/>
      <w:bookmarkEnd w:id="2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2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lastRenderedPageBreak/>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2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lastRenderedPageBreak/>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lastRenderedPageBreak/>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lastRenderedPageBreak/>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lastRenderedPageBreak/>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w:t>
            </w:r>
            <w:r w:rsidRPr="00AC0E7C">
              <w:rPr>
                <w:rFonts w:ascii="Times New Roman" w:eastAsia="Times New Roman" w:hAnsi="Times New Roman"/>
                <w:b/>
                <w:i/>
                <w:szCs w:val="20"/>
                <w:lang w:val="en-US" w:eastAsia="en-US"/>
              </w:rPr>
              <w:lastRenderedPageBreak/>
              <w:t xml:space="preserve">by </w:t>
            </w:r>
            <m:oMath>
              <m:r>
                <m:rPr>
                  <m:sty m:val="bi"/>
                </m:rPr>
                <w:rPr>
                  <w:rFonts w:ascii="Cambria Math" w:eastAsia="Times New Roman" w:hAnsi="Cambria Math"/>
                  <w:szCs w:val="20"/>
                  <w:lang w:val="en-US" w:eastAsia="en-US"/>
                </w:rPr>
                <m:t>Pri</m:t>
              </m:r>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lastRenderedPageBreak/>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lastRenderedPageBreak/>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lastRenderedPageBreak/>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AF362C"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AF362C"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AF362C"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lastRenderedPageBreak/>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lastRenderedPageBreak/>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lastRenderedPageBreak/>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Pr="00AC0E7C">
              <w:rPr>
                <w:rFonts w:ascii="Times New Roman" w:eastAsia="Calibri" w:hAnsi="Times New Roman"/>
                <w:b/>
                <w:i/>
                <w:color w:val="000000"/>
                <w:sz w:val="22"/>
                <w:szCs w:val="22"/>
                <w:lang w:val="en-US" w:eastAsia="zh-CN"/>
              </w:rPr>
              <w:object w:dxaOrig="1120" w:dyaOrig="320" w14:anchorId="1B38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7pt" o:ole="">
                  <v:imagedata r:id="rId12" o:title=""/>
                </v:shape>
                <o:OLEObject Type="Embed" ProgID="Equation.DSMT4" ShapeID="_x0000_i1025" DrawAspect="Content" ObjectID="_1697863902"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Pr="00AC0E7C">
              <w:rPr>
                <w:rFonts w:ascii="Times New Roman" w:eastAsia="Calibri" w:hAnsi="Times New Roman"/>
                <w:b/>
                <w:i/>
                <w:color w:val="000000"/>
                <w:sz w:val="22"/>
                <w:szCs w:val="22"/>
                <w:lang w:val="en-US" w:eastAsia="zh-CN"/>
              </w:rPr>
              <w:object w:dxaOrig="340" w:dyaOrig="320" w14:anchorId="55E81153">
                <v:shape id="_x0000_i1026" type="#_x0000_t75" style="width:17pt;height:17pt" o:ole="">
                  <v:imagedata r:id="rId14" o:title=""/>
                </v:shape>
                <o:OLEObject Type="Embed" ProgID="Equation.DSMT4" ShapeID="_x0000_i1026" DrawAspect="Content" ObjectID="_1697863903" r:id="rId15"/>
              </w:object>
            </w:r>
            <w:r w:rsidRPr="00AC0E7C">
              <w:rPr>
                <w:rFonts w:ascii="Times New Roman" w:eastAsia="Calibri" w:hAnsi="Times New Roman"/>
                <w:b/>
                <w:i/>
                <w:color w:val="000000"/>
                <w:sz w:val="22"/>
                <w:szCs w:val="22"/>
                <w:lang w:val="en-US" w:eastAsia="zh-CN"/>
              </w:rPr>
              <w:t xml:space="preserve">and </w:t>
            </w:r>
            <w:r w:rsidRPr="00AC0E7C">
              <w:rPr>
                <w:rFonts w:ascii="Times New Roman" w:eastAsia="Calibri" w:hAnsi="Times New Roman"/>
                <w:b/>
                <w:i/>
                <w:color w:val="000000"/>
                <w:sz w:val="22"/>
                <w:szCs w:val="22"/>
                <w:lang w:val="en-US" w:eastAsia="zh-CN"/>
              </w:rPr>
              <w:object w:dxaOrig="760" w:dyaOrig="320" w14:anchorId="42ED883A">
                <v:shape id="_x0000_i1027" type="#_x0000_t75" style="width:38.05pt;height:17pt" o:ole="">
                  <v:imagedata r:id="rId16" o:title=""/>
                </v:shape>
                <o:OLEObject Type="Embed" ProgID="Equation.DSMT4" ShapeID="_x0000_i1027" DrawAspect="Content" ObjectID="_1697863904"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Pr="00AC0E7C">
              <w:rPr>
                <w:rFonts w:ascii="Times New Roman" w:eastAsia="Calibri" w:hAnsi="Times New Roman"/>
                <w:b/>
                <w:i/>
                <w:color w:val="000000"/>
                <w:sz w:val="22"/>
                <w:szCs w:val="22"/>
                <w:lang w:val="en-US" w:eastAsia="zh-CN"/>
              </w:rPr>
              <w:object w:dxaOrig="3420" w:dyaOrig="320" w14:anchorId="2D8FE234">
                <v:shape id="_x0000_i1028" type="#_x0000_t75" style="width:169.15pt;height:17pt" o:ole="">
                  <v:imagedata r:id="rId18" o:title=""/>
                </v:shape>
                <o:OLEObject Type="Embed" ProgID="Equation.DSMT4" ShapeID="_x0000_i1028" DrawAspect="Content" ObjectID="_1697863905"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Pr="00AC0E7C">
              <w:rPr>
                <w:rFonts w:ascii="Times New Roman" w:eastAsia="Calibri" w:hAnsi="Times New Roman"/>
                <w:b/>
                <w:i/>
                <w:color w:val="000000"/>
                <w:sz w:val="22"/>
                <w:szCs w:val="22"/>
                <w:lang w:val="en-US" w:eastAsia="zh-CN"/>
              </w:rPr>
              <w:object w:dxaOrig="1000" w:dyaOrig="280" w14:anchorId="03E5A329">
                <v:shape id="_x0000_i1029" type="#_x0000_t75" style="width:50.95pt;height:12.9pt" o:ole="">
                  <v:imagedata r:id="rId20" o:title=""/>
                </v:shape>
                <o:OLEObject Type="Embed" ProgID="Equation.3" ShapeID="_x0000_i1029" DrawAspect="Content" ObjectID="_1697863906"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Pr="00AC0E7C">
              <w:rPr>
                <w:rFonts w:ascii="Times New Roman" w:eastAsia="SimSun" w:hAnsi="Times New Roman"/>
                <w:b/>
                <w:i/>
                <w:position w:val="-10"/>
                <w:sz w:val="22"/>
                <w:szCs w:val="22"/>
                <w:lang w:val="en-US" w:eastAsia="zh-CN"/>
              </w:rPr>
              <w:object w:dxaOrig="360" w:dyaOrig="320" w14:anchorId="1BB10D33">
                <v:shape id="_x0000_i1030" type="#_x0000_t75" style="width:17pt;height:17pt" o:ole="">
                  <v:imagedata r:id="rId22" o:title=""/>
                </v:shape>
                <o:OLEObject Type="Embed" ProgID="Equation.DSMT4" ShapeID="_x0000_i1030" DrawAspect="Content" ObjectID="_1697863907" r:id="rId23"/>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360" w:dyaOrig="320" w14:anchorId="725424EE">
                <v:shape id="_x0000_i1031" type="#_x0000_t75" style="width:17pt;height:17pt" o:ole="">
                  <v:imagedata r:id="rId24" o:title=""/>
                </v:shape>
                <o:OLEObject Type="Embed" ProgID="Equation.DSMT4" ShapeID="_x0000_i1031" DrawAspect="Content" ObjectID="_1697863908"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Pr="00AC0E7C">
              <w:rPr>
                <w:rFonts w:ascii="Times New Roman" w:eastAsia="SimSun" w:hAnsi="Times New Roman"/>
                <w:b/>
                <w:i/>
                <w:position w:val="-10"/>
                <w:sz w:val="22"/>
                <w:szCs w:val="22"/>
                <w:lang w:val="en-US" w:eastAsia="zh-CN"/>
              </w:rPr>
              <w:object w:dxaOrig="740" w:dyaOrig="320" w14:anchorId="2119C2A3">
                <v:shape id="_x0000_i1032" type="#_x0000_t75" style="width:38.05pt;height:17pt" o:ole="">
                  <v:imagedata r:id="rId26" o:title=""/>
                </v:shape>
                <o:OLEObject Type="Embed" ProgID="Equation.DSMT4" ShapeID="_x0000_i1032" DrawAspect="Content" ObjectID="_1697863909" r:id="rId27"/>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360" w:dyaOrig="320" w14:anchorId="744CAA93">
                <v:shape id="_x0000_i1033" type="#_x0000_t75" style="width:17pt;height:17pt" o:ole="">
                  <v:imagedata r:id="rId28" o:title=""/>
                </v:shape>
                <o:OLEObject Type="Embed" ProgID="Equation.DSMT4" ShapeID="_x0000_i1033" DrawAspect="Content" ObjectID="_1697863910"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Pr="00AC0E7C">
              <w:rPr>
                <w:rFonts w:ascii="Times New Roman" w:eastAsia="SimSun" w:hAnsi="Times New Roman"/>
                <w:b/>
                <w:i/>
                <w:position w:val="-10"/>
                <w:sz w:val="22"/>
                <w:szCs w:val="22"/>
                <w:lang w:val="en-US" w:eastAsia="zh-CN"/>
              </w:rPr>
              <w:object w:dxaOrig="360" w:dyaOrig="320" w14:anchorId="3C38AE8E">
                <v:shape id="_x0000_i1034" type="#_x0000_t75" style="width:17pt;height:17pt" o:ole="">
                  <v:imagedata r:id="rId30" o:title=""/>
                </v:shape>
                <o:OLEObject Type="Embed" ProgID="Equation.DSMT4" ShapeID="_x0000_i1034" DrawAspect="Content" ObjectID="_1697863911" r:id="rId31"/>
              </w:object>
            </w:r>
            <w:r w:rsidRPr="00AC0E7C">
              <w:rPr>
                <w:rFonts w:ascii="Times New Roman" w:eastAsia="SimSun" w:hAnsi="Times New Roman"/>
                <w:b/>
                <w:i/>
                <w:sz w:val="22"/>
                <w:szCs w:val="22"/>
                <w:lang w:val="en-US" w:eastAsia="zh-CN"/>
              </w:rPr>
              <w:t xml:space="preserve"> and </w:t>
            </w:r>
            <w:r w:rsidRPr="00AC0E7C">
              <w:rPr>
                <w:rFonts w:ascii="Times New Roman" w:eastAsia="SimSun" w:hAnsi="Times New Roman"/>
                <w:b/>
                <w:i/>
                <w:position w:val="-10"/>
                <w:sz w:val="22"/>
                <w:szCs w:val="22"/>
                <w:lang w:val="en-US" w:eastAsia="zh-CN"/>
              </w:rPr>
              <w:object w:dxaOrig="740" w:dyaOrig="320" w14:anchorId="658D5FD1">
                <v:shape id="_x0000_i1035" type="#_x0000_t75" style="width:38.05pt;height:17pt" o:ole="">
                  <v:imagedata r:id="rId32" o:title=""/>
                </v:shape>
                <o:OLEObject Type="Embed" ProgID="Equation.DSMT4" ShapeID="_x0000_i1035" DrawAspect="Content" ObjectID="_1697863912"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Pr="00AC0E7C">
              <w:rPr>
                <w:rFonts w:ascii="Times New Roman" w:eastAsia="SimSun" w:hAnsi="Times New Roman"/>
                <w:b/>
                <w:i/>
                <w:position w:val="-10"/>
                <w:sz w:val="22"/>
                <w:szCs w:val="22"/>
                <w:lang w:val="en-US" w:eastAsia="zh-CN"/>
              </w:rPr>
              <w:object w:dxaOrig="760" w:dyaOrig="320" w14:anchorId="7BA1B3C8">
                <v:shape id="_x0000_i1036" type="#_x0000_t75" style="width:38.05pt;height:17pt" o:ole="">
                  <v:imagedata r:id="rId34" o:title=""/>
                </v:shape>
                <o:OLEObject Type="Embed" ProgID="Equation.DSMT4" ShapeID="_x0000_i1036" DrawAspect="Content" ObjectID="_1697863913" r:id="rId35"/>
              </w:object>
            </w:r>
            <w:r w:rsidRPr="00AC0E7C">
              <w:rPr>
                <w:rFonts w:ascii="Times New Roman" w:eastAsia="SimSun" w:hAnsi="Times New Roman"/>
                <w:b/>
                <w:i/>
                <w:sz w:val="22"/>
                <w:szCs w:val="22"/>
                <w:lang w:val="en-US" w:eastAsia="zh-CN"/>
              </w:rPr>
              <w:t xml:space="preserve">and </w:t>
            </w:r>
            <w:r w:rsidRPr="00AC0E7C">
              <w:rPr>
                <w:rFonts w:ascii="Times New Roman" w:eastAsia="SimSun" w:hAnsi="Times New Roman"/>
                <w:b/>
                <w:i/>
                <w:position w:val="-10"/>
                <w:sz w:val="22"/>
                <w:szCs w:val="22"/>
                <w:lang w:val="en-US" w:eastAsia="zh-CN"/>
              </w:rPr>
              <w:object w:dxaOrig="760" w:dyaOrig="320" w14:anchorId="057AFE37">
                <v:shape id="_x0000_i1037" type="#_x0000_t75" style="width:38.05pt;height:17pt" o:ole="">
                  <v:imagedata r:id="rId36" o:title=""/>
                </v:shape>
                <o:OLEObject Type="Embed" ProgID="Equation.DSMT4" ShapeID="_x0000_i1037" DrawAspect="Content" ObjectID="_1697863914"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lastRenderedPageBreak/>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 xml:space="preserve">1) can be used if the resources for CSI reporting towards different TRPs are different. If resources for </w:t>
            </w:r>
            <w:r w:rsidRPr="00AC0E7C">
              <w:rPr>
                <w:rFonts w:ascii="Times New Roman" w:eastAsia="Calibri" w:hAnsi="Times New Roman"/>
                <w:b/>
                <w:i/>
                <w:color w:val="000000"/>
                <w:sz w:val="22"/>
                <w:szCs w:val="22"/>
                <w:lang w:val="en-US" w:eastAsia="zh-CN"/>
              </w:rPr>
              <w:lastRenderedPageBreak/>
              <w:t>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lastRenderedPageBreak/>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lastRenderedPageBreak/>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lastRenderedPageBreak/>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lastRenderedPageBreak/>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 xml:space="preserve">For a CSI report #n corresponding to a NCJT measurement hypothesis and X (X=0/1/2) single-TRP measurement hypothesis, the mapping order of CSI fields of one CSI report should consider two LIs </w:t>
            </w:r>
            <w:r w:rsidRPr="00AC0E7C">
              <w:rPr>
                <w:rFonts w:ascii="Times New Roman" w:eastAsia="Yu Mincho" w:hAnsi="Times New Roman"/>
                <w:i/>
                <w:sz w:val="22"/>
                <w:szCs w:val="22"/>
                <w:lang w:eastAsia="ja-JP"/>
              </w:rPr>
              <w:lastRenderedPageBreak/>
              <w:t>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lastRenderedPageBreak/>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lastRenderedPageBreak/>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lastRenderedPageBreak/>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AF362C"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AF362C"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AF362C"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 xml:space="preserve">Support two CMRs within the same CMR pair configured for NCJT measurement hypothesis to be restricted within X continuous slot(s) without DL/UL switch between two </w:t>
              </w:r>
              <w:r w:rsidR="000245C2" w:rsidRPr="00AC0E7C">
                <w:rPr>
                  <w:rStyle w:val="Hyperlink"/>
                  <w:rFonts w:ascii="Times New Roman" w:hAnsi="Times New Roman"/>
                  <w:b w:val="0"/>
                  <w:noProof/>
                  <w:color w:val="000000" w:themeColor="text1"/>
                  <w:sz w:val="22"/>
                  <w:u w:val="none"/>
                </w:rPr>
                <w:lastRenderedPageBreak/>
                <w:t>CMRs, where X can be either 1 or 2, and where X=2 is not a separate UE capability</w:t>
              </w:r>
            </w:hyperlink>
          </w:p>
          <w:p w14:paraId="3C2B7773" w14:textId="77777777" w:rsidR="000245C2" w:rsidRPr="00AC0E7C" w:rsidRDefault="00AF362C"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AF362C"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headerReference w:type="even" r:id="rId38"/>
      <w:headerReference w:type="default" r:id="rId39"/>
      <w:footerReference w:type="even" r:id="rId40"/>
      <w:footerReference w:type="default" r:id="rId41"/>
      <w:headerReference w:type="first" r:id="rId42"/>
      <w:footerReference w:type="first" r:id="rId4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hor" w:initials="A">
    <w:p w14:paraId="20112B26" w14:textId="77777777" w:rsidR="007D12F8" w:rsidRPr="00206279"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6" w:author="Author" w:initials="A">
    <w:p w14:paraId="4DB120AE" w14:textId="77777777" w:rsidR="007D12F8" w:rsidRPr="00B67207"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17" w:author="Author" w:initials="A">
    <w:p w14:paraId="1F3F7ED1" w14:textId="77777777" w:rsidR="007D12F8" w:rsidRPr="00EA1800" w:rsidRDefault="007D12F8"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18" w:author="Author" w:initials="A">
    <w:p w14:paraId="61F0D5F7" w14:textId="77777777" w:rsidR="007D12F8" w:rsidRPr="003702C4" w:rsidRDefault="007D12F8" w:rsidP="00BF44E2">
      <w:pPr>
        <w:pStyle w:val="CommentText"/>
        <w:rPr>
          <w:rFonts w:eastAsiaTheme="minorEastAsia"/>
          <w:lang w:eastAsia="zh-CN"/>
        </w:rPr>
      </w:pPr>
      <w:r>
        <w:rPr>
          <w:rStyle w:val="CommentReference"/>
        </w:rPr>
        <w:annotationRef/>
      </w:r>
      <w:r>
        <w:rPr>
          <w:rFonts w:eastAsiaTheme="minorEastAsia"/>
          <w:lang w:eastAsia="zh-CN"/>
        </w:rPr>
        <w:t>LG</w:t>
      </w:r>
    </w:p>
  </w:comment>
  <w:comment w:id="19" w:author="Author" w:initials="A">
    <w:p w14:paraId="6F4D4DDA" w14:textId="77777777" w:rsidR="007D12F8" w:rsidRDefault="007D12F8"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1146" w14:textId="77777777" w:rsidR="00AF362C" w:rsidRDefault="00AF362C">
      <w:r>
        <w:separator/>
      </w:r>
    </w:p>
  </w:endnote>
  <w:endnote w:type="continuationSeparator" w:id="0">
    <w:p w14:paraId="101A56BC" w14:textId="77777777" w:rsidR="00AF362C" w:rsidRDefault="00A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36BA" w14:textId="77777777" w:rsidR="0012432E" w:rsidRDefault="0012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CFC8" w14:textId="77777777" w:rsidR="0012432E" w:rsidRDefault="00124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3EF4" w14:textId="77777777" w:rsidR="0012432E" w:rsidRDefault="0012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A69A" w14:textId="77777777" w:rsidR="00AF362C" w:rsidRDefault="00AF362C">
      <w:r>
        <w:separator/>
      </w:r>
    </w:p>
  </w:footnote>
  <w:footnote w:type="continuationSeparator" w:id="0">
    <w:p w14:paraId="777E30F6" w14:textId="77777777" w:rsidR="00AF362C" w:rsidRDefault="00AF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8DB9" w14:textId="77777777" w:rsidR="0012432E" w:rsidRDefault="00124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65F" w14:textId="77777777" w:rsidR="0012432E" w:rsidRDefault="0012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2213" w14:textId="77777777" w:rsidR="0012432E" w:rsidRDefault="0012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2"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6"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4"/>
  </w:num>
  <w:num w:numId="3">
    <w:abstractNumId w:val="63"/>
  </w:num>
  <w:num w:numId="4">
    <w:abstractNumId w:val="61"/>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8"/>
  </w:num>
  <w:num w:numId="8">
    <w:abstractNumId w:val="38"/>
  </w:num>
  <w:num w:numId="9">
    <w:abstractNumId w:val="46"/>
  </w:num>
  <w:num w:numId="10">
    <w:abstractNumId w:val="56"/>
  </w:num>
  <w:num w:numId="11">
    <w:abstractNumId w:val="33"/>
  </w:num>
  <w:num w:numId="12">
    <w:abstractNumId w:val="31"/>
  </w:num>
  <w:num w:numId="13">
    <w:abstractNumId w:val="21"/>
  </w:num>
  <w:num w:numId="14">
    <w:abstractNumId w:val="39"/>
  </w:num>
  <w:num w:numId="15">
    <w:abstractNumId w:val="54"/>
  </w:num>
  <w:num w:numId="16">
    <w:abstractNumId w:val="45"/>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7"/>
  </w:num>
  <w:num w:numId="30">
    <w:abstractNumId w:val="13"/>
  </w:num>
  <w:num w:numId="31">
    <w:abstractNumId w:val="52"/>
  </w:num>
  <w:num w:numId="32">
    <w:abstractNumId w:val="49"/>
  </w:num>
  <w:num w:numId="33">
    <w:abstractNumId w:val="53"/>
  </w:num>
  <w:num w:numId="34">
    <w:abstractNumId w:val="25"/>
  </w:num>
  <w:num w:numId="35">
    <w:abstractNumId w:val="30"/>
  </w:num>
  <w:num w:numId="36">
    <w:abstractNumId w:val="10"/>
  </w:num>
  <w:num w:numId="37">
    <w:abstractNumId w:val="40"/>
  </w:num>
  <w:num w:numId="38">
    <w:abstractNumId w:val="48"/>
  </w:num>
  <w:num w:numId="39">
    <w:abstractNumId w:val="51"/>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0"/>
  </w:num>
  <w:num w:numId="47">
    <w:abstractNumId w:val="55"/>
  </w:num>
  <w:num w:numId="48">
    <w:abstractNumId w:val="27"/>
  </w:num>
  <w:num w:numId="49">
    <w:abstractNumId w:val="62"/>
  </w:num>
  <w:num w:numId="50">
    <w:abstractNumId w:val="14"/>
  </w:num>
  <w:num w:numId="51">
    <w:abstractNumId w:val="18"/>
  </w:num>
  <w:num w:numId="52">
    <w:abstractNumId w:val="9"/>
  </w:num>
  <w:num w:numId="53">
    <w:abstractNumId w:val="24"/>
  </w:num>
  <w:num w:numId="54">
    <w:abstractNumId w:val="57"/>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0"/>
  </w:num>
  <w:num w:numId="62">
    <w:abstractNumId w:val="19"/>
  </w:num>
  <w:num w:numId="63">
    <w:abstractNumId w:val="59"/>
  </w:num>
  <w:num w:numId="64">
    <w:abstractNumId w:val="35"/>
  </w:num>
  <w:num w:numId="6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434"/>
    <w:rsid w:val="0046547F"/>
    <w:rsid w:val="004655E4"/>
    <w:rsid w:val="00465B1C"/>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215"/>
    <w:rsid w:val="00667471"/>
    <w:rsid w:val="0066767E"/>
    <w:rsid w:val="00667C9A"/>
    <w:rsid w:val="00667ED2"/>
    <w:rsid w:val="006702B1"/>
    <w:rsid w:val="006706F8"/>
    <w:rsid w:val="00670B00"/>
    <w:rsid w:val="00670D35"/>
    <w:rsid w:val="00670F13"/>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FC5"/>
    <w:rsid w:val="009E454F"/>
    <w:rsid w:val="009E475A"/>
    <w:rsid w:val="009E48D7"/>
    <w:rsid w:val="009E4966"/>
    <w:rsid w:val="009E4A93"/>
    <w:rsid w:val="009E4C19"/>
    <w:rsid w:val="009E4D50"/>
    <w:rsid w:val="009E519A"/>
    <w:rsid w:val="009E54F7"/>
    <w:rsid w:val="009E55F9"/>
    <w:rsid w:val="009E5643"/>
    <w:rsid w:val="009E5D13"/>
    <w:rsid w:val="009E5DB7"/>
    <w:rsid w:val="009E61AC"/>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2D0"/>
    <w:rsid w:val="00CF45BB"/>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708"/>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footer" Target="foot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8B52-4C5A-44A1-99A3-22CDC12B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12528</Words>
  <Characters>71411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2021-11-08T14:38:00Z</dcterms:created>
  <dcterms:modified xsi:type="dcterms:W3CDTF">2021-11-08T16:05:00Z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