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04861" w14:textId="690B76F3" w:rsidR="00F110CD" w:rsidRPr="00C84F38" w:rsidRDefault="00F110CD" w:rsidP="00F110CD">
      <w:pPr>
        <w:pStyle w:val="Header"/>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Header"/>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Header"/>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Heading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ListParagraph"/>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ListParagraph"/>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Hyperlink"/>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2E26DF" w:rsidP="00227681">
      <w:pPr>
        <w:pStyle w:val="ListParagraph"/>
        <w:numPr>
          <w:ilvl w:val="0"/>
          <w:numId w:val="27"/>
        </w:numPr>
        <w:rPr>
          <w:sz w:val="20"/>
          <w:szCs w:val="16"/>
          <w:lang w:val="en-US"/>
        </w:rPr>
      </w:pPr>
      <w:hyperlink r:id="rId13" w:history="1">
        <w:r w:rsidR="008703F1" w:rsidRPr="008703F1">
          <w:rPr>
            <w:rStyle w:val="Hyperlink"/>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2E26DF" w:rsidP="00227681">
      <w:pPr>
        <w:pStyle w:val="ListParagraph"/>
        <w:numPr>
          <w:ilvl w:val="0"/>
          <w:numId w:val="27"/>
        </w:numPr>
        <w:rPr>
          <w:rFonts w:eastAsia="Times New Roman"/>
          <w:sz w:val="20"/>
          <w:szCs w:val="18"/>
          <w:lang w:val="en-US"/>
        </w:rPr>
      </w:pPr>
      <w:hyperlink r:id="rId14" w:history="1">
        <w:r w:rsidR="008703F1" w:rsidRPr="008703F1">
          <w:rPr>
            <w:rStyle w:val="Hyperlink"/>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TableGrid"/>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r w:rsidRPr="00C93A50">
              <w:rPr>
                <w:i/>
                <w:lang w:val="en-US"/>
              </w:rPr>
              <w:t>subslotLengthForPUCCH</w:t>
            </w:r>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Heading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Heading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multi-CSI-PUCCH-ResourceList</w:t>
            </w:r>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r w:rsidRPr="005D3188">
              <w:rPr>
                <w:i/>
                <w:lang w:val="x-none" w:eastAsia="zh-CN"/>
              </w:rPr>
              <w:t>pucch-CSI-ResourceList</w:t>
            </w:r>
            <w:bookmarkEnd w:id="14"/>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r w:rsidRPr="00CC44B3">
              <w:rPr>
                <w:i/>
                <w:color w:val="FF0000"/>
                <w:lang w:val="en-US"/>
              </w:rPr>
              <w:t>subslotLengthForPUCCH</w:t>
            </w:r>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TableGrid"/>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r w:rsidRPr="00CC44B3">
              <w:rPr>
                <w:i/>
                <w:iCs/>
                <w:color w:val="FF0000"/>
              </w:rPr>
              <w:t>subslotLengthForPUCCH</w:t>
            </w:r>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Heading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ListParagraph"/>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ListParagraph"/>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ListParagraph"/>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TableGrid"/>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r w:rsidR="00A20E89">
              <w:rPr>
                <w:bCs/>
                <w:szCs w:val="22"/>
                <w:lang w:val="en-US" w:eastAsia="zh-CN"/>
              </w:rPr>
              <w:t>, HwHiSi</w:t>
            </w:r>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multi-CSI-PUCCH-ResourceList</w:t>
            </w:r>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r>
              <w:rPr>
                <w:color w:val="000000" w:themeColor="text1"/>
                <w:kern w:val="2"/>
                <w:lang w:eastAsia="zh-CN"/>
              </w:rPr>
              <w:t xml:space="preserve">Thus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TableGrid"/>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TableGrid"/>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“one set of subslotLengthForPUCCH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TableGrid"/>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r w:rsidRPr="002A07B7">
              <w:rPr>
                <w:i/>
                <w:highlight w:val="yellow"/>
                <w:lang w:val="en-US"/>
              </w:rPr>
              <w:t>subslotLengthForPUCCH</w:t>
            </w:r>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r w:rsidRPr="002A07B7">
              <w:rPr>
                <w:i/>
                <w:iCs/>
                <w:highlight w:val="yellow"/>
              </w:rPr>
              <w:t>subslotLengthForPUCCH</w:t>
            </w:r>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ListParagraph"/>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ListParagraph"/>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ListParagraph"/>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TableGrid"/>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HW/HiSi</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TableGrid"/>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ListParagraph"/>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TableGrid"/>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r>
                    <w:rPr>
                      <w:i/>
                      <w:iCs/>
                    </w:rPr>
                    <w:t>subslotLengthForPUCCH</w:t>
                  </w:r>
                  <w:r>
                    <w:t xml:space="preserve">, a slot for an associated PUCCH resource of a PUCCH transmission with HARQ-ACK information includes a number of symbols indicated by </w:t>
                  </w:r>
                  <w:r>
                    <w:rPr>
                      <w:i/>
                      <w:iCs/>
                    </w:rPr>
                    <w:t>subslotLengthForPUCCH</w:t>
                  </w:r>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r>
              <w:rPr>
                <w:i/>
                <w:iCs/>
              </w:rPr>
              <w:t xml:space="preserve">subslotLengthForPUCCH.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subslotLengthForPUCCH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First, Ericsson text proposal is equally valid for section 9 and section 9.2.5.2. Thus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ListParagraph"/>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t>For ZTE text, ’sub-slot’ cannot be used in spec, since it’s never defined in spec;</w:t>
            </w:r>
          </w:p>
          <w:p w14:paraId="0A062A65" w14:textId="77777777" w:rsidR="004B2113" w:rsidRPr="004B2113" w:rsidRDefault="004B2113" w:rsidP="00227681">
            <w:pPr>
              <w:pStyle w:val="ListParagraph"/>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ListParagraph"/>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r w:rsidR="00D917CB">
              <w:rPr>
                <w:i/>
                <w:iCs/>
                <w:lang w:val="en-US"/>
              </w:rPr>
              <w:t>subslotLengthForPUCCH</w:t>
            </w:r>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r w:rsidR="00D917CB">
              <w:rPr>
                <w:i/>
                <w:iCs/>
                <w:lang w:val="en-US"/>
              </w:rPr>
              <w:t>subslotLengthForPUCCH</w:t>
            </w:r>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ListParagraph"/>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ListParagraph"/>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ListParagraph"/>
              <w:ind w:left="928"/>
              <w:jc w:val="both"/>
              <w:rPr>
                <w:bCs/>
                <w:szCs w:val="18"/>
                <w:lang w:val="en-US"/>
              </w:rPr>
            </w:pPr>
          </w:p>
          <w:p w14:paraId="468EEF4A" w14:textId="77777777" w:rsidR="003E45B0" w:rsidRDefault="003E45B0" w:rsidP="00227681">
            <w:pPr>
              <w:pStyle w:val="ListParagraph"/>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ListParagraph"/>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ListParagraph"/>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ListParagraph"/>
              <w:numPr>
                <w:ilvl w:val="0"/>
                <w:numId w:val="31"/>
              </w:numPr>
              <w:jc w:val="both"/>
              <w:rPr>
                <w:bCs/>
                <w:szCs w:val="18"/>
                <w:lang w:val="en-US"/>
              </w:rPr>
            </w:pPr>
            <w:r>
              <w:rPr>
                <w:bCs/>
                <w:szCs w:val="18"/>
                <w:lang w:val="en-US"/>
              </w:rPr>
              <w:t>Prefer ZTE</w:t>
            </w:r>
          </w:p>
          <w:p w14:paraId="4635BF79" w14:textId="2DC3BA02" w:rsidR="003E45B0" w:rsidRDefault="003E45B0" w:rsidP="003E45B0">
            <w:pPr>
              <w:pStyle w:val="ListParagraph"/>
              <w:jc w:val="both"/>
              <w:rPr>
                <w:bCs/>
                <w:sz w:val="20"/>
                <w:szCs w:val="18"/>
                <w:lang w:val="en-US"/>
              </w:rPr>
            </w:pPr>
          </w:p>
          <w:p w14:paraId="48C3AB01" w14:textId="77777777" w:rsidR="003E45B0" w:rsidRDefault="003E45B0" w:rsidP="003E45B0">
            <w:pPr>
              <w:pStyle w:val="ListParagraph"/>
              <w:jc w:val="both"/>
              <w:rPr>
                <w:bCs/>
                <w:sz w:val="20"/>
                <w:szCs w:val="18"/>
                <w:lang w:val="en-US"/>
              </w:rPr>
            </w:pPr>
          </w:p>
          <w:p w14:paraId="40BF6401" w14:textId="77777777" w:rsidR="003E45B0" w:rsidRPr="006D3C16" w:rsidRDefault="003E45B0" w:rsidP="00227681">
            <w:pPr>
              <w:pStyle w:val="ListParagraph"/>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ListParagraph"/>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subslotLengthForPUCCH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including a number of symbols indicated by subslotLengthForPUCCH</w:t>
            </w:r>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In this paragraph, the slot includes a number of symbols indicated by subslotLengthForPUCCH</w:t>
            </w:r>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ListParagraph"/>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ListParagraph"/>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ListParagraph"/>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ListParagraph"/>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 , I could accept Nokia version</w:t>
            </w:r>
          </w:p>
          <w:p w14:paraId="3184C0B2" w14:textId="2F9ADCAB" w:rsidR="004B4038" w:rsidRPr="00DC026D" w:rsidRDefault="004B4038" w:rsidP="004B4038">
            <w:pPr>
              <w:pStyle w:val="ListParagraph"/>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ListParagraph"/>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ListParagraph"/>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Heading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ListParagraph"/>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ListParagraph"/>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ListParagraph"/>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magenta part: let’s maybe use the Nokia version</w:t>
      </w:r>
    </w:p>
    <w:p w14:paraId="7BB6945F" w14:textId="6BF898E8" w:rsidR="00A36B9E"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ListParagraph"/>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ListParagraph"/>
        <w:numPr>
          <w:ilvl w:val="1"/>
          <w:numId w:val="32"/>
        </w:numPr>
        <w:spacing w:after="100" w:afterAutospacing="1"/>
        <w:jc w:val="both"/>
        <w:rPr>
          <w:sz w:val="20"/>
          <w:szCs w:val="20"/>
          <w:lang w:val="en-US"/>
        </w:rPr>
      </w:pPr>
      <w:r w:rsidRPr="00A540CA">
        <w:rPr>
          <w:sz w:val="20"/>
          <w:szCs w:val="20"/>
          <w:lang w:val="en-US"/>
        </w:rPr>
        <w:t>On the green part, the LGE proposal (with the addition by HW/HiSi)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r>
        <w:rPr>
          <w:lang w:val="en-US"/>
        </w:rPr>
        <w:t>So from moderator side overall, the following TP is proposed here for the 2</w:t>
      </w:r>
      <w:r w:rsidRPr="007D4E85">
        <w:rPr>
          <w:vertAlign w:val="superscript"/>
          <w:lang w:val="en-US"/>
        </w:rPr>
        <w:t>nd</w:t>
      </w:r>
      <w:r>
        <w:rPr>
          <w:lang w:val="en-US"/>
        </w:rPr>
        <w:t xml:space="preserve"> round: </w:t>
      </w:r>
    </w:p>
    <w:tbl>
      <w:tblPr>
        <w:tblStyle w:val="TableGrid"/>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r w:rsidRPr="00A540CA">
              <w:rPr>
                <w:i/>
                <w:iCs/>
                <w:color w:val="FF0000"/>
              </w:rPr>
              <w:t>subslotLengthForPUCCH</w:t>
            </w:r>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r w:rsidRPr="00A540CA">
              <w:rPr>
                <w:rFonts w:eastAsia="Malgun Gothic"/>
                <w:i/>
                <w:iCs/>
                <w:color w:val="FF0000"/>
                <w:kern w:val="2"/>
                <w:lang w:eastAsia="ko-KR"/>
              </w:rPr>
              <w:t>subslotLengthForPUCCH</w:t>
            </w:r>
            <w:r w:rsidRPr="00A540CA">
              <w:rPr>
                <w:rFonts w:eastAsia="Malgun Gothic"/>
                <w:color w:val="FF0000"/>
                <w:kern w:val="2"/>
                <w:lang w:eastAsia="ko-KR"/>
              </w:rPr>
              <w:t xml:space="preserve"> is moved to a different slot including a number of symbols indicated by </w:t>
            </w:r>
            <w:r w:rsidRPr="00A540CA">
              <w:rPr>
                <w:rFonts w:eastAsia="Malgun Gothic"/>
                <w:i/>
                <w:iCs/>
                <w:color w:val="FF0000"/>
                <w:kern w:val="2"/>
                <w:lang w:eastAsia="ko-KR"/>
              </w:rPr>
              <w:t>subslotLengthForPUCCH</w:t>
            </w:r>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ListParagraph"/>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The problem is again if ‘slot’ here refers to a full slot (14 symbols for NCP) or a subslot. In our understanding, a slot here refers to a full slot since the magic paragraph that turns a slot to a subslot (“</w:t>
            </w:r>
            <w:r w:rsidRPr="003A0E9F">
              <w:rPr>
                <w:sz w:val="20"/>
                <w:szCs w:val="20"/>
              </w:rPr>
              <w:t>In the remaining of this clause, …</w:t>
            </w:r>
            <w:r w:rsidRPr="003A0E9F">
              <w:rPr>
                <w:color w:val="000000" w:themeColor="text1"/>
                <w:kern w:val="2"/>
                <w:sz w:val="20"/>
                <w:szCs w:val="20"/>
              </w:rPr>
              <w:t>”) has not showed up. This is also confirmed by the fact that the TP has “</w:t>
            </w:r>
            <w:r w:rsidRPr="003A0E9F">
              <w:rPr>
                <w:rFonts w:eastAsia="Malgun Gothic"/>
                <w:color w:val="FF0000"/>
                <w:kern w:val="2"/>
                <w:sz w:val="20"/>
                <w:szCs w:val="20"/>
                <w:lang w:eastAsia="ko-KR"/>
              </w:rPr>
              <w:t xml:space="preserve">including a number of symbols indicated by </w:t>
            </w:r>
            <w:r w:rsidRPr="003A0E9F">
              <w:rPr>
                <w:rFonts w:eastAsia="Malgun Gothic"/>
                <w:i/>
                <w:iCs/>
                <w:color w:val="FF0000"/>
                <w:kern w:val="2"/>
                <w:sz w:val="20"/>
                <w:szCs w:val="20"/>
                <w:lang w:eastAsia="ko-KR"/>
              </w:rPr>
              <w:t>subslotLengthForPUCCH</w:t>
            </w:r>
            <w:r w:rsidRPr="003A0E9F">
              <w:rPr>
                <w:rFonts w:eastAsia="Malgun Gothic"/>
                <w:color w:val="FF0000"/>
                <w:kern w:val="2"/>
                <w:sz w:val="20"/>
                <w:szCs w:val="20"/>
                <w:lang w:eastAsia="ko-KR"/>
              </w:rPr>
              <w:t>.</w:t>
            </w:r>
            <w:r w:rsidRPr="003A0E9F">
              <w:rPr>
                <w:color w:val="000000" w:themeColor="text1"/>
                <w:kern w:val="2"/>
                <w:sz w:val="20"/>
                <w:szCs w:val="20"/>
              </w:rPr>
              <w:t>” With this understanding, it’s then incorrect to say mov</w:t>
            </w:r>
            <w:r w:rsidR="002C77B6">
              <w:rPr>
                <w:color w:val="000000" w:themeColor="text1"/>
                <w:kern w:val="2"/>
                <w:sz w:val="20"/>
                <w:szCs w:val="20"/>
              </w:rPr>
              <w:t>ing</w:t>
            </w:r>
            <w:r w:rsidRPr="003A0E9F">
              <w:rPr>
                <w:color w:val="000000" w:themeColor="text1"/>
                <w:kern w:val="2"/>
                <w:sz w:val="20"/>
                <w:szCs w:val="20"/>
              </w:rPr>
              <w:t xml:space="preserve"> from one ‘slot’ to a different ‘slot’.</w:t>
            </w:r>
          </w:p>
          <w:p w14:paraId="53434400" w14:textId="26E7C097" w:rsidR="003A0E9F" w:rsidRDefault="003A0E9F"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 xml:space="preserve">Need to add </w:t>
            </w:r>
            <w:r w:rsidRPr="003A0E9F">
              <w:rPr>
                <w:color w:val="000000" w:themeColor="text1"/>
                <w:kern w:val="2"/>
                <w:sz w:val="20"/>
                <w:szCs w:val="20"/>
              </w:rPr>
              <w:t>“in a slot with any HARQ-ACK, ”</w:t>
            </w:r>
            <w:r>
              <w:rPr>
                <w:color w:val="000000" w:themeColor="text1"/>
                <w:kern w:val="2"/>
                <w:sz w:val="20"/>
                <w:szCs w:val="20"/>
              </w:rPr>
              <w:t xml:space="preserve"> to reflect the Note in the agreement. Here ’slot’ refers to a full slot as discussed.</w:t>
            </w:r>
            <w:r w:rsidR="00CF0BAC">
              <w:rPr>
                <w:color w:val="000000" w:themeColor="text1"/>
                <w:kern w:val="2"/>
                <w:sz w:val="20"/>
                <w:szCs w:val="20"/>
              </w:rPr>
              <w:t xml:space="preserve"> This phrase is also needed so that this is about moving from one sub-slot to a different sub-slot </w:t>
            </w:r>
            <w:r w:rsidR="00CF0BAC" w:rsidRPr="00CF0BAC">
              <w:rPr>
                <w:color w:val="000000" w:themeColor="text1"/>
                <w:kern w:val="2"/>
                <w:sz w:val="20"/>
                <w:szCs w:val="20"/>
                <w:u w:val="single"/>
              </w:rPr>
              <w:t>within the same slot</w:t>
            </w:r>
            <w:r w:rsidR="00CF0BAC">
              <w:rPr>
                <w:color w:val="000000" w:themeColor="text1"/>
                <w:kern w:val="2"/>
                <w:sz w:val="20"/>
                <w:szCs w:val="20"/>
              </w:rPr>
              <w:t>.</w:t>
            </w:r>
          </w:p>
          <w:p w14:paraId="2E93CF8D" w14:textId="1D47D841" w:rsidR="003A0E9F" w:rsidRPr="003A0E9F" w:rsidRDefault="003A0E9F" w:rsidP="003A0E9F">
            <w:pPr>
              <w:pStyle w:val="ListParagraph"/>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ListParagraph"/>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should be deleted. Otherwise, it can be confused as a HARQ-ACK CB that includes at least one HARQ-ACK bit for SPS PDSCH.</w:t>
            </w:r>
          </w:p>
          <w:p w14:paraId="0686DFBE" w14:textId="66278335" w:rsidR="00CA61D2" w:rsidRDefault="00CA61D2"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’only’ to ’</w:t>
            </w:r>
            <w:r w:rsidRPr="00CA61D2" w:rsidDel="00CA61D2">
              <w:rPr>
                <w:color w:val="FF0000"/>
                <w:sz w:val="20"/>
                <w:szCs w:val="20"/>
                <w:lang w:val="en-US" w:eastAsia="en-US"/>
              </w:rPr>
              <w:t xml:space="preserve"> </w:t>
            </w:r>
            <w:del w:id="15"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6"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7" w:author="Yufei Blankenship" w:date="2021-11-16T02:09:00Z">
              <w:r w:rsidRPr="00CA61D2">
                <w:rPr>
                  <w:color w:val="000000" w:themeColor="text1"/>
                  <w:kern w:val="2"/>
                  <w:sz w:val="20"/>
                  <w:szCs w:val="20"/>
                  <w:lang w:val="en-US"/>
                </w:rPr>
                <w:t>only</w:t>
              </w:r>
            </w:ins>
            <w:r>
              <w:rPr>
                <w:color w:val="000000" w:themeColor="text1"/>
                <w:kern w:val="2"/>
                <w:sz w:val="20"/>
                <w:szCs w:val="20"/>
              </w:rPr>
              <w:t>’, to make it clear that there are no HARQ-ACK in response to DG-PUSCH in the codebook. Also need to make SPS PDSCH single and plural.</w:t>
            </w:r>
          </w:p>
          <w:p w14:paraId="14E182C4" w14:textId="4E28109D" w:rsidR="00CA61D2" w:rsidRPr="003A0E9F" w:rsidRDefault="00CA61D2" w:rsidP="00C21B8F">
            <w:pPr>
              <w:pStyle w:val="ListParagraph"/>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w:t>
            </w:r>
            <w:ins w:id="18"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19"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what action may move the UCI. It’s important to clarify that the restriction is only applicable to overlapping PUCCHs, and not overlapping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r w:rsidRPr="002C77B6">
              <w:rPr>
                <w:i/>
                <w:iCs/>
              </w:rPr>
              <w:t>subslotLengthForPUCCH</w:t>
            </w:r>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0" w:author="Yufei Blankenship" w:date="2021-11-16T02:03:00Z">
              <w:r w:rsidR="003A0E9F" w:rsidRPr="002C77B6">
                <w:rPr>
                  <w:lang w:eastAsia="zh-CN"/>
                </w:rPr>
                <w:t>in a slot with any HARQ-ACK,</w:t>
              </w:r>
              <w:r w:rsidR="003A0E9F" w:rsidRPr="002C77B6">
                <w:rPr>
                  <w:szCs w:val="18"/>
                </w:rPr>
                <w:t xml:space="preserve"> </w:t>
              </w:r>
            </w:ins>
            <w:r w:rsidRPr="002C77B6">
              <w:rPr>
                <w:noProof/>
                <w:lang w:eastAsia="zh-CN"/>
              </w:rPr>
              <w:t xml:space="preserve">the UE does not expect that </w:t>
            </w:r>
            <w:del w:id="21"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2" w:author="Yufei Blankenship" w:date="2021-11-16T02:12:00Z">
              <w:r w:rsidRPr="002C77B6" w:rsidDel="00CA61D2">
                <w:rPr>
                  <w:lang w:val="en-US"/>
                </w:rPr>
                <w:delText xml:space="preserve">a </w:delText>
              </w:r>
            </w:del>
            <w:r w:rsidRPr="002C77B6">
              <w:rPr>
                <w:lang w:val="en-US"/>
              </w:rPr>
              <w:t>SPS PDSCH reception</w:t>
            </w:r>
            <w:ins w:id="23" w:author="Yufei Blankenship" w:date="2021-11-16T02:12:00Z">
              <w:r w:rsidR="00CA61D2" w:rsidRPr="002C77B6">
                <w:rPr>
                  <w:lang w:val="en-US"/>
                </w:rPr>
                <w:t>(s)</w:t>
              </w:r>
            </w:ins>
            <w:r w:rsidRPr="002C77B6">
              <w:rPr>
                <w:lang w:val="en-US"/>
              </w:rPr>
              <w:t xml:space="preserve"> </w:t>
            </w:r>
            <w:ins w:id="24"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5" w:author="Yufei Blankenship" w:date="2021-11-16T02:12:00Z">
              <w:r w:rsidR="00CF0BAC" w:rsidRPr="002C77B6">
                <w:rPr>
                  <w:rFonts w:eastAsia="Malgun Gothic"/>
                  <w:kern w:val="2"/>
                  <w:lang w:eastAsia="ko-KR"/>
                </w:rPr>
                <w:t>set</w:t>
              </w:r>
            </w:ins>
            <w:ins w:id="26"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7"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r w:rsidRPr="002C77B6">
              <w:rPr>
                <w:rFonts w:eastAsia="Malgun Gothic"/>
                <w:i/>
                <w:iCs/>
                <w:kern w:val="2"/>
                <w:lang w:eastAsia="ko-KR"/>
              </w:rPr>
              <w:t>subslotLengthForPUCCH</w:t>
            </w:r>
            <w:r w:rsidRPr="002C77B6">
              <w:rPr>
                <w:rFonts w:eastAsia="Malgun Gothic"/>
                <w:kern w:val="2"/>
                <w:lang w:eastAsia="ko-KR"/>
              </w:rPr>
              <w:t xml:space="preserve"> </w:t>
            </w:r>
            <w:ins w:id="28"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29" w:author="Yufei Blankenship" w:date="2021-11-16T02:00:00Z">
              <w:r w:rsidRPr="002C77B6" w:rsidDel="003A0E9F">
                <w:rPr>
                  <w:rFonts w:eastAsia="Malgun Gothic"/>
                  <w:kern w:val="2"/>
                  <w:lang w:eastAsia="ko-KR"/>
                </w:rPr>
                <w:delText>slot including a number of symbols indicated by</w:delText>
              </w:r>
            </w:del>
            <w:ins w:id="30" w:author="Yufei Blankenship" w:date="2021-11-16T02:12:00Z">
              <w:r w:rsidR="00CA61D2" w:rsidRPr="002C77B6">
                <w:rPr>
                  <w:rFonts w:eastAsia="Malgun Gothic"/>
                  <w:kern w:val="2"/>
                  <w:lang w:eastAsia="ko-KR"/>
                </w:rPr>
                <w:t xml:space="preserve"> set</w:t>
              </w:r>
            </w:ins>
            <w:ins w:id="31"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r w:rsidRPr="002C77B6">
              <w:rPr>
                <w:rFonts w:eastAsia="Malgun Gothic"/>
                <w:i/>
                <w:iCs/>
                <w:kern w:val="2"/>
                <w:lang w:eastAsia="ko-KR"/>
              </w:rPr>
              <w:t>subslotLengthForPUCCH</w:t>
            </w:r>
            <w:ins w:id="32" w:author="Yufei Blankenship" w:date="2021-11-16T02:00:00Z">
              <w:r w:rsidR="003A0E9F" w:rsidRPr="002C77B6">
                <w:rPr>
                  <w:rFonts w:eastAsia="Malgun Gothic"/>
                  <w:i/>
                  <w:iCs/>
                  <w:kern w:val="2"/>
                  <w:lang w:eastAsia="ko-KR"/>
                </w:rPr>
                <w:t xml:space="preserve"> </w:t>
              </w:r>
            </w:ins>
            <w:ins w:id="33" w:author="Yufei Blankenship" w:date="2021-11-16T02:01:00Z">
              <w:r w:rsidR="003A0E9F" w:rsidRPr="002C77B6">
                <w:rPr>
                  <w:rFonts w:eastAsia="Malgun Gothic"/>
                  <w:kern w:val="2"/>
                  <w:lang w:eastAsia="ko-KR"/>
                </w:rPr>
                <w:t>symbols after multiplexing</w:t>
              </w:r>
            </w:ins>
            <w:ins w:id="34"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59E01F" w:rsidR="00A36B9E" w:rsidRPr="00326D59" w:rsidRDefault="00EE5085" w:rsidP="0032328A">
            <w:pPr>
              <w:widowControl w:val="0"/>
              <w:spacing w:beforeLines="50" w:before="120"/>
              <w:rPr>
                <w:color w:val="000000" w:themeColor="text1"/>
                <w:kern w:val="2"/>
                <w:lang w:eastAsia="zh-CN"/>
              </w:rPr>
            </w:pPr>
            <w:r>
              <w:rPr>
                <w:rFonts w:hint="eastAsia"/>
                <w:color w:val="000000" w:themeColor="text1"/>
                <w:kern w:val="2"/>
                <w:lang w:eastAsia="zh-CN"/>
              </w:rPr>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6966780" w14:textId="2A10C724" w:rsidR="00A36B9E" w:rsidRDefault="002504F3" w:rsidP="0032328A">
            <w:pPr>
              <w:widowControl w:val="0"/>
              <w:spacing w:beforeLines="50" w:before="120"/>
              <w:rPr>
                <w:color w:val="000000" w:themeColor="text1"/>
                <w:kern w:val="2"/>
                <w:lang w:eastAsia="zh-CN"/>
              </w:rPr>
            </w:pPr>
            <w:r>
              <w:rPr>
                <w:color w:val="000000" w:themeColor="text1"/>
                <w:kern w:val="2"/>
                <w:lang w:eastAsia="zh-CN"/>
              </w:rPr>
              <w:t>Agree with Ericsson’s comment of (1), (3), (4). The added sentences are before the following part:</w:t>
            </w:r>
          </w:p>
          <w:p w14:paraId="20326559" w14:textId="4F0079BD" w:rsidR="002504F3" w:rsidRPr="002504F3" w:rsidRDefault="002504F3" w:rsidP="002504F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tc>
      </w:tr>
      <w:tr w:rsidR="00586FCC" w:rsidRPr="00E16292" w14:paraId="390FA4C1" w14:textId="77777777" w:rsidTr="0032328A">
        <w:tc>
          <w:tcPr>
            <w:tcW w:w="1975" w:type="dxa"/>
            <w:tcBorders>
              <w:top w:val="single" w:sz="4" w:space="0" w:color="auto"/>
              <w:left w:val="single" w:sz="4" w:space="0" w:color="auto"/>
              <w:bottom w:val="single" w:sz="4" w:space="0" w:color="auto"/>
              <w:right w:val="single" w:sz="4" w:space="0" w:color="auto"/>
            </w:tcBorders>
          </w:tcPr>
          <w:p w14:paraId="5FD9C8FA" w14:textId="16CE80B4" w:rsidR="00586FCC" w:rsidRDefault="00586FCC" w:rsidP="0032328A">
            <w:pPr>
              <w:widowControl w:val="0"/>
              <w:spacing w:beforeLines="50" w:before="120"/>
              <w:rPr>
                <w:rFonts w:hint="eastAsia"/>
                <w:color w:val="000000" w:themeColor="text1"/>
                <w:kern w:val="2"/>
                <w:lang w:eastAsia="zh-CN"/>
              </w:rPr>
            </w:pPr>
            <w:r>
              <w:rPr>
                <w:rFonts w:hint="eastAsia"/>
                <w:color w:val="000000" w:themeColor="text1"/>
                <w:kern w:val="2"/>
                <w:lang w:eastAsia="zh-CN"/>
              </w:rPr>
              <w:t>Sam</w:t>
            </w:r>
            <w:r>
              <w:rPr>
                <w:color w:val="000000" w:themeColor="text1"/>
                <w:kern w:val="2"/>
                <w:lang w:eastAsia="zh-CN"/>
              </w:rPr>
              <w:t>sung</w:t>
            </w:r>
          </w:p>
        </w:tc>
        <w:tc>
          <w:tcPr>
            <w:tcW w:w="7659" w:type="dxa"/>
            <w:tcBorders>
              <w:top w:val="single" w:sz="4" w:space="0" w:color="auto"/>
              <w:left w:val="single" w:sz="4" w:space="0" w:color="auto"/>
              <w:bottom w:val="single" w:sz="4" w:space="0" w:color="auto"/>
              <w:right w:val="single" w:sz="4" w:space="0" w:color="auto"/>
            </w:tcBorders>
          </w:tcPr>
          <w:p w14:paraId="7BE8E7F8" w14:textId="09757964" w:rsidR="00586FCC" w:rsidRDefault="00586FCC" w:rsidP="00586FCC">
            <w:r>
              <w:t>Regarding the latest version proposed by E///, “</w:t>
            </w:r>
            <w:r>
              <w:rPr>
                <w:lang w:eastAsia="ko-KR"/>
              </w:rPr>
              <w:t xml:space="preserve">one set of </w:t>
            </w:r>
            <w:r>
              <w:rPr>
                <w:i/>
                <w:iCs/>
                <w:lang w:eastAsia="ko-KR"/>
              </w:rPr>
              <w:t>subslotLengthForPUCCH</w:t>
            </w:r>
            <w:r>
              <w:t>” is not clear to us as we clarified in the first round and not acceptable. We prefer “slot” for simplicity or “slot</w:t>
            </w:r>
            <w:r>
              <w:rPr>
                <w:i/>
                <w:iCs/>
              </w:rPr>
              <w:t xml:space="preserve"> </w:t>
            </w:r>
            <w:r>
              <w:t>with</w:t>
            </w:r>
            <w:r>
              <w:rPr>
                <w:i/>
                <w:iCs/>
              </w:rPr>
              <w:t xml:space="preserve"> subslotLengthForPUCCH </w:t>
            </w:r>
            <w:r>
              <w:rPr>
                <w:lang w:val="de-AT"/>
              </w:rPr>
              <w:t>symbols</w:t>
            </w:r>
            <w:r>
              <w:t xml:space="preserve">” to align with the wording in 38.213. </w:t>
            </w:r>
          </w:p>
          <w:p w14:paraId="00C85AE2" w14:textId="01413BD3" w:rsidR="00586FCC" w:rsidRDefault="00586FCC" w:rsidP="00586FCC">
            <w:r>
              <w:t>In addition, “in a slot with any HARQ-ACK,” is not clear. Which slot? We don’t think it is necessary.</w:t>
            </w:r>
            <w:bookmarkStart w:id="35" w:name="_GoBack"/>
            <w:bookmarkEnd w:id="35"/>
          </w:p>
          <w:p w14:paraId="410006BF" w14:textId="616A5A07" w:rsidR="00586FCC" w:rsidRPr="00586FCC" w:rsidRDefault="00586FCC" w:rsidP="00586FCC">
            <w:pPr>
              <w:rPr>
                <w:color w:val="000000" w:themeColor="text1"/>
                <w:kern w:val="2"/>
                <w:lang w:eastAsia="zh-CN"/>
              </w:rPr>
            </w:pPr>
            <w:r>
              <w:t>We suggest to </w:t>
            </w:r>
            <w:r>
              <w:t>remove () in “</w:t>
            </w:r>
            <w:r>
              <w:rPr>
                <w:lang w:eastAsia="ko-KR"/>
              </w:rPr>
              <w:t xml:space="preserve">multiplexing </w:t>
            </w:r>
            <w:r>
              <w:t>overlapping PUCCH</w:t>
            </w:r>
            <w:r>
              <w:rPr>
                <w:highlight w:val="yellow"/>
              </w:rPr>
              <w:t>(s)</w:t>
            </w:r>
            <w:r>
              <w:t>”</w:t>
            </w: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Hyperlink"/>
          </w:rPr>
          <w:t>Draft CR folder</w:t>
        </w:r>
      </w:hyperlink>
      <w:r w:rsidR="009E12FD">
        <w:t xml:space="preserve">, with the following file as mentioned is only there to discuss the header on parallel to the TP of Question 2.1: </w:t>
      </w:r>
      <w:hyperlink r:id="rId30" w:history="1">
        <w:r w:rsidR="00576592" w:rsidRPr="009E12FD">
          <w:rPr>
            <w:rStyle w:val="Hyperlink"/>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TableGrid"/>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r>
              <w:rPr>
                <w:i/>
                <w:lang w:val="en-US"/>
              </w:rPr>
              <w:t>subslotLengthForPUCCH</w:t>
            </w:r>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11D94" w14:textId="77777777" w:rsidR="002E26DF" w:rsidRDefault="002E26DF">
      <w:r>
        <w:separator/>
      </w:r>
    </w:p>
  </w:endnote>
  <w:endnote w:type="continuationSeparator" w:id="0">
    <w:p w14:paraId="286EF140" w14:textId="77777777" w:rsidR="002E26DF" w:rsidRDefault="002E26DF">
      <w:r>
        <w:continuationSeparator/>
      </w:r>
    </w:p>
  </w:endnote>
  <w:endnote w:type="continuationNotice" w:id="1">
    <w:p w14:paraId="37B02775" w14:textId="77777777" w:rsidR="002E26DF" w:rsidRDefault="002E26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33D6" w14:textId="77777777" w:rsidR="002E26DF" w:rsidRDefault="002E26DF">
      <w:r>
        <w:separator/>
      </w:r>
    </w:p>
  </w:footnote>
  <w:footnote w:type="continuationSeparator" w:id="0">
    <w:p w14:paraId="4D838690" w14:textId="77777777" w:rsidR="002E26DF" w:rsidRDefault="002E26DF">
      <w:r>
        <w:continuationSeparator/>
      </w:r>
    </w:p>
  </w:footnote>
  <w:footnote w:type="continuationNotice" w:id="1">
    <w:p w14:paraId="059BD901" w14:textId="77777777" w:rsidR="002E26DF" w:rsidRDefault="002E26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宋体"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1F18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0"/>
  </w:num>
  <w:num w:numId="5">
    <w:abstractNumId w:val="32"/>
  </w:num>
  <w:num w:numId="6">
    <w:abstractNumId w:val="21"/>
  </w:num>
  <w:num w:numId="7">
    <w:abstractNumId w:val="16"/>
  </w:num>
  <w:num w:numId="8">
    <w:abstractNumId w:val="5"/>
  </w:num>
  <w:num w:numId="9">
    <w:abstractNumId w:val="30"/>
  </w:num>
  <w:num w:numId="10">
    <w:abstractNumId w:val="13"/>
  </w:num>
  <w:num w:numId="11">
    <w:abstractNumId w:val="25"/>
  </w:num>
  <w:num w:numId="12">
    <w:abstractNumId w:val="19"/>
  </w:num>
  <w:num w:numId="13">
    <w:abstractNumId w:val="8"/>
  </w:num>
  <w:num w:numId="14">
    <w:abstractNumId w:val="2"/>
  </w:num>
  <w:num w:numId="15">
    <w:abstractNumId w:val="28"/>
  </w:num>
  <w:num w:numId="16">
    <w:abstractNumId w:val="0"/>
  </w:num>
  <w:num w:numId="17">
    <w:abstractNumId w:val="23"/>
  </w:num>
  <w:num w:numId="18">
    <w:abstractNumId w:val="24"/>
  </w:num>
  <w:num w:numId="19">
    <w:abstractNumId w:val="31"/>
  </w:num>
  <w:num w:numId="20">
    <w:abstractNumId w:val="10"/>
  </w:num>
  <w:num w:numId="21">
    <w:abstractNumId w:val="15"/>
  </w:num>
  <w:num w:numId="22">
    <w:abstractNumId w:val="11"/>
  </w:num>
  <w:num w:numId="23">
    <w:abstractNumId w:val="7"/>
  </w:num>
  <w:num w:numId="24">
    <w:abstractNumId w:val="14"/>
  </w:num>
  <w:num w:numId="25">
    <w:abstractNumId w:val="26"/>
  </w:num>
  <w:num w:numId="26">
    <w:abstractNumId w:val="18"/>
  </w:num>
  <w:num w:numId="27">
    <w:abstractNumId w:val="22"/>
  </w:num>
  <w:num w:numId="28">
    <w:abstractNumId w:val="17"/>
  </w:num>
  <w:num w:numId="29">
    <w:abstractNumId w:val="27"/>
  </w:num>
  <w:num w:numId="30">
    <w:abstractNumId w:val="29"/>
  </w:num>
  <w:num w:numId="31">
    <w:abstractNumId w:val="1"/>
  </w:num>
  <w:num w:numId="32">
    <w:abstractNumId w:val="6"/>
  </w:num>
  <w:num w:numId="3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4F3"/>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6DF"/>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9D6"/>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6FCC"/>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085"/>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5831DD"/>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link w:val="B5Char"/>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条目 Char,cap Char Char Char Char Char Char Char Char,Caption Char2 Char,fighead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E18"/>
    <w:rPr>
      <w:rFonts w:ascii="Times New Roman" w:hAnsi="Times New Roman"/>
      <w:lang w:val="en-GB"/>
    </w:rPr>
  </w:style>
  <w:style w:type="character" w:customStyle="1" w:styleId="CommentTextChar">
    <w:name w:val="Comment Text Char"/>
    <w:link w:val="CommentText"/>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704495"/>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704495"/>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Normal"/>
    <w:next w:val="Normal"/>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Normal"/>
    <w:rsid w:val="006D244C"/>
    <w:pPr>
      <w:widowControl w:val="0"/>
      <w:numPr>
        <w:numId w:val="9"/>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10"/>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6"/>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DefaultParagraphFont"/>
    <w:link w:val="a1"/>
    <w:rsid w:val="006D244C"/>
    <w:rPr>
      <w:rFonts w:ascii="Times New Roman" w:hAnsi="Times New Roman" w:cs="宋体"/>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宋体"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3"/>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Normal"/>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Normal"/>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DefaultParagraphFont"/>
    <w:rsid w:val="00001E49"/>
  </w:style>
  <w:style w:type="character" w:customStyle="1" w:styleId="eop">
    <w:name w:val="eop"/>
    <w:basedOn w:val="DefaultParagraphFont"/>
    <w:rsid w:val="00001E49"/>
  </w:style>
  <w:style w:type="character" w:customStyle="1" w:styleId="UnresolvedMention2">
    <w:name w:val="Unresolved Mention2"/>
    <w:basedOn w:val="DefaultParagraphFont"/>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5912184">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9BBD4022-5274-4388-B809-D4130B31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13</Pages>
  <Words>4006</Words>
  <Characters>22838</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26791</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sa zhang/Communication Standard Research Lab /SRC-Beijing/Staff Engineer/Samsung Electronics</cp:lastModifiedBy>
  <cp:revision>2</cp:revision>
  <cp:lastPrinted>2016-06-21T05:35:00Z</cp:lastPrinted>
  <dcterms:created xsi:type="dcterms:W3CDTF">2021-11-16T09:53:00Z</dcterms:created>
  <dcterms:modified xsi:type="dcterms:W3CDTF">2021-11-16T09:53:00Z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