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5E16DD"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5E16DD"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r w:rsidR="00A20E89">
              <w:rPr>
                <w:bCs/>
                <w:szCs w:val="22"/>
                <w:lang w:val="en-US" w:eastAsia="zh-CN"/>
              </w:rPr>
              <w:t>, HwHiSi</w:t>
            </w:r>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multi-CSI-PUCCH-ResourceList</w:t>
            </w:r>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r>
              <w:rPr>
                <w:color w:val="000000" w:themeColor="text1"/>
                <w:kern w:val="2"/>
                <w:lang w:eastAsia="zh-CN"/>
              </w:rPr>
              <w:t xml:space="preserve">Thus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“one set of subslotLengthForPUCCH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HW/HiSi</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r>
                    <w:rPr>
                      <w:i/>
                      <w:iCs/>
                    </w:rPr>
                    <w:t>subslotLengthForPUCCH</w:t>
                  </w:r>
                  <w:r>
                    <w:t xml:space="preserve">, a slot for an associated PUCCH resource of a PUCCH transmission with HARQ-ACK information includes a number of symbols indicated by </w:t>
                  </w:r>
                  <w:r>
                    <w:rPr>
                      <w:i/>
                      <w:iCs/>
                    </w:rPr>
                    <w:t>subslotLengthForPUCCH</w:t>
                  </w:r>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r>
              <w:rPr>
                <w:i/>
                <w:iCs/>
              </w:rPr>
              <w:t xml:space="preserve">subslotLengthForPUCCH.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subslotLengthForPUCCH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First, Ericsson text proposal is equally valid for section 9 and section 9.2.5.2. Thus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t>For ZTE text, ’sub-slot’ cannot be used in spec, since it’s never defined in spec;</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r w:rsidR="00D917CB">
              <w:rPr>
                <w:i/>
                <w:iCs/>
                <w:lang w:val="en-US"/>
              </w:rPr>
              <w:t>subslotLengthForPUCCH</w:t>
            </w:r>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r w:rsidR="00D917CB">
              <w:rPr>
                <w:i/>
                <w:iCs/>
                <w:lang w:val="en-US"/>
              </w:rPr>
              <w:t>subslotLengthForPUCCH</w:t>
            </w:r>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subslotLengthForPUCCH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including a number of symbols indicated by subslotLengthForPUCCH</w:t>
            </w:r>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In this paragraph, the slot includes a number of symbols indicated by subslotLengthForPUCCH</w:t>
            </w:r>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bookmarkStart w:id="15" w:name="_GoBack"/>
            <w:bookmarkEnd w:id="15"/>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BF6C" w14:textId="77777777" w:rsidR="005E16DD" w:rsidRDefault="005E16DD">
      <w:r>
        <w:separator/>
      </w:r>
    </w:p>
  </w:endnote>
  <w:endnote w:type="continuationSeparator" w:id="0">
    <w:p w14:paraId="07FC3EB0" w14:textId="77777777" w:rsidR="005E16DD" w:rsidRDefault="005E16DD">
      <w:r>
        <w:continuationSeparator/>
      </w:r>
    </w:p>
  </w:endnote>
  <w:endnote w:type="continuationNotice" w:id="1">
    <w:p w14:paraId="08744C58" w14:textId="77777777" w:rsidR="005E16DD" w:rsidRDefault="005E1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CDE57" w14:textId="77777777" w:rsidR="005E16DD" w:rsidRDefault="005E16DD">
      <w:r>
        <w:separator/>
      </w:r>
    </w:p>
  </w:footnote>
  <w:footnote w:type="continuationSeparator" w:id="0">
    <w:p w14:paraId="3965B46C" w14:textId="77777777" w:rsidR="005E16DD" w:rsidRDefault="005E16DD">
      <w:r>
        <w:continuationSeparator/>
      </w:r>
    </w:p>
  </w:footnote>
  <w:footnote w:type="continuationNotice" w:id="1">
    <w:p w14:paraId="32D64FEF" w14:textId="77777777" w:rsidR="005E16DD" w:rsidRDefault="005E16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2"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7"/>
  </w:num>
  <w:num w:numId="2">
    <w:abstractNumId w:val="10"/>
  </w:num>
  <w:num w:numId="3">
    <w:abstractNumId w:val="3"/>
  </w:num>
  <w:num w:numId="4">
    <w:abstractNumId w:val="18"/>
  </w:num>
  <w:num w:numId="5">
    <w:abstractNumId w:val="30"/>
  </w:num>
  <w:num w:numId="6">
    <w:abstractNumId w:val="19"/>
  </w:num>
  <w:num w:numId="7">
    <w:abstractNumId w:val="14"/>
  </w:num>
  <w:num w:numId="8">
    <w:abstractNumId w:val="4"/>
  </w:num>
  <w:num w:numId="9">
    <w:abstractNumId w:val="28"/>
  </w:num>
  <w:num w:numId="10">
    <w:abstractNumId w:val="11"/>
  </w:num>
  <w:num w:numId="11">
    <w:abstractNumId w:val="23"/>
  </w:num>
  <w:num w:numId="12">
    <w:abstractNumId w:val="17"/>
  </w:num>
  <w:num w:numId="13">
    <w:abstractNumId w:val="6"/>
  </w:num>
  <w:num w:numId="14">
    <w:abstractNumId w:val="2"/>
  </w:num>
  <w:num w:numId="15">
    <w:abstractNumId w:val="26"/>
  </w:num>
  <w:num w:numId="16">
    <w:abstractNumId w:val="0"/>
  </w:num>
  <w:num w:numId="17">
    <w:abstractNumId w:val="21"/>
  </w:num>
  <w:num w:numId="18">
    <w:abstractNumId w:val="22"/>
  </w:num>
  <w:num w:numId="19">
    <w:abstractNumId w:val="29"/>
  </w:num>
  <w:num w:numId="20">
    <w:abstractNumId w:val="8"/>
  </w:num>
  <w:num w:numId="21">
    <w:abstractNumId w:val="13"/>
  </w:num>
  <w:num w:numId="22">
    <w:abstractNumId w:val="9"/>
  </w:num>
  <w:num w:numId="23">
    <w:abstractNumId w:val="5"/>
  </w:num>
  <w:num w:numId="24">
    <w:abstractNumId w:val="12"/>
  </w:num>
  <w:num w:numId="25">
    <w:abstractNumId w:val="24"/>
  </w:num>
  <w:num w:numId="26">
    <w:abstractNumId w:val="16"/>
  </w:num>
  <w:num w:numId="27">
    <w:abstractNumId w:val="20"/>
  </w:num>
  <w:num w:numId="28">
    <w:abstractNumId w:val="15"/>
  </w:num>
  <w:num w:numId="29">
    <w:abstractNumId w:val="25"/>
  </w:num>
  <w:num w:numId="30">
    <w:abstractNumId w:val="27"/>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DefaultParagraphFont"/>
    <w:link w:val="a1"/>
    <w:rsid w:val="006D244C"/>
    <w:rPr>
      <w:rFonts w:ascii="Times New Roman" w:hAnsi="Times New Roman" w:cs="宋体"/>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宋体"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E8BC4C1-678F-4149-903E-73CA14A9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9</Pages>
  <Words>2921</Words>
  <Characters>16653</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19535</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sa zhang/Communication Standard Research Lab /SRC-Beijing/Staff Engineer/Samsung Electronics</cp:lastModifiedBy>
  <cp:revision>3</cp:revision>
  <cp:lastPrinted>2016-06-21T05:35:00Z</cp:lastPrinted>
  <dcterms:created xsi:type="dcterms:W3CDTF">2021-11-12T23:22:00Z</dcterms:created>
  <dcterms:modified xsi:type="dcterms:W3CDTF">2021-11-12T23:26:00Z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