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0A1B476E"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877623">
        <w:rPr>
          <w:rFonts w:ascii="Arial" w:hAnsi="Arial" w:cs="Arial"/>
          <w:b/>
          <w:bCs/>
          <w:sz w:val="24"/>
        </w:rPr>
        <w:t>6</w:t>
      </w:r>
      <w:r w:rsidR="00E869AF">
        <w:rPr>
          <w:rFonts w:ascii="Arial" w:hAnsi="Arial" w:cs="Arial"/>
          <w:b/>
          <w:bCs/>
          <w:sz w:val="24"/>
        </w:rPr>
        <w:t>bis</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AC1095" w:rsidRPr="00AC1095">
        <w:rPr>
          <w:rFonts w:ascii="Arial" w:hAnsi="Arial" w:cs="Arial"/>
          <w:b/>
          <w:bCs/>
          <w:sz w:val="24"/>
        </w:rPr>
        <w:t>21</w:t>
      </w:r>
      <w:r w:rsidR="00676116" w:rsidRPr="00676116">
        <w:rPr>
          <w:rFonts w:ascii="Arial" w:hAnsi="Arial" w:cs="Arial"/>
          <w:b/>
          <w:bCs/>
          <w:sz w:val="24"/>
        </w:rPr>
        <w:t>10103</w:t>
      </w:r>
    </w:p>
    <w:p w14:paraId="56A15566" w14:textId="6CCE0C33"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E869AF">
        <w:rPr>
          <w:rFonts w:ascii="Arial" w:hAnsi="Arial" w:cs="Arial"/>
          <w:b/>
          <w:bCs/>
          <w:sz w:val="24"/>
        </w:rPr>
        <w:t>October</w:t>
      </w:r>
      <w:r w:rsidR="00877623" w:rsidRPr="00877623">
        <w:rPr>
          <w:rFonts w:ascii="Arial" w:hAnsi="Arial" w:cs="Arial"/>
          <w:b/>
          <w:bCs/>
          <w:sz w:val="24"/>
        </w:rPr>
        <w:t xml:space="preserve"> 1</w:t>
      </w:r>
      <w:r w:rsidR="00E869AF">
        <w:rPr>
          <w:rFonts w:ascii="Arial" w:hAnsi="Arial" w:cs="Arial"/>
          <w:b/>
          <w:bCs/>
          <w:sz w:val="24"/>
        </w:rPr>
        <w:t>1</w:t>
      </w:r>
      <w:r w:rsidR="00877623" w:rsidRPr="00FB0C25">
        <w:rPr>
          <w:rFonts w:ascii="Arial" w:hAnsi="Arial" w:cs="Arial"/>
          <w:b/>
          <w:bCs/>
          <w:sz w:val="24"/>
          <w:vertAlign w:val="superscript"/>
        </w:rPr>
        <w:t>th</w:t>
      </w:r>
      <w:r w:rsidR="00877623" w:rsidRPr="00877623">
        <w:rPr>
          <w:rFonts w:ascii="Arial" w:hAnsi="Arial" w:cs="Arial"/>
          <w:b/>
          <w:bCs/>
          <w:sz w:val="24"/>
        </w:rPr>
        <w:t xml:space="preserve"> – </w:t>
      </w:r>
      <w:r w:rsidR="00E869AF">
        <w:rPr>
          <w:rFonts w:ascii="Arial" w:hAnsi="Arial" w:cs="Arial"/>
          <w:b/>
          <w:bCs/>
          <w:sz w:val="24"/>
        </w:rPr>
        <w:t>19</w:t>
      </w:r>
      <w:r w:rsidR="00877623" w:rsidRPr="00FB0C2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w:t>
      </w:r>
      <w:r w:rsidR="00AC70DF">
        <w:rPr>
          <w:rFonts w:ascii="Arial" w:hAnsi="Arial" w:cs="Arial"/>
          <w:b/>
          <w:bCs/>
          <w:sz w:val="24"/>
        </w:rPr>
        <w:t>1</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1E4A4931"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A75A4" w:rsidRPr="00EA75A4">
        <w:rPr>
          <w:rFonts w:ascii="Arial" w:hAnsi="Arial" w:cs="Arial"/>
          <w:b/>
          <w:sz w:val="22"/>
        </w:rPr>
        <w:t>Enhancements on Multi-beam Operation</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37B6E981" w:rsidR="00C00997" w:rsidRDefault="00273ABF" w:rsidP="00705C2B">
      <w:pPr>
        <w:rPr>
          <w:rFonts w:eastAsia="Batang"/>
          <w:lang w:eastAsia="ko-KR"/>
        </w:rPr>
      </w:pPr>
      <w:r>
        <w:rPr>
          <w:rFonts w:eastAsia="Batang"/>
          <w:lang w:eastAsia="ko-KR"/>
        </w:rPr>
        <w:t xml:space="preserve">Rel-16 eMIMO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FeMIMO WI </w:t>
      </w:r>
      <w:r w:rsidR="003840BD">
        <w:rPr>
          <w:rFonts w:eastAsia="Batang"/>
          <w:lang w:eastAsia="ko-KR"/>
        </w:rPr>
        <w:t>further enhance</w:t>
      </w:r>
      <w:r w:rsidR="00E869AF">
        <w:rPr>
          <w:rFonts w:eastAsia="Batang"/>
          <w:lang w:eastAsia="ko-KR"/>
        </w:rPr>
        <w:t>s</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7E8F4F6E" w14:textId="7F28BFC5" w:rsidR="001163BA" w:rsidRDefault="001163BA" w:rsidP="001163BA">
      <w:pPr>
        <w:rPr>
          <w:rFonts w:eastAsia="Batang"/>
          <w:lang w:val="en-US" w:eastAsia="ko-KR"/>
        </w:rPr>
      </w:pPr>
      <w:r>
        <w:rPr>
          <w:rFonts w:eastAsia="Batang"/>
          <w:lang w:val="en-US" w:eastAsia="ko-KR"/>
        </w:rPr>
        <w:t>In RAN1#10</w:t>
      </w:r>
      <w:r w:rsidR="0075675E">
        <w:rPr>
          <w:rFonts w:eastAsia="Batang"/>
          <w:lang w:val="en-US" w:eastAsia="ko-KR"/>
        </w:rPr>
        <w:t>6</w:t>
      </w:r>
      <w:r>
        <w:rPr>
          <w:rFonts w:eastAsia="Batang"/>
          <w:lang w:val="en-US" w:eastAsia="ko-KR"/>
        </w:rPr>
        <w:t>-e, the following was agreed.</w:t>
      </w:r>
    </w:p>
    <w:tbl>
      <w:tblPr>
        <w:tblStyle w:val="TableGrid"/>
        <w:tblW w:w="0" w:type="auto"/>
        <w:tblLook w:val="04A0" w:firstRow="1" w:lastRow="0" w:firstColumn="1" w:lastColumn="0" w:noHBand="0" w:noVBand="1"/>
      </w:tblPr>
      <w:tblGrid>
        <w:gridCol w:w="9855"/>
      </w:tblGrid>
      <w:tr w:rsidR="001163BA" w14:paraId="2D5FB8F3" w14:textId="77777777" w:rsidTr="001163BA">
        <w:tc>
          <w:tcPr>
            <w:tcW w:w="9855" w:type="dxa"/>
          </w:tcPr>
          <w:p w14:paraId="44EA8D3F" w14:textId="77777777" w:rsidR="0075675E" w:rsidRPr="0075675E" w:rsidRDefault="0075675E" w:rsidP="0075675E">
            <w:pPr>
              <w:rPr>
                <w:rFonts w:ascii="Times" w:eastAsia="Malgun Gothic" w:hAnsi="Times" w:cs="Times"/>
                <w:lang w:val="en-US" w:eastAsia="ko-KR"/>
              </w:rPr>
            </w:pPr>
            <w:r w:rsidRPr="0075675E">
              <w:rPr>
                <w:rFonts w:ascii="Times" w:eastAsia="Malgun Gothic" w:hAnsi="Times" w:cs="Times"/>
                <w:b/>
                <w:bCs/>
                <w:color w:val="000000"/>
                <w:highlight w:val="green"/>
                <w:lang w:val="en-US" w:eastAsia="ko-KR"/>
              </w:rPr>
              <w:t>Agreement</w:t>
            </w:r>
          </w:p>
          <w:p w14:paraId="75397AE2" w14:textId="77777777" w:rsidR="0075675E" w:rsidRPr="0075675E" w:rsidRDefault="0075675E" w:rsidP="0075675E">
            <w:pPr>
              <w:rPr>
                <w:rFonts w:ascii="Times" w:eastAsia="Malgun Gothic" w:hAnsi="Times" w:cs="Times"/>
                <w:lang w:val="en-US" w:eastAsia="ko-KR"/>
              </w:rPr>
            </w:pPr>
            <w:r w:rsidRPr="0075675E">
              <w:rPr>
                <w:rFonts w:ascii="Times" w:eastAsia="Malgun Gothic" w:hAnsi="Times" w:cs="Times"/>
                <w:lang w:eastAsia="ko-KR"/>
              </w:rPr>
              <w:t>On Rel.17 unified TCI framework,</w:t>
            </w:r>
            <w:r w:rsidRPr="0075675E">
              <w:rPr>
                <w:rFonts w:ascii="Times" w:eastAsia="Malgun Gothic" w:hAnsi="Times" w:cs="Times"/>
                <w:lang w:val="en-US" w:eastAsia="ko-KR"/>
              </w:rPr>
              <w:t> the following DL RSs can share the same indicated Rel-17 TCI state as </w:t>
            </w:r>
            <w:r w:rsidRPr="0075675E">
              <w:rPr>
                <w:rFonts w:ascii="Times" w:eastAsia="Malgun Gothic" w:hAnsi="Times" w:cs="Times"/>
                <w:lang w:eastAsia="ko-KR"/>
              </w:rPr>
              <w:t>UE-dedicated reception on PDSCH and for UE-dedicated reception on all or subset of CORESETs in a CC</w:t>
            </w:r>
          </w:p>
          <w:p w14:paraId="392C1781" w14:textId="77777777" w:rsidR="0075675E" w:rsidRPr="0075675E" w:rsidRDefault="0075675E" w:rsidP="0075675E">
            <w:pPr>
              <w:numPr>
                <w:ilvl w:val="0"/>
                <w:numId w:val="41"/>
              </w:numPr>
              <w:snapToGrid w:val="0"/>
              <w:jc w:val="left"/>
              <w:rPr>
                <w:rFonts w:ascii="Times" w:eastAsia="Batang" w:hAnsi="Times"/>
                <w:lang w:eastAsia="x-none"/>
              </w:rPr>
            </w:pPr>
            <w:r w:rsidRPr="0075675E">
              <w:rPr>
                <w:rFonts w:ascii="Times" w:eastAsia="Batang" w:hAnsi="Times"/>
                <w:lang w:eastAsia="x-none"/>
              </w:rPr>
              <w:t>Aperiodic CSI-RS resources for CSI</w:t>
            </w:r>
          </w:p>
          <w:p w14:paraId="6B8E7CD0" w14:textId="77777777" w:rsidR="0075675E" w:rsidRPr="0075675E" w:rsidRDefault="0075675E" w:rsidP="0075675E">
            <w:pPr>
              <w:numPr>
                <w:ilvl w:val="1"/>
                <w:numId w:val="41"/>
              </w:numPr>
              <w:snapToGrid w:val="0"/>
              <w:jc w:val="left"/>
              <w:rPr>
                <w:rFonts w:ascii="Times" w:eastAsia="Batang" w:hAnsi="Times"/>
                <w:lang w:eastAsia="x-none"/>
              </w:rPr>
            </w:pPr>
            <w:r w:rsidRPr="0075675E">
              <w:rPr>
                <w:rFonts w:ascii="Times" w:eastAsia="Batang" w:hAnsi="Times"/>
                <w:lang w:eastAsia="x-none"/>
              </w:rPr>
              <w:t>FFS: Discuss if further restriction or further case is necessary</w:t>
            </w:r>
          </w:p>
          <w:p w14:paraId="5457264E" w14:textId="77777777" w:rsidR="0075675E" w:rsidRPr="0075675E" w:rsidRDefault="0075675E" w:rsidP="0075675E">
            <w:pPr>
              <w:numPr>
                <w:ilvl w:val="0"/>
                <w:numId w:val="41"/>
              </w:numPr>
              <w:snapToGrid w:val="0"/>
              <w:jc w:val="left"/>
              <w:rPr>
                <w:rFonts w:ascii="Times" w:eastAsia="Batang" w:hAnsi="Times"/>
                <w:lang w:eastAsia="x-none"/>
              </w:rPr>
            </w:pPr>
            <w:r w:rsidRPr="0075675E">
              <w:rPr>
                <w:rFonts w:ascii="Times" w:eastAsia="Batang" w:hAnsi="Times"/>
                <w:lang w:eastAsia="x-none"/>
              </w:rPr>
              <w:t xml:space="preserve">Aperiodic CSI-RS resources for BM </w:t>
            </w:r>
          </w:p>
          <w:p w14:paraId="2E656A29" w14:textId="77777777" w:rsidR="0075675E" w:rsidRPr="0075675E" w:rsidRDefault="0075675E" w:rsidP="0075675E">
            <w:pPr>
              <w:numPr>
                <w:ilvl w:val="1"/>
                <w:numId w:val="41"/>
              </w:numPr>
              <w:snapToGrid w:val="0"/>
              <w:jc w:val="left"/>
              <w:rPr>
                <w:rFonts w:ascii="Times" w:eastAsia="Batang" w:hAnsi="Times"/>
                <w:lang w:eastAsia="x-none"/>
              </w:rPr>
            </w:pPr>
            <w:r w:rsidRPr="0075675E">
              <w:rPr>
                <w:rFonts w:ascii="Times" w:eastAsia="Batang" w:hAnsi="Times"/>
                <w:lang w:eastAsia="x-none"/>
              </w:rPr>
              <w:t>FFS: Discuss if further restriction or further case is necessary</w:t>
            </w:r>
          </w:p>
          <w:p w14:paraId="03A668FC" w14:textId="77777777" w:rsidR="0075675E" w:rsidRPr="0075675E" w:rsidRDefault="0075675E" w:rsidP="0075675E">
            <w:pPr>
              <w:numPr>
                <w:ilvl w:val="0"/>
                <w:numId w:val="41"/>
              </w:numPr>
              <w:snapToGrid w:val="0"/>
              <w:jc w:val="left"/>
              <w:rPr>
                <w:rFonts w:ascii="Times" w:eastAsia="Batang" w:hAnsi="Times"/>
                <w:lang w:eastAsia="x-none"/>
              </w:rPr>
            </w:pPr>
            <w:r w:rsidRPr="0075675E">
              <w:rPr>
                <w:rFonts w:ascii="Times" w:eastAsia="Batang" w:hAnsi="Times"/>
                <w:lang w:eastAsia="x-none"/>
              </w:rPr>
              <w:t>FFS: Other CSI-RS time-domain behaviors and/or restriction(s)</w:t>
            </w:r>
          </w:p>
          <w:p w14:paraId="221646F8" w14:textId="77777777" w:rsidR="0075675E" w:rsidRPr="0075675E" w:rsidRDefault="0075675E" w:rsidP="0075675E">
            <w:pPr>
              <w:rPr>
                <w:rFonts w:ascii="Times" w:eastAsia="Malgun Gothic" w:hAnsi="Times" w:cs="Times"/>
                <w:lang w:val="en-US" w:eastAsia="ko-KR"/>
              </w:rPr>
            </w:pPr>
            <w:r w:rsidRPr="0075675E">
              <w:rPr>
                <w:rFonts w:ascii="Times" w:eastAsia="Malgun Gothic" w:hAnsi="Times" w:cs="Times"/>
                <w:color w:val="1F497D"/>
                <w:lang w:val="en-US" w:eastAsia="ko-KR"/>
              </w:rPr>
              <w:t> </w:t>
            </w:r>
          </w:p>
          <w:p w14:paraId="4BAD4D25" w14:textId="77777777" w:rsidR="0075675E" w:rsidRPr="0075675E" w:rsidRDefault="0075675E" w:rsidP="0075675E">
            <w:pPr>
              <w:rPr>
                <w:rFonts w:ascii="Times" w:eastAsia="Malgun Gothic" w:hAnsi="Times" w:cs="Times"/>
                <w:lang w:val="en-US" w:eastAsia="ko-KR"/>
              </w:rPr>
            </w:pPr>
            <w:r w:rsidRPr="0075675E">
              <w:rPr>
                <w:rFonts w:ascii="Times" w:eastAsia="Malgun Gothic" w:hAnsi="Times" w:cs="Times"/>
                <w:b/>
                <w:bCs/>
                <w:color w:val="000000"/>
                <w:highlight w:val="green"/>
                <w:lang w:val="en-US" w:eastAsia="ko-KR"/>
              </w:rPr>
              <w:t>Agreement</w:t>
            </w:r>
          </w:p>
          <w:p w14:paraId="52754EFF" w14:textId="77777777" w:rsidR="0075675E" w:rsidRPr="0075675E" w:rsidRDefault="0075675E" w:rsidP="0075675E">
            <w:pPr>
              <w:snapToGrid w:val="0"/>
              <w:rPr>
                <w:rFonts w:ascii="Times" w:eastAsia="Malgun Gothic" w:hAnsi="Times" w:cs="Times"/>
                <w:lang w:val="en-US" w:eastAsia="ko-KR"/>
              </w:rPr>
            </w:pPr>
            <w:r w:rsidRPr="0075675E">
              <w:rPr>
                <w:rFonts w:ascii="Times" w:eastAsia="Malgun Gothic" w:hAnsi="Times" w:cs="Times"/>
                <w:lang w:eastAsia="ko-KR"/>
              </w:rPr>
              <w:t>On Rel.17 unified TCI framework:</w:t>
            </w:r>
          </w:p>
          <w:p w14:paraId="79645C35" w14:textId="77777777" w:rsidR="0075675E" w:rsidRPr="0075675E" w:rsidRDefault="0075675E" w:rsidP="0075675E">
            <w:pPr>
              <w:numPr>
                <w:ilvl w:val="0"/>
                <w:numId w:val="42"/>
              </w:numPr>
              <w:snapToGrid w:val="0"/>
              <w:jc w:val="left"/>
              <w:rPr>
                <w:rFonts w:ascii="Times" w:hAnsi="Times" w:cs="Times"/>
              </w:rPr>
            </w:pPr>
            <w:r w:rsidRPr="0075675E">
              <w:rPr>
                <w:rFonts w:ascii="Times" w:hAnsi="Times" w:cs="Times"/>
              </w:rPr>
              <w:t>Aperiodic SRS resources or resource sets for BM can share the same indicated Rel-17 TCI state as dynamic-grant/configured-grant based PUSCH, all or subset of dedicated PUCCH resources in a CC</w:t>
            </w:r>
            <w:r w:rsidRPr="0075675E">
              <w:rPr>
                <w:rFonts w:ascii="Times" w:eastAsia="DengXian" w:hAnsi="Times" w:cs="Times"/>
              </w:rPr>
              <w:t xml:space="preserve"> </w:t>
            </w:r>
          </w:p>
          <w:p w14:paraId="1A3259B6" w14:textId="77777777" w:rsidR="0075675E" w:rsidRPr="0075675E" w:rsidRDefault="0075675E" w:rsidP="0075675E">
            <w:pPr>
              <w:numPr>
                <w:ilvl w:val="1"/>
                <w:numId w:val="43"/>
              </w:numPr>
              <w:snapToGrid w:val="0"/>
              <w:jc w:val="left"/>
              <w:rPr>
                <w:rFonts w:ascii="Times" w:hAnsi="Times" w:cs="Times"/>
              </w:rPr>
            </w:pPr>
            <w:r w:rsidRPr="0075675E">
              <w:rPr>
                <w:rFonts w:ascii="Times" w:hAnsi="Times" w:cs="Times"/>
              </w:rPr>
              <w:t>FFS: Discuss if/which restriction is necessary, e.g. only for aperiodic, apply to all resources in a set</w:t>
            </w:r>
          </w:p>
          <w:p w14:paraId="18A869B8" w14:textId="77777777" w:rsidR="0075675E" w:rsidRPr="0075675E" w:rsidRDefault="0075675E" w:rsidP="0075675E">
            <w:pPr>
              <w:numPr>
                <w:ilvl w:val="1"/>
                <w:numId w:val="43"/>
              </w:numPr>
              <w:snapToGrid w:val="0"/>
              <w:jc w:val="left"/>
              <w:rPr>
                <w:rFonts w:ascii="Times" w:hAnsi="Times" w:cs="Times"/>
              </w:rPr>
            </w:pPr>
            <w:r w:rsidRPr="0075675E">
              <w:rPr>
                <w:rFonts w:ascii="Times" w:hAnsi="Times" w:cs="Times"/>
              </w:rPr>
              <w:t>Note: This doesn’t imply that all time-domain behaviors are automatically supported</w:t>
            </w:r>
          </w:p>
          <w:p w14:paraId="7EB6296A" w14:textId="5D4106FD" w:rsidR="00787B7D" w:rsidRDefault="00787B7D" w:rsidP="00FB0C25">
            <w:pPr>
              <w:autoSpaceDE w:val="0"/>
              <w:autoSpaceDN w:val="0"/>
              <w:snapToGrid w:val="0"/>
              <w:rPr>
                <w:rFonts w:eastAsia="Batang"/>
              </w:rPr>
            </w:pPr>
          </w:p>
        </w:tc>
      </w:tr>
    </w:tbl>
    <w:p w14:paraId="1748DFA7" w14:textId="14DBA9C4" w:rsidR="007C14C5" w:rsidRDefault="007C14C5" w:rsidP="00313AC7">
      <w:pPr>
        <w:rPr>
          <w:rFonts w:eastAsia="Batang"/>
          <w:lang w:val="en-US" w:eastAsia="ko-KR"/>
        </w:rPr>
      </w:pPr>
      <w:r>
        <w:rPr>
          <w:rFonts w:eastAsia="Batang"/>
          <w:lang w:val="en-US" w:eastAsia="ko-KR"/>
        </w:rPr>
        <w:t>It was agreed that aperiodic CSI-RS resources for CSI and for BM can share the Rel-17 TCI state</w:t>
      </w:r>
      <w:r w:rsidR="006A57A2">
        <w:rPr>
          <w:rFonts w:eastAsia="Batang"/>
          <w:lang w:val="en-US" w:eastAsia="ko-KR"/>
        </w:rPr>
        <w:t xml:space="preserve"> (of UE-dedicated PDSCH etc)</w:t>
      </w:r>
      <w:r>
        <w:rPr>
          <w:rFonts w:eastAsia="Batang"/>
          <w:lang w:val="en-US" w:eastAsia="ko-KR"/>
        </w:rPr>
        <w:t>. This implies that such CSI-RS resources might not share the Rel-17 TCI, i.e. the Rel-15/16 mechanism for TCI state is applicable.</w:t>
      </w:r>
      <w:r w:rsidR="006A57A2">
        <w:rPr>
          <w:rFonts w:eastAsia="Batang"/>
          <w:lang w:val="en-US" w:eastAsia="ko-KR"/>
        </w:rPr>
        <w:t xml:space="preserve"> It should be supported that a subset of a UEs aperiodic CSI-RS resources for CSI and for BM are configured to follow the Rel-17 TCI state. Since the TCI state is configured per aperiodic CSI-RS resource set in the aperiodic trigger configuration, it may be suitable to configure if the aperiodic CSI-RS resource set shares the Rel-17 TCI state also in the aperiodic trigger state configuration.</w:t>
      </w:r>
    </w:p>
    <w:p w14:paraId="5DD6432C" w14:textId="51CE74EF" w:rsidR="00A427A6" w:rsidRDefault="00A427A6" w:rsidP="00A427A6">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It can be configured if an aperiodic CSI-RS resource set (for CSI or BM) shares the </w:t>
      </w:r>
      <w:r w:rsidRPr="00A427A6">
        <w:rPr>
          <w:rFonts w:eastAsia="Batang"/>
          <w:b/>
          <w:szCs w:val="22"/>
          <w:lang w:val="en-US" w:eastAsia="ko-KR"/>
        </w:rPr>
        <w:t xml:space="preserve">same indicated Rel-17 TCI state </w:t>
      </w:r>
      <w:r w:rsidR="00676116" w:rsidRPr="00676116">
        <w:rPr>
          <w:rFonts w:eastAsia="Batang"/>
          <w:b/>
          <w:szCs w:val="22"/>
          <w:lang w:val="en-US" w:eastAsia="ko-KR"/>
        </w:rPr>
        <w:t>as UE-dedicated reception on PDSCH and for UE-dedicated reception on all or subset of CORESETs in a CC</w:t>
      </w:r>
      <w:r>
        <w:rPr>
          <w:rFonts w:eastAsia="Batang"/>
          <w:b/>
          <w:szCs w:val="22"/>
          <w:lang w:val="en-US" w:eastAsia="ko-KR"/>
        </w:rPr>
        <w:t>.</w:t>
      </w:r>
    </w:p>
    <w:p w14:paraId="23A118D8" w14:textId="4FFD6DF9" w:rsidR="00A20DA9" w:rsidRDefault="00A20DA9" w:rsidP="00313AC7">
      <w:pPr>
        <w:rPr>
          <w:rFonts w:ascii="Times" w:hAnsi="Times" w:cs="Times"/>
        </w:rPr>
      </w:pPr>
      <w:r>
        <w:rPr>
          <w:rFonts w:eastAsia="Batang"/>
          <w:lang w:val="en-US" w:eastAsia="ko-KR"/>
        </w:rPr>
        <w:t xml:space="preserve">Similarly, it was agreed that aperiodic SRS resources or resource sets for BM can share the same indicated Rel-17 TCI state as </w:t>
      </w:r>
      <w:r w:rsidRPr="0075675E">
        <w:rPr>
          <w:rFonts w:ascii="Times" w:hAnsi="Times" w:cs="Times"/>
        </w:rPr>
        <w:t>dynamic-grant/configured-grant based PUSCH, all or subset of dedicated PUCCH resources in a CC</w:t>
      </w:r>
      <w:r>
        <w:rPr>
          <w:rFonts w:ascii="Times" w:hAnsi="Times" w:cs="Times"/>
        </w:rPr>
        <w:t>. It seems reasonable to configure per aperiodic SRS resource set level if it should follow the same indicated Rel-17 TCI state, or whether the Rel-15/16 mechanism for TCI is applicable for the aperiodic SRS resource set (and the SRS resources therein).</w:t>
      </w:r>
    </w:p>
    <w:p w14:paraId="1BD1DC48" w14:textId="72F705DE" w:rsidR="000C1969" w:rsidRDefault="000C1969" w:rsidP="00313AC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It can be configured if an aperiodic SRS resource set for BM shares the </w:t>
      </w:r>
      <w:r w:rsidRPr="00A427A6">
        <w:rPr>
          <w:rFonts w:eastAsia="Batang"/>
          <w:b/>
          <w:szCs w:val="22"/>
          <w:lang w:val="en-US" w:eastAsia="ko-KR"/>
        </w:rPr>
        <w:t xml:space="preserve">same indicated Rel-17 TCI state </w:t>
      </w:r>
      <w:r w:rsidRPr="000C1969">
        <w:rPr>
          <w:rFonts w:eastAsia="Batang"/>
          <w:b/>
          <w:szCs w:val="22"/>
          <w:lang w:val="en-US" w:eastAsia="ko-KR"/>
        </w:rPr>
        <w:t>as dynamic-grant/configured-grant based PUSCH, all or subset of dedicated PUCCH resources in a CC</w:t>
      </w:r>
      <w:r>
        <w:rPr>
          <w:rFonts w:eastAsia="Batang"/>
          <w:b/>
          <w:szCs w:val="22"/>
          <w:lang w:val="en-US" w:eastAsia="ko-KR"/>
        </w:rPr>
        <w:t>.</w:t>
      </w:r>
    </w:p>
    <w:p w14:paraId="561DE5FB" w14:textId="77777777" w:rsidR="0086719F" w:rsidRDefault="0086719F" w:rsidP="0086719F">
      <w:pPr>
        <w:rPr>
          <w:rFonts w:eastAsia="Batang"/>
          <w:lang w:val="en-US" w:eastAsia="ko-KR"/>
        </w:rPr>
      </w:pPr>
      <w:r>
        <w:rPr>
          <w:rFonts w:eastAsia="Batang"/>
          <w:lang w:val="en-US" w:eastAsia="ko-KR"/>
        </w:rPr>
        <w:t>In RAN1#106-e, the following was agreed.</w:t>
      </w:r>
    </w:p>
    <w:tbl>
      <w:tblPr>
        <w:tblStyle w:val="TableGrid"/>
        <w:tblW w:w="0" w:type="auto"/>
        <w:tblLook w:val="04A0" w:firstRow="1" w:lastRow="0" w:firstColumn="1" w:lastColumn="0" w:noHBand="0" w:noVBand="1"/>
      </w:tblPr>
      <w:tblGrid>
        <w:gridCol w:w="9855"/>
      </w:tblGrid>
      <w:tr w:rsidR="0086719F" w14:paraId="63800ADA" w14:textId="77777777" w:rsidTr="00A75FC6">
        <w:tc>
          <w:tcPr>
            <w:tcW w:w="9855" w:type="dxa"/>
          </w:tcPr>
          <w:p w14:paraId="3FFA8BBE" w14:textId="77777777" w:rsidR="0086719F" w:rsidRPr="0086719F" w:rsidRDefault="0086719F" w:rsidP="0086719F">
            <w:pPr>
              <w:snapToGrid w:val="0"/>
              <w:rPr>
                <w:rFonts w:ascii="Times" w:eastAsia="Batang" w:hAnsi="Times"/>
                <w:highlight w:val="green"/>
              </w:rPr>
            </w:pPr>
            <w:r w:rsidRPr="0086719F">
              <w:rPr>
                <w:rFonts w:ascii="Times" w:eastAsia="Batang" w:hAnsi="Times"/>
                <w:b/>
                <w:highlight w:val="green"/>
              </w:rPr>
              <w:t>Agreement</w:t>
            </w:r>
          </w:p>
          <w:p w14:paraId="09CFC2BB" w14:textId="77777777" w:rsidR="0086719F" w:rsidRPr="0086719F" w:rsidRDefault="0086719F" w:rsidP="0086719F">
            <w:pPr>
              <w:snapToGrid w:val="0"/>
              <w:rPr>
                <w:rFonts w:ascii="Times" w:hAnsi="Times"/>
              </w:rPr>
            </w:pPr>
            <w:r w:rsidRPr="0086719F">
              <w:rPr>
                <w:rFonts w:ascii="Times" w:hAnsi="Times"/>
              </w:rPr>
              <w:t>On Rel.17 unified TCI framework,</w:t>
            </w:r>
            <w:r w:rsidRPr="0086719F">
              <w:rPr>
                <w:rFonts w:ascii="Times" w:eastAsia="Batang" w:hAnsi="Times"/>
                <w:lang w:eastAsia="ja-JP"/>
              </w:rPr>
              <w:t xml:space="preserve"> </w:t>
            </w:r>
            <w:r w:rsidRPr="00AC6EAA">
              <w:rPr>
                <w:rFonts w:ascii="Times" w:eastAsia="Batang" w:hAnsi="Times"/>
                <w:lang w:eastAsia="ja-JP"/>
              </w:rPr>
              <w:t>confirm the following working assumption</w:t>
            </w:r>
            <w:r w:rsidRPr="0086719F">
              <w:rPr>
                <w:rFonts w:ascii="Times" w:eastAsia="Batang" w:hAnsi="Times"/>
                <w:lang w:eastAsia="ja-JP"/>
              </w:rPr>
              <w:t xml:space="preserve"> as an agreement with a minor refinement highlighted in </w:t>
            </w:r>
            <w:r w:rsidRPr="0086719F">
              <w:rPr>
                <w:rFonts w:ascii="Times" w:eastAsia="Batang" w:hAnsi="Times"/>
                <w:color w:val="FF0000"/>
                <w:lang w:eastAsia="ja-JP"/>
              </w:rPr>
              <w:t>red</w:t>
            </w:r>
            <w:r w:rsidRPr="0086719F">
              <w:rPr>
                <w:rFonts w:ascii="Times" w:eastAsia="Batang" w:hAnsi="Times"/>
                <w:lang w:eastAsia="ja-JP"/>
              </w:rPr>
              <w:t xml:space="preserve"> </w:t>
            </w:r>
          </w:p>
          <w:p w14:paraId="026E3716" w14:textId="77777777" w:rsidR="0086719F" w:rsidRPr="0086719F" w:rsidRDefault="0086719F" w:rsidP="0086719F">
            <w:pPr>
              <w:snapToGrid w:val="0"/>
              <w:jc w:val="left"/>
              <w:rPr>
                <w:rFonts w:ascii="Times" w:eastAsia="Batang" w:hAnsi="Times"/>
                <w:lang w:eastAsia="ja-JP"/>
              </w:rPr>
            </w:pPr>
            <w:r w:rsidRPr="0086719F">
              <w:rPr>
                <w:rFonts w:ascii="Times" w:eastAsia="Malgun Gothic" w:hAnsi="Times"/>
                <w:szCs w:val="24"/>
              </w:rPr>
              <w:t xml:space="preserve">For common TCI state ID update and activation to provide common QCL information </w:t>
            </w:r>
            <w:r w:rsidRPr="0086719F">
              <w:rPr>
                <w:rFonts w:ascii="Times" w:eastAsia="Malgun Gothic" w:hAnsi="Times"/>
                <w:szCs w:val="24"/>
                <w:lang w:eastAsia="ja-JP"/>
              </w:rPr>
              <w:t xml:space="preserve">at least for UE-dedicated PDCCH/PDSCH </w:t>
            </w:r>
            <w:r w:rsidRPr="0086719F">
              <w:rPr>
                <w:rFonts w:ascii="Times" w:eastAsia="Malgun Gothic" w:hAnsi="Times"/>
                <w:szCs w:val="24"/>
              </w:rPr>
              <w:t xml:space="preserve">and/or common UL TX spatial filter(s) </w:t>
            </w:r>
            <w:r w:rsidRPr="0086719F">
              <w:rPr>
                <w:rFonts w:ascii="Times" w:eastAsia="Malgun Gothic" w:hAnsi="Times"/>
                <w:szCs w:val="24"/>
                <w:lang w:eastAsia="ja-JP"/>
              </w:rPr>
              <w:t xml:space="preserve">at least for UE-dedicated PUSCH/PUCCH </w:t>
            </w:r>
            <w:r w:rsidRPr="0086719F">
              <w:rPr>
                <w:rFonts w:ascii="Times" w:eastAsia="Malgun Gothic" w:hAnsi="Times"/>
                <w:szCs w:val="24"/>
              </w:rPr>
              <w:t xml:space="preserve">across a set of [configured] CCs/BWPs: </w:t>
            </w:r>
          </w:p>
          <w:p w14:paraId="5943EE7A" w14:textId="77777777" w:rsidR="0086719F" w:rsidRPr="0086719F" w:rsidRDefault="0086719F" w:rsidP="0086719F">
            <w:pPr>
              <w:numPr>
                <w:ilvl w:val="0"/>
                <w:numId w:val="45"/>
              </w:numPr>
              <w:snapToGrid w:val="0"/>
              <w:jc w:val="left"/>
              <w:rPr>
                <w:rFonts w:ascii="Times" w:eastAsia="Malgun Gothic" w:hAnsi="Times"/>
                <w:szCs w:val="24"/>
              </w:rPr>
            </w:pPr>
            <w:r w:rsidRPr="0086719F">
              <w:rPr>
                <w:rFonts w:ascii="Times" w:eastAsia="Malgun Gothic" w:hAnsi="Times"/>
                <w:szCs w:val="24"/>
              </w:rPr>
              <w:t>RRC-configured TCI state pool(s) can be configured in the PDSCH configuration (</w:t>
            </w:r>
            <w:r w:rsidRPr="0086719F">
              <w:rPr>
                <w:rFonts w:ascii="Times" w:eastAsia="Malgun Gothic" w:hAnsi="Times"/>
                <w:i/>
                <w:iCs/>
                <w:szCs w:val="24"/>
              </w:rPr>
              <w:t>PDSCH-Config</w:t>
            </w:r>
            <w:r w:rsidRPr="0086719F">
              <w:rPr>
                <w:rFonts w:ascii="Times" w:eastAsia="Malgun Gothic" w:hAnsi="Times"/>
                <w:szCs w:val="24"/>
              </w:rPr>
              <w:t>) for each BWP/CC as in Rel-15/16</w:t>
            </w:r>
          </w:p>
          <w:p w14:paraId="1E20B3F6" w14:textId="77777777" w:rsidR="0086719F" w:rsidRPr="0086719F" w:rsidRDefault="0086719F" w:rsidP="0086719F">
            <w:pPr>
              <w:numPr>
                <w:ilvl w:val="1"/>
                <w:numId w:val="44"/>
              </w:numPr>
              <w:snapToGrid w:val="0"/>
              <w:jc w:val="left"/>
              <w:rPr>
                <w:rFonts w:ascii="Times" w:eastAsia="Malgun Gothic" w:hAnsi="Times"/>
                <w:szCs w:val="24"/>
              </w:rPr>
            </w:pPr>
            <w:r w:rsidRPr="0086719F">
              <w:rPr>
                <w:rFonts w:ascii="Times" w:eastAsia="Batang" w:hAnsi="Times"/>
                <w:szCs w:val="24"/>
                <w:lang w:eastAsia="zh-CN"/>
              </w:rPr>
              <w:t xml:space="preserve">Note: Such </w:t>
            </w:r>
            <w:r w:rsidRPr="0086719F">
              <w:rPr>
                <w:rFonts w:ascii="Times" w:eastAsia="Malgun Gothic" w:hAnsi="Times"/>
                <w:szCs w:val="24"/>
              </w:rPr>
              <w:t>RRC-configured</w:t>
            </w:r>
            <w:r w:rsidRPr="0086719F">
              <w:rPr>
                <w:rFonts w:ascii="Times" w:eastAsia="Batang" w:hAnsi="Times"/>
                <w:szCs w:val="24"/>
                <w:lang w:eastAsia="zh-CN"/>
              </w:rPr>
              <w:t xml:space="preserve"> TCI state pool(s) configuration doesn’t imply that separate DL/UL TCI state pool is excluded or supported</w:t>
            </w:r>
          </w:p>
          <w:p w14:paraId="67A4B596" w14:textId="77777777" w:rsidR="0086719F" w:rsidRPr="0086719F" w:rsidRDefault="0086719F" w:rsidP="0086719F">
            <w:pPr>
              <w:numPr>
                <w:ilvl w:val="0"/>
                <w:numId w:val="45"/>
              </w:numPr>
              <w:snapToGrid w:val="0"/>
              <w:jc w:val="left"/>
              <w:rPr>
                <w:rFonts w:ascii="Times" w:eastAsia="Malgun Gothic" w:hAnsi="Times"/>
                <w:szCs w:val="24"/>
              </w:rPr>
            </w:pPr>
            <w:r w:rsidRPr="0086719F">
              <w:rPr>
                <w:rFonts w:ascii="Times" w:eastAsia="Malgun Gothic" w:hAnsi="Times"/>
                <w:szCs w:val="24"/>
              </w:rPr>
              <w:t>RRC-configured TCI state pool(s) can be absent in the PDSCH configuration (</w:t>
            </w:r>
            <w:r w:rsidRPr="0086719F">
              <w:rPr>
                <w:rFonts w:ascii="Times" w:eastAsia="Malgun Gothic" w:hAnsi="Times"/>
                <w:i/>
                <w:iCs/>
                <w:szCs w:val="24"/>
              </w:rPr>
              <w:t>PDSCH-Config</w:t>
            </w:r>
            <w:r w:rsidRPr="0086719F">
              <w:rPr>
                <w:rFonts w:ascii="Times" w:eastAsia="Malgun Gothic" w:hAnsi="Times"/>
                <w:szCs w:val="24"/>
              </w:rPr>
              <w:t>) for each BWP/CC, and replaced with a reference to RRC-configured TCI state pool(s) in a reference BWP/CC</w:t>
            </w:r>
          </w:p>
          <w:p w14:paraId="34D737CD" w14:textId="77777777" w:rsidR="0086719F" w:rsidRPr="0086719F" w:rsidRDefault="0086719F" w:rsidP="0086719F">
            <w:pPr>
              <w:numPr>
                <w:ilvl w:val="1"/>
                <w:numId w:val="44"/>
              </w:numPr>
              <w:snapToGrid w:val="0"/>
              <w:jc w:val="left"/>
              <w:rPr>
                <w:rFonts w:ascii="Times" w:eastAsia="Malgun Gothic" w:hAnsi="Times"/>
                <w:szCs w:val="24"/>
              </w:rPr>
            </w:pPr>
            <w:r w:rsidRPr="0086719F">
              <w:rPr>
                <w:rFonts w:ascii="Times" w:eastAsia="Malgun Gothic" w:hAnsi="Times"/>
                <w:szCs w:val="24"/>
              </w:rPr>
              <w:t>In the PDSCH configuration (</w:t>
            </w:r>
            <w:r w:rsidRPr="0086719F">
              <w:rPr>
                <w:rFonts w:ascii="Times" w:eastAsia="Malgun Gothic" w:hAnsi="Times"/>
                <w:i/>
                <w:iCs/>
                <w:szCs w:val="24"/>
              </w:rPr>
              <w:t>PDSCH-Config</w:t>
            </w:r>
            <w:r w:rsidRPr="0086719F">
              <w:rPr>
                <w:rFonts w:ascii="Times" w:eastAsia="Malgun Gothic" w:hAnsi="Times"/>
                <w:szCs w:val="24"/>
              </w:rPr>
              <w:t>) of the reference BWP/CC, RRC-configured TCI state pool(s) shall be configured</w:t>
            </w:r>
          </w:p>
          <w:p w14:paraId="3F847410" w14:textId="77777777" w:rsidR="0086719F" w:rsidRPr="0086719F" w:rsidRDefault="0086719F" w:rsidP="0086719F">
            <w:pPr>
              <w:numPr>
                <w:ilvl w:val="1"/>
                <w:numId w:val="44"/>
              </w:numPr>
              <w:snapToGrid w:val="0"/>
              <w:jc w:val="left"/>
              <w:rPr>
                <w:rFonts w:ascii="Times" w:eastAsia="Malgun Gothic" w:hAnsi="Times"/>
                <w:szCs w:val="24"/>
              </w:rPr>
            </w:pPr>
            <w:r w:rsidRPr="0086719F">
              <w:rPr>
                <w:rFonts w:ascii="Times" w:eastAsia="Malgun Gothic" w:hAnsi="Times"/>
                <w:szCs w:val="24"/>
              </w:rPr>
              <w:t>For a BWP/CC where the PDSCH configuration contains a reference to the RRC-configured TCI state pool(s) in a reference BWP/CC, the UE applies the RRC-configured TCI state pool(s) in the reference BWP/CC</w:t>
            </w:r>
          </w:p>
          <w:p w14:paraId="57655351" w14:textId="77777777" w:rsidR="0086719F" w:rsidRPr="0086719F" w:rsidRDefault="0086719F" w:rsidP="0086719F">
            <w:pPr>
              <w:numPr>
                <w:ilvl w:val="0"/>
                <w:numId w:val="45"/>
              </w:numPr>
              <w:snapToGrid w:val="0"/>
              <w:jc w:val="left"/>
              <w:rPr>
                <w:rFonts w:ascii="Times" w:eastAsia="Malgun Gothic" w:hAnsi="Times"/>
                <w:szCs w:val="24"/>
              </w:rPr>
            </w:pPr>
            <w:r w:rsidRPr="0086719F">
              <w:rPr>
                <w:rFonts w:ascii="Times" w:eastAsia="Batang" w:hAnsi="Times"/>
                <w:szCs w:val="24"/>
              </w:rPr>
              <w:t>When the BWP/CC ID (</w:t>
            </w:r>
            <w:r w:rsidRPr="0086719F">
              <w:rPr>
                <w:rFonts w:ascii="Times" w:eastAsia="Batang" w:hAnsi="Times"/>
                <w:color w:val="FF0000"/>
                <w:szCs w:val="24"/>
              </w:rPr>
              <w:t xml:space="preserve">i.e. </w:t>
            </w:r>
            <w:r w:rsidRPr="0086719F">
              <w:rPr>
                <w:rFonts w:ascii="Times" w:eastAsia="Batang" w:hAnsi="Times"/>
                <w:i/>
                <w:color w:val="FF0000"/>
                <w:szCs w:val="24"/>
              </w:rPr>
              <w:t>bwp-Id</w:t>
            </w:r>
            <w:r w:rsidRPr="0086719F">
              <w:rPr>
                <w:rFonts w:ascii="Times" w:eastAsia="Batang" w:hAnsi="Times"/>
                <w:color w:val="FF0000"/>
                <w:szCs w:val="24"/>
              </w:rPr>
              <w:t xml:space="preserve"> or </w:t>
            </w:r>
            <w:r w:rsidRPr="0086719F">
              <w:rPr>
                <w:rFonts w:ascii="Times" w:eastAsia="Batang" w:hAnsi="Times"/>
                <w:i/>
                <w:iCs/>
                <w:szCs w:val="24"/>
              </w:rPr>
              <w:t>cell</w:t>
            </w:r>
            <w:r w:rsidRPr="0086719F">
              <w:rPr>
                <w:rFonts w:ascii="Times" w:eastAsia="Batang" w:hAnsi="Times"/>
                <w:szCs w:val="24"/>
              </w:rPr>
              <w:t>) for QCL-Type A/D source RS in a </w:t>
            </w:r>
            <w:r w:rsidRPr="0086719F">
              <w:rPr>
                <w:rFonts w:ascii="Times" w:eastAsia="Batang" w:hAnsi="Times"/>
                <w:i/>
                <w:iCs/>
                <w:szCs w:val="24"/>
              </w:rPr>
              <w:t>QCL-Info</w:t>
            </w:r>
            <w:r w:rsidRPr="0086719F">
              <w:rPr>
                <w:rFonts w:ascii="Times" w:eastAsia="Batang" w:hAnsi="Times"/>
                <w:szCs w:val="24"/>
              </w:rPr>
              <w:t> of the TCI state is absent, the UE assumes that QCL-Type A/D source RS is in the BWP/CC to which the TCI state applies</w:t>
            </w:r>
          </w:p>
          <w:p w14:paraId="653A2B88" w14:textId="77777777" w:rsidR="0086719F" w:rsidRPr="0086719F" w:rsidRDefault="0086719F" w:rsidP="0086719F">
            <w:pPr>
              <w:numPr>
                <w:ilvl w:val="0"/>
                <w:numId w:val="45"/>
              </w:numPr>
              <w:snapToGrid w:val="0"/>
              <w:jc w:val="left"/>
              <w:rPr>
                <w:rFonts w:ascii="Times" w:eastAsia="Malgun Gothic" w:hAnsi="Times"/>
                <w:szCs w:val="24"/>
              </w:rPr>
            </w:pPr>
            <w:r w:rsidRPr="0086719F">
              <w:rPr>
                <w:rFonts w:ascii="Times" w:eastAsia="Malgun Gothic" w:hAnsi="Times"/>
                <w:szCs w:val="24"/>
              </w:rPr>
              <w:t>Introduce a UE capability to report maximum number of TCI state pools it can support across BWPs and CCs in a band, and the candidate value at least includes 1</w:t>
            </w:r>
          </w:p>
          <w:p w14:paraId="03A4E9D6" w14:textId="77777777" w:rsidR="0086719F" w:rsidRPr="0086719F" w:rsidRDefault="0086719F" w:rsidP="0086719F">
            <w:pPr>
              <w:numPr>
                <w:ilvl w:val="0"/>
                <w:numId w:val="45"/>
              </w:numPr>
              <w:snapToGrid w:val="0"/>
              <w:jc w:val="left"/>
              <w:rPr>
                <w:rFonts w:ascii="Times" w:eastAsia="Malgun Gothic" w:hAnsi="Times"/>
              </w:rPr>
            </w:pPr>
            <w:r w:rsidRPr="0086719F">
              <w:rPr>
                <w:rFonts w:ascii="Times" w:eastAsia="Malgun Gothic" w:hAnsi="Times"/>
                <w:szCs w:val="24"/>
              </w:rPr>
              <w:t xml:space="preserve">FFS: Introduce a UE capability to report maximum number of configured TCI states that it can support across BWPs </w:t>
            </w:r>
            <w:r w:rsidRPr="0086719F">
              <w:rPr>
                <w:rFonts w:ascii="Times" w:eastAsia="Malgun Gothic" w:hAnsi="Times"/>
              </w:rPr>
              <w:t>and CCs in a band</w:t>
            </w:r>
          </w:p>
          <w:p w14:paraId="68AB59A8" w14:textId="77777777" w:rsidR="0086719F" w:rsidRPr="0086719F" w:rsidRDefault="0086719F" w:rsidP="0086719F">
            <w:pPr>
              <w:numPr>
                <w:ilvl w:val="0"/>
                <w:numId w:val="45"/>
              </w:numPr>
              <w:snapToGrid w:val="0"/>
              <w:jc w:val="left"/>
              <w:rPr>
                <w:rFonts w:ascii="Times" w:eastAsia="Malgun Gothic" w:hAnsi="Times"/>
              </w:rPr>
            </w:pPr>
            <w:r w:rsidRPr="0086719F">
              <w:rPr>
                <w:rFonts w:ascii="Times" w:eastAsia="Malgun Gothic" w:hAnsi="Times"/>
              </w:rPr>
              <w:t>FFS: How to define reference BWP/CC</w:t>
            </w:r>
          </w:p>
          <w:p w14:paraId="1E7E0484" w14:textId="77777777" w:rsidR="0086719F" w:rsidRDefault="0086719F" w:rsidP="00A75FC6">
            <w:pPr>
              <w:autoSpaceDE w:val="0"/>
              <w:autoSpaceDN w:val="0"/>
              <w:snapToGrid w:val="0"/>
              <w:rPr>
                <w:rFonts w:eastAsia="Batang"/>
              </w:rPr>
            </w:pPr>
          </w:p>
        </w:tc>
      </w:tr>
    </w:tbl>
    <w:p w14:paraId="45E0F5D9" w14:textId="615E8E95" w:rsidR="0086719F" w:rsidRDefault="0092625D" w:rsidP="008832BB">
      <w:pPr>
        <w:rPr>
          <w:rFonts w:eastAsia="Batang"/>
          <w:lang w:val="en-US" w:eastAsia="ko-KR"/>
        </w:rPr>
      </w:pPr>
      <w:r>
        <w:rPr>
          <w:rFonts w:eastAsia="Batang"/>
          <w:lang w:val="en-US" w:eastAsia="ko-KR"/>
        </w:rPr>
        <w:t>There are still brackets around [configured]. If “[configured]” is removed from the text, it seems to imply that the set of CCs/BWPs is determined in some implicit way, e.g. through a rule defined in the specification. Given that the common approach for previous enhancements is to configure a list of CCs/BWPs, it is preferred also here. Configuration also provides the network with additional flexibility.</w:t>
      </w:r>
    </w:p>
    <w:p w14:paraId="30C3D731" w14:textId="453A9874" w:rsidR="0092625D" w:rsidRDefault="0092625D" w:rsidP="0092625D">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Remove t</w:t>
      </w:r>
      <w:r w:rsidR="00C8530C">
        <w:rPr>
          <w:rFonts w:eastAsia="Batang"/>
          <w:b/>
          <w:szCs w:val="22"/>
          <w:lang w:val="en-US" w:eastAsia="ko-KR"/>
        </w:rPr>
        <w:t>he brackets around [configured] in the RAN1#106-e agreement.</w:t>
      </w:r>
    </w:p>
    <w:p w14:paraId="57420C9E" w14:textId="746005EE" w:rsidR="005F216B" w:rsidRDefault="009E0CF4" w:rsidP="008832BB">
      <w:pPr>
        <w:rPr>
          <w:rFonts w:eastAsia="Batang"/>
          <w:lang w:val="en-US" w:eastAsia="ko-KR"/>
        </w:rPr>
      </w:pPr>
      <w:r>
        <w:rPr>
          <w:rFonts w:eastAsia="Batang"/>
          <w:lang w:val="en-US" w:eastAsia="ko-KR"/>
        </w:rPr>
        <w:t>The most attractive</w:t>
      </w:r>
      <w:r w:rsidR="00466EF0">
        <w:rPr>
          <w:rFonts w:eastAsia="Batang"/>
          <w:lang w:val="en-US" w:eastAsia="ko-KR"/>
        </w:rPr>
        <w:t xml:space="preserve"> (efficient)</w:t>
      </w:r>
      <w:r>
        <w:rPr>
          <w:rFonts w:eastAsia="Batang"/>
          <w:lang w:val="en-US" w:eastAsia="ko-KR"/>
        </w:rPr>
        <w:t xml:space="preser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CSI-RS resource as spatial source/reference. A beam switch of all those DL/UL channels/signals could potentially be achieved with a single TCI state </w:t>
      </w:r>
      <w:r w:rsidR="002C554E">
        <w:rPr>
          <w:rFonts w:eastAsia="Batang"/>
          <w:lang w:val="en-US" w:eastAsia="ko-KR"/>
        </w:rPr>
        <w:t>update</w:t>
      </w:r>
      <w:r w:rsidR="008265BA">
        <w:rPr>
          <w:rFonts w:eastAsia="Batang"/>
          <w:lang w:val="en-US" w:eastAsia="ko-KR"/>
        </w:rPr>
        <w:t>, with low latency and overhead.</w:t>
      </w:r>
    </w:p>
    <w:p w14:paraId="0F848D3F" w14:textId="77777777" w:rsidR="002C554E" w:rsidRDefault="00994C8F" w:rsidP="008832BB">
      <w:pPr>
        <w:rPr>
          <w:rFonts w:eastAsia="Batang"/>
          <w:lang w:val="en-US" w:eastAsia="ko-KR"/>
        </w:rPr>
      </w:pPr>
      <w:r>
        <w:rPr>
          <w:rFonts w:eastAsia="Batang"/>
          <w:lang w:val="en-US" w:eastAsia="ko-KR"/>
        </w:rPr>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w:t>
      </w:r>
      <w:r w:rsidR="002C554E">
        <w:rPr>
          <w:rFonts w:eastAsia="Batang"/>
          <w:lang w:val="en-US" w:eastAsia="ko-KR"/>
        </w:rPr>
        <w:t xml:space="preserve">However, such operation with different TCI states for UL and DL is the exception, while common beam operation for UL and DL is the more common situation. Enhancements should therefore be optimized for joint UL/DL beam indication, while still supporting separate indications. </w:t>
      </w:r>
    </w:p>
    <w:p w14:paraId="0993280E" w14:textId="49F2A7A3" w:rsidR="0064198D" w:rsidRDefault="002C554E" w:rsidP="008832BB">
      <w:pPr>
        <w:rPr>
          <w:rFonts w:eastAsia="Batang"/>
          <w:lang w:val="en-US" w:eastAsia="ko-KR"/>
        </w:rPr>
      </w:pPr>
      <w:r>
        <w:rPr>
          <w:rFonts w:eastAsia="Batang"/>
          <w:lang w:val="en-US" w:eastAsia="ko-KR"/>
        </w:rPr>
        <w:t>Note that separate UL/DL beam indication could be used by the network during a time period, e.g. during an MPE event, and joint UL/DL beam indication could be used during other periods. F</w:t>
      </w:r>
      <w:r w:rsidR="00004BBC">
        <w:rPr>
          <w:rFonts w:eastAsia="Batang"/>
          <w:lang w:val="en-US" w:eastAsia="ko-KR"/>
        </w:rPr>
        <w:t>rom a configuration overhead perspective</w:t>
      </w:r>
      <w:r>
        <w:rPr>
          <w:rFonts w:eastAsia="Batang"/>
          <w:lang w:val="en-US" w:eastAsia="ko-KR"/>
        </w:rPr>
        <w:t>, it is most efficient</w:t>
      </w:r>
      <w:r w:rsidR="00004BBC">
        <w:rPr>
          <w:rFonts w:eastAsia="Batang"/>
          <w:lang w:val="en-US" w:eastAsia="ko-KR"/>
        </w:rPr>
        <w:t xml:space="preserve"> to use the same TCI </w:t>
      </w:r>
      <w:r w:rsidR="00703E09">
        <w:rPr>
          <w:rFonts w:eastAsia="Batang"/>
          <w:lang w:val="en-US" w:eastAsia="ko-KR"/>
        </w:rPr>
        <w:t xml:space="preserve">state </w:t>
      </w:r>
      <w:r w:rsidR="00004BBC">
        <w:rPr>
          <w:rFonts w:eastAsia="Batang"/>
          <w:lang w:val="en-US" w:eastAsia="ko-KR"/>
        </w:rPr>
        <w:t xml:space="preserve">pool for joint and separate UL/DL beam indication. </w:t>
      </w:r>
    </w:p>
    <w:p w14:paraId="3F7175C8" w14:textId="0B1AF586" w:rsidR="00D7655F" w:rsidRDefault="001208C7" w:rsidP="008832BB">
      <w:pPr>
        <w:rPr>
          <w:rFonts w:eastAsia="Batang"/>
          <w:lang w:val="en-US" w:eastAsia="ko-KR"/>
        </w:rPr>
      </w:pPr>
      <w:r>
        <w:rPr>
          <w:rFonts w:eastAsia="Batang"/>
          <w:lang w:val="en-US" w:eastAsia="ko-KR"/>
        </w:rPr>
        <w:t>It was agreed that at least for joint DL/UL TCI, t</w:t>
      </w:r>
      <w:r w:rsidR="002360E3">
        <w:rPr>
          <w:rFonts w:eastAsia="Batang"/>
          <w:lang w:val="en-US" w:eastAsia="ko-KR"/>
        </w:rPr>
        <w:t xml:space="preserve">he UL </w:t>
      </w:r>
      <w:r w:rsidR="00F92BF4">
        <w:rPr>
          <w:rFonts w:eastAsia="Batang"/>
          <w:lang w:val="en-US" w:eastAsia="ko-KR"/>
        </w:rPr>
        <w:t xml:space="preserve">TX </w:t>
      </w:r>
      <w:r w:rsidR="002360E3">
        <w:rPr>
          <w:rFonts w:eastAsia="Batang"/>
          <w:lang w:val="en-US" w:eastAsia="ko-KR"/>
        </w:rPr>
        <w:t>beam c</w:t>
      </w:r>
      <w:r w:rsidR="00703E09">
        <w:rPr>
          <w:rFonts w:eastAsia="Batang"/>
          <w:lang w:val="en-US" w:eastAsia="ko-KR"/>
        </w:rPr>
        <w:t>ould</w:t>
      </w:r>
      <w:r w:rsidR="002360E3">
        <w:rPr>
          <w:rFonts w:eastAsia="Batang"/>
          <w:lang w:val="en-US" w:eastAsia="ko-KR"/>
        </w:rPr>
        <w:t xml:space="preserve"> be determined from the source RS with QCL-TypeD in the TCI state.</w:t>
      </w:r>
      <w:r>
        <w:rPr>
          <w:rFonts w:eastAsia="Batang"/>
          <w:lang w:val="en-US" w:eastAsia="ko-KR"/>
        </w:rPr>
        <w:t xml:space="preserve"> </w:t>
      </w:r>
      <w:r w:rsidR="002C2489">
        <w:rPr>
          <w:rFonts w:eastAsia="Batang"/>
          <w:lang w:val="en-US" w:eastAsia="ko-KR"/>
        </w:rPr>
        <w:t>Since both DL and UL TCI can be determined from the same TCI state in the case of joint DL/UL TCI, it seems feasible to also determine a separate UL TCI from a TCI state in the same pool.</w:t>
      </w:r>
    </w:p>
    <w:p w14:paraId="05B47CDD" w14:textId="22D067CF"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sidR="00F60BFF">
        <w:rPr>
          <w:rFonts w:eastAsia="Batang"/>
          <w:b/>
          <w:i/>
          <w:szCs w:val="22"/>
          <w:lang w:val="en-US" w:eastAsia="ko-KR"/>
        </w:rPr>
        <w:t>4</w:t>
      </w:r>
      <w:r w:rsidRPr="00C826B7">
        <w:rPr>
          <w:rFonts w:eastAsia="Batang"/>
          <w:b/>
          <w:i/>
          <w:szCs w:val="22"/>
          <w:lang w:val="en-US" w:eastAsia="ko-KR"/>
        </w:rPr>
        <w:t xml:space="preserve">: </w:t>
      </w:r>
      <w:r w:rsidR="0033471F">
        <w:rPr>
          <w:rFonts w:eastAsia="Batang"/>
          <w:b/>
          <w:iCs/>
          <w:szCs w:val="22"/>
          <w:lang w:val="en-US" w:eastAsia="ko-KR"/>
        </w:rPr>
        <w:t xml:space="preserve">For the case of </w:t>
      </w:r>
      <w:r w:rsidR="0033471F" w:rsidRPr="0033471F">
        <w:rPr>
          <w:rFonts w:eastAsia="Batang"/>
          <w:b/>
          <w:iCs/>
          <w:szCs w:val="22"/>
          <w:lang w:val="en-US" w:eastAsia="ko-KR"/>
        </w:rPr>
        <w:t>separate DL and UL TCI state update</w:t>
      </w:r>
      <w:r w:rsidR="0033471F">
        <w:rPr>
          <w:rFonts w:eastAsia="Batang"/>
          <w:b/>
          <w:iCs/>
          <w:szCs w:val="22"/>
          <w:lang w:val="en-US" w:eastAsia="ko-KR"/>
        </w:rPr>
        <w:t xml:space="preserve">, </w:t>
      </w:r>
      <w:r w:rsidR="0033471F" w:rsidRPr="0002575E">
        <w:rPr>
          <w:rFonts w:eastAsia="Batang"/>
          <w:b/>
          <w:iCs/>
          <w:szCs w:val="22"/>
          <w:lang w:val="en-US" w:eastAsia="ko-KR"/>
        </w:rPr>
        <w:t xml:space="preserve">the UL TCI state is taken from </w:t>
      </w:r>
      <w:r w:rsidR="0033471F">
        <w:rPr>
          <w:rFonts w:eastAsia="Batang"/>
          <w:b/>
          <w:iCs/>
          <w:szCs w:val="22"/>
          <w:lang w:val="en-US" w:eastAsia="ko-KR"/>
        </w:rPr>
        <w:t xml:space="preserve">the </w:t>
      </w:r>
      <w:r w:rsidR="0033471F" w:rsidRPr="0002575E">
        <w:rPr>
          <w:rFonts w:eastAsia="Batang"/>
          <w:b/>
          <w:iCs/>
          <w:szCs w:val="22"/>
          <w:lang w:val="en-US" w:eastAsia="ko-KR"/>
        </w:rPr>
        <w:t xml:space="preserve">same TCI state pool </w:t>
      </w:r>
      <w:r w:rsidR="0033471F">
        <w:rPr>
          <w:rFonts w:eastAsia="Batang"/>
          <w:b/>
          <w:iCs/>
          <w:szCs w:val="22"/>
          <w:lang w:val="en-US" w:eastAsia="ko-KR"/>
        </w:rPr>
        <w:t xml:space="preserve">as the </w:t>
      </w:r>
      <w:r w:rsidR="0033471F" w:rsidRPr="0002575E">
        <w:rPr>
          <w:rFonts w:eastAsia="Batang"/>
          <w:b/>
          <w:iCs/>
          <w:szCs w:val="22"/>
          <w:lang w:val="en-US" w:eastAsia="ko-KR"/>
        </w:rPr>
        <w:t>DL TCI state</w:t>
      </w:r>
      <w:r w:rsidR="0033471F">
        <w:rPr>
          <w:rFonts w:eastAsia="Batang"/>
          <w:b/>
          <w:iCs/>
          <w:szCs w:val="22"/>
          <w:lang w:val="en-US" w:eastAsia="ko-KR"/>
        </w:rPr>
        <w:t>.</w:t>
      </w:r>
      <w:r w:rsidR="00733FBD">
        <w:rPr>
          <w:rFonts w:eastAsia="Batang"/>
          <w:b/>
          <w:iCs/>
          <w:szCs w:val="22"/>
          <w:lang w:val="en-US" w:eastAsia="ko-KR"/>
        </w:rPr>
        <w:t xml:space="preserve"> If there are two RS in the DL TCI state, the RS with QCL typeD is used as UL spatial source RS.</w:t>
      </w:r>
    </w:p>
    <w:p w14:paraId="7EF95562" w14:textId="785AEDD5" w:rsidR="007E1F09" w:rsidRDefault="00D55D1F" w:rsidP="008832BB">
      <w:pPr>
        <w:rPr>
          <w:rFonts w:eastAsia="Batang"/>
          <w:lang w:val="en-US" w:eastAsia="ko-KR"/>
        </w:rPr>
      </w:pPr>
      <w:r>
        <w:rPr>
          <w:rFonts w:eastAsia="Batang"/>
          <w:lang w:val="en-US" w:eastAsia="ko-KR"/>
        </w:rPr>
        <w:t>In massive MIMO and multi-TRP deployments, a large number of CSI-RS</w:t>
      </w:r>
      <w:r w:rsidR="000F2BAC">
        <w:rPr>
          <w:rFonts w:eastAsia="Batang"/>
          <w:lang w:val="en-US" w:eastAsia="ko-KR"/>
        </w:rPr>
        <w:t>s</w:t>
      </w:r>
      <w:r>
        <w:rPr>
          <w:rFonts w:eastAsia="Batang"/>
          <w:lang w:val="en-US" w:eastAsia="ko-KR"/>
        </w:rPr>
        <w:t xml:space="preserve"> for BM is required to ensure that </w:t>
      </w:r>
      <w:r w:rsidR="00F030E6">
        <w:rPr>
          <w:rFonts w:eastAsia="Batang"/>
          <w:lang w:val="en-US" w:eastAsia="ko-KR"/>
        </w:rPr>
        <w:t>a</w:t>
      </w:r>
      <w:r>
        <w:rPr>
          <w:rFonts w:eastAsia="Batang"/>
          <w:lang w:val="en-US" w:eastAsia="ko-KR"/>
        </w:rPr>
        <w:t xml:space="preserve"> reported DL beam is close to the optimal DL beam. To some extent, this issue can be alleviated by the iterative beam refinement procedure, which </w:t>
      </w:r>
      <w:r w:rsidR="00F030E6">
        <w:rPr>
          <w:rFonts w:eastAsia="Batang"/>
          <w:lang w:val="en-US" w:eastAsia="ko-KR"/>
        </w:rPr>
        <w:t xml:space="preserve">however </w:t>
      </w:r>
      <w:r>
        <w:rPr>
          <w:rFonts w:eastAsia="Batang"/>
          <w:lang w:val="en-US" w:eastAsia="ko-KR"/>
        </w:rPr>
        <w:t xml:space="preserve">has the drawback of </w:t>
      </w:r>
      <w:r w:rsidR="00D2510D">
        <w:rPr>
          <w:rFonts w:eastAsia="Batang"/>
          <w:lang w:val="en-US" w:eastAsia="ko-KR"/>
        </w:rPr>
        <w:t>increased latency</w:t>
      </w:r>
      <w:r w:rsidR="000F2BAC">
        <w:rPr>
          <w:rFonts w:eastAsia="Batang"/>
          <w:lang w:val="en-US" w:eastAsia="ko-KR"/>
        </w:rPr>
        <w:t xml:space="preserve"> and complexity,</w:t>
      </w:r>
      <w:r w:rsidR="00D2510D">
        <w:rPr>
          <w:rFonts w:eastAsia="Batang"/>
          <w:lang w:val="en-US" w:eastAsia="ko-KR"/>
        </w:rPr>
        <w:t xml:space="preserve"> and potentially increased reconfiguration overhead.</w:t>
      </w:r>
    </w:p>
    <w:p w14:paraId="0DBDAF22" w14:textId="77777777" w:rsidR="00985F86" w:rsidRDefault="00D2510D" w:rsidP="008832BB">
      <w:pPr>
        <w:rPr>
          <w:rFonts w:eastAsia="Batang"/>
          <w:lang w:val="en-US" w:eastAsia="ko-KR"/>
        </w:rPr>
      </w:pPr>
      <w:r>
        <w:rPr>
          <w:rFonts w:eastAsia="Batang"/>
          <w:lang w:val="en-US" w:eastAsia="ko-KR"/>
        </w:rPr>
        <w:t>Using SRS for BM as a spatial source RS for DL could be beneficial in the context of massive MIMO and multi-TRP, since the amount of CSI-RS for BM and corresponding measurements and reporting can be reduced.</w:t>
      </w:r>
    </w:p>
    <w:p w14:paraId="4FDDA0C4" w14:textId="65F1212B" w:rsidR="00985F86" w:rsidRDefault="00D2510D" w:rsidP="008832BB">
      <w:pPr>
        <w:rPr>
          <w:rFonts w:eastAsia="Batang"/>
          <w:lang w:val="en-US" w:eastAsia="ko-KR"/>
        </w:rPr>
      </w:pPr>
      <w:r>
        <w:rPr>
          <w:rFonts w:eastAsia="Batang"/>
          <w:lang w:val="en-US" w:eastAsia="ko-KR"/>
        </w:rPr>
        <w:t xml:space="preserve">The beam management latency using CSI-RS involves </w:t>
      </w:r>
      <w:r w:rsidR="004C38CE">
        <w:rPr>
          <w:rFonts w:eastAsia="Batang"/>
          <w:lang w:val="en-US" w:eastAsia="ko-KR"/>
        </w:rPr>
        <w:t xml:space="preserve">CSI-RS transmission and </w:t>
      </w:r>
      <w:r>
        <w:rPr>
          <w:rFonts w:eastAsia="Batang"/>
          <w:lang w:val="en-US" w:eastAsia="ko-KR"/>
        </w:rPr>
        <w:t>UE RX beam adjustments, L1-RSRP/SINR measurement</w:t>
      </w:r>
      <w:r w:rsidR="004C38CE">
        <w:rPr>
          <w:rFonts w:eastAsia="Batang"/>
          <w:lang w:val="en-US" w:eastAsia="ko-KR"/>
        </w:rPr>
        <w:t>,</w:t>
      </w:r>
      <w:r>
        <w:rPr>
          <w:rFonts w:eastAsia="Batang"/>
          <w:lang w:val="en-US" w:eastAsia="ko-KR"/>
        </w:rPr>
        <w:t xml:space="preserve"> </w:t>
      </w:r>
      <w:r w:rsidR="00985F86">
        <w:rPr>
          <w:rFonts w:eastAsia="Batang"/>
          <w:lang w:val="en-US" w:eastAsia="ko-KR"/>
        </w:rPr>
        <w:t>CSI report encoding/transmission on PUCCH/PUSCH on the UE side</w:t>
      </w:r>
      <w:r w:rsidR="004C38CE">
        <w:rPr>
          <w:rFonts w:eastAsia="Batang"/>
          <w:lang w:val="en-US" w:eastAsia="ko-KR"/>
        </w:rPr>
        <w:t>,</w:t>
      </w:r>
      <w:r w:rsidR="00985F86">
        <w:rPr>
          <w:rFonts w:eastAsia="Batang"/>
          <w:lang w:val="en-US" w:eastAsia="ko-KR"/>
        </w:rPr>
        <w:t xml:space="preserve"> and decoding of CSI report on the gNB side.</w:t>
      </w:r>
    </w:p>
    <w:p w14:paraId="7694397B" w14:textId="09454456" w:rsidR="00D2510D" w:rsidRDefault="00985F86" w:rsidP="008832BB">
      <w:pPr>
        <w:rPr>
          <w:rFonts w:eastAsia="Batang"/>
          <w:lang w:val="en-US" w:eastAsia="ko-KR"/>
        </w:rPr>
      </w:pPr>
      <w:r>
        <w:rPr>
          <w:rFonts w:eastAsia="Batang"/>
          <w:lang w:val="en-US" w:eastAsia="ko-KR"/>
        </w:rPr>
        <w:t xml:space="preserve">The beam management latency using </w:t>
      </w:r>
      <w:r w:rsidR="00D2510D">
        <w:rPr>
          <w:rFonts w:eastAsia="Batang"/>
          <w:lang w:val="en-US" w:eastAsia="ko-KR"/>
        </w:rPr>
        <w:t xml:space="preserve">SRS for BM </w:t>
      </w:r>
      <w:r>
        <w:rPr>
          <w:rFonts w:eastAsia="Batang"/>
          <w:lang w:val="en-US" w:eastAsia="ko-KR"/>
        </w:rPr>
        <w:t>involves SRS transmission on the UE side and gNB RX beam adjustments and measurements on the gNB side.</w:t>
      </w:r>
    </w:p>
    <w:p w14:paraId="415B4A6B" w14:textId="748E2653" w:rsidR="00985F86" w:rsidRDefault="00985F86" w:rsidP="008832BB">
      <w:pPr>
        <w:rPr>
          <w:rFonts w:eastAsia="Batang"/>
          <w:lang w:val="en-US" w:eastAsia="ko-KR"/>
        </w:rPr>
      </w:pPr>
      <w:r>
        <w:rPr>
          <w:rFonts w:eastAsia="Batang"/>
          <w:lang w:val="en-US" w:eastAsia="ko-KR"/>
        </w:rPr>
        <w:t>Hence, beam management latency could be reduced by using SRS for BM as spatial source RS for DL.</w:t>
      </w:r>
    </w:p>
    <w:p w14:paraId="0C6146AD" w14:textId="7E4AC07C" w:rsidR="00985F86" w:rsidRDefault="00985F86" w:rsidP="008832BB">
      <w:pPr>
        <w:rPr>
          <w:rFonts w:eastAsia="Batang"/>
          <w:lang w:val="en-US" w:eastAsia="ko-KR"/>
        </w:rPr>
      </w:pPr>
      <w:r>
        <w:rPr>
          <w:rFonts w:eastAsia="Batang"/>
          <w:lang w:val="en-US" w:eastAsia="ko-KR"/>
        </w:rPr>
        <w:t xml:space="preserve">In terms of UE power consumption, </w:t>
      </w:r>
      <w:r w:rsidR="00CE5F34">
        <w:rPr>
          <w:rFonts w:eastAsia="Batang"/>
          <w:lang w:val="en-US" w:eastAsia="ko-KR"/>
        </w:rPr>
        <w:t>more</w:t>
      </w:r>
      <w:r w:rsidR="00D80C95">
        <w:rPr>
          <w:rFonts w:eastAsia="Batang"/>
          <w:lang w:val="en-US" w:eastAsia="ko-KR"/>
        </w:rPr>
        <w:t xml:space="preserve"> SRS transmission may be introduced, but this may be compensated by less CSI measurement and </w:t>
      </w:r>
      <w:r w:rsidR="00F030E6">
        <w:rPr>
          <w:rFonts w:eastAsia="Batang"/>
          <w:lang w:val="en-US" w:eastAsia="ko-KR"/>
        </w:rPr>
        <w:t xml:space="preserve">CSI </w:t>
      </w:r>
      <w:r w:rsidR="00D80C95">
        <w:rPr>
          <w:rFonts w:eastAsia="Batang"/>
          <w:lang w:val="en-US" w:eastAsia="ko-KR"/>
        </w:rPr>
        <w:t>reporting on PUCCH/PUSCH.</w:t>
      </w:r>
    </w:p>
    <w:p w14:paraId="1F6EC0AB" w14:textId="45DB9C1E" w:rsidR="008832BB" w:rsidRPr="008832BB" w:rsidRDefault="00556315" w:rsidP="0002575E">
      <w:pPr>
        <w:ind w:left="990" w:hanging="990"/>
        <w:rPr>
          <w:rFonts w:eastAsia="Batang"/>
          <w:lang w:val="en-US" w:eastAsia="ko-KR"/>
        </w:rPr>
      </w:pPr>
      <w:r w:rsidRPr="00C826B7">
        <w:rPr>
          <w:rFonts w:eastAsia="Batang"/>
          <w:b/>
          <w:i/>
          <w:szCs w:val="22"/>
          <w:lang w:val="en-US" w:eastAsia="ko-KR"/>
        </w:rPr>
        <w:t xml:space="preserve">Proposal </w:t>
      </w:r>
      <w:r w:rsidR="006F2698">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70797FBC" w14:textId="31153148" w:rsidR="002F50E7" w:rsidRDefault="002F50E7" w:rsidP="002F50E7">
      <w:pPr>
        <w:pStyle w:val="Heading2"/>
        <w:rPr>
          <w:rFonts w:eastAsia="Batang"/>
          <w:lang w:val="en-US" w:eastAsia="ko-KR"/>
        </w:rPr>
      </w:pPr>
      <w:r w:rsidDel="002F50E7">
        <w:t xml:space="preserve"> </w:t>
      </w:r>
      <w:r>
        <w:t>2.2 Dynamic TCI State Signaling</w:t>
      </w:r>
    </w:p>
    <w:p w14:paraId="6E7BFC1E" w14:textId="3E01CC36" w:rsidR="001166E8" w:rsidRDefault="001166E8" w:rsidP="001166E8">
      <w:pPr>
        <w:rPr>
          <w:rFonts w:eastAsia="Batang"/>
          <w:lang w:val="en-US" w:eastAsia="ko-KR"/>
        </w:rPr>
      </w:pPr>
      <w:r>
        <w:rPr>
          <w:rFonts w:eastAsia="Batang"/>
          <w:lang w:val="en-US" w:eastAsia="ko-KR"/>
        </w:rPr>
        <w:t>The following was agreed in RAN1#10</w:t>
      </w:r>
      <w:r w:rsidR="0081050D">
        <w:rPr>
          <w:rFonts w:eastAsia="Batang"/>
          <w:lang w:val="en-US" w:eastAsia="ko-KR"/>
        </w:rPr>
        <w:t>5-</w:t>
      </w:r>
      <w:r>
        <w:rPr>
          <w:rFonts w:eastAsia="Batang"/>
          <w:lang w:val="en-US" w:eastAsia="ko-KR"/>
        </w:rPr>
        <w:t>e</w:t>
      </w:r>
      <w:r w:rsidR="007300E9">
        <w:rPr>
          <w:rFonts w:eastAsia="Batang"/>
          <w:lang w:val="en-US" w:eastAsia="ko-KR"/>
        </w:rPr>
        <w:t xml:space="preserve"> and RAN1#106-e</w:t>
      </w:r>
      <w:r>
        <w:rPr>
          <w:rFonts w:eastAsia="Batang"/>
          <w:lang w:val="en-US" w:eastAsia="ko-KR"/>
        </w:rPr>
        <w:t>:</w:t>
      </w:r>
    </w:p>
    <w:tbl>
      <w:tblPr>
        <w:tblStyle w:val="TableGrid"/>
        <w:tblW w:w="0" w:type="auto"/>
        <w:tblLook w:val="04A0" w:firstRow="1" w:lastRow="0" w:firstColumn="1" w:lastColumn="0" w:noHBand="0" w:noVBand="1"/>
      </w:tblPr>
      <w:tblGrid>
        <w:gridCol w:w="9855"/>
      </w:tblGrid>
      <w:tr w:rsidR="001166E8" w14:paraId="0C3194D9" w14:textId="77777777" w:rsidTr="001166E8">
        <w:tc>
          <w:tcPr>
            <w:tcW w:w="9855" w:type="dxa"/>
          </w:tcPr>
          <w:p w14:paraId="47404473" w14:textId="77777777" w:rsidR="000F2537" w:rsidRPr="00C47ECA" w:rsidRDefault="000F2537" w:rsidP="000F2537">
            <w:pPr>
              <w:snapToGrid w:val="0"/>
              <w:rPr>
                <w:rFonts w:cs="Times"/>
                <w:highlight w:val="green"/>
              </w:rPr>
            </w:pPr>
            <w:r w:rsidRPr="00C47ECA">
              <w:rPr>
                <w:rFonts w:cs="Times"/>
                <w:b/>
                <w:highlight w:val="green"/>
              </w:rPr>
              <w:t>Agreement</w:t>
            </w:r>
          </w:p>
          <w:p w14:paraId="078ECE91" w14:textId="77777777" w:rsidR="000F2537" w:rsidRPr="000F2537" w:rsidRDefault="000F2537" w:rsidP="000F2537">
            <w:pPr>
              <w:snapToGrid w:val="0"/>
              <w:rPr>
                <w:rFonts w:cs="Times"/>
                <w:lang w:eastAsia="x-none"/>
              </w:rPr>
            </w:pPr>
            <w:r w:rsidRPr="00C47ECA">
              <w:rPr>
                <w:rFonts w:cs="Times"/>
              </w:rPr>
              <w:t xml:space="preserve">For </w:t>
            </w:r>
            <w:r w:rsidRPr="00C47ECA">
              <w:rPr>
                <w:rFonts w:cs="Times"/>
                <w:bCs/>
                <w:szCs w:val="18"/>
                <w:lang w:eastAsia="zh-CN"/>
              </w:rPr>
              <w:t>M=N=1, o</w:t>
            </w:r>
            <w:r w:rsidRPr="00C47ECA">
              <w:rPr>
                <w:rFonts w:cs="Times"/>
              </w:rPr>
              <w:t xml:space="preserve">n Rel-17 </w:t>
            </w:r>
            <w:r w:rsidRPr="000F2537">
              <w:rPr>
                <w:rFonts w:cs="Times"/>
              </w:rPr>
              <w:t xml:space="preserve">unified TCI, </w:t>
            </w:r>
            <w:r w:rsidRPr="00FB0C25">
              <w:rPr>
                <w:rFonts w:cs="Times"/>
              </w:rPr>
              <w:t>for separate DL/UL TCI</w:t>
            </w:r>
            <w:r w:rsidRPr="000F2537">
              <w:rPr>
                <w:rFonts w:cs="Times"/>
              </w:rPr>
              <w:t xml:space="preserve">, </w:t>
            </w:r>
            <w:r w:rsidRPr="000F2537">
              <w:rPr>
                <w:rFonts w:cs="Times"/>
                <w:lang w:eastAsia="x-none"/>
              </w:rPr>
              <w:t xml:space="preserve">one instance of beam indication using DCI formats 1_1/1_2 (with and without DL assignment) can be used as follows: </w:t>
            </w:r>
          </w:p>
          <w:p w14:paraId="0C974701" w14:textId="77777777" w:rsidR="000F2537" w:rsidRPr="000F2537" w:rsidRDefault="000F2537" w:rsidP="000F2537">
            <w:pPr>
              <w:pStyle w:val="ListParagraph"/>
              <w:numPr>
                <w:ilvl w:val="0"/>
                <w:numId w:val="39"/>
              </w:numPr>
              <w:snapToGrid w:val="0"/>
              <w:spacing w:before="0" w:line="240" w:lineRule="auto"/>
              <w:rPr>
                <w:rFonts w:cs="Times"/>
              </w:rPr>
            </w:pPr>
            <w:r w:rsidRPr="00FB0C25">
              <w:rPr>
                <w:rFonts w:cs="Times"/>
              </w:rPr>
              <w:t>One TCI field codepoint represents a pair of DL TCI state and UL TCI state</w:t>
            </w:r>
            <w:r w:rsidRPr="000F2537">
              <w:rPr>
                <w:rFonts w:cs="Times"/>
              </w:rPr>
              <w:t xml:space="preserve">. If the DCI indicates such a TCI field codepoint, the </w:t>
            </w:r>
            <w:r w:rsidRPr="00FB0C25">
              <w:rPr>
                <w:rFonts w:cs="Times"/>
              </w:rPr>
              <w:t>UE applies the corresponding DL TCI state and UL TCI state.</w:t>
            </w:r>
          </w:p>
          <w:p w14:paraId="228B98ED" w14:textId="77777777" w:rsidR="000F2537" w:rsidRPr="000F2537" w:rsidRDefault="000F2537" w:rsidP="000F2537">
            <w:pPr>
              <w:pStyle w:val="ListParagraph"/>
              <w:numPr>
                <w:ilvl w:val="0"/>
                <w:numId w:val="39"/>
              </w:numPr>
              <w:snapToGrid w:val="0"/>
              <w:spacing w:before="0" w:line="240" w:lineRule="auto"/>
              <w:rPr>
                <w:rFonts w:cs="Times"/>
              </w:rPr>
            </w:pPr>
            <w:r w:rsidRPr="00FB0C25">
              <w:rPr>
                <w:rFonts w:cs="Times"/>
              </w:rPr>
              <w:t>One TCI field codepoint represents only a DL TCI state</w:t>
            </w:r>
            <w:r w:rsidRPr="000F2537">
              <w:rPr>
                <w:rFonts w:cs="Times"/>
              </w:rPr>
              <w:t xml:space="preserve">. If the DCI indicates such a TCI field codepoint, the </w:t>
            </w:r>
            <w:r w:rsidRPr="00FB0C25">
              <w:rPr>
                <w:rFonts w:cs="Times"/>
              </w:rPr>
              <w:t>UE applies the corresponding DL TCI state, and keeps the current UL TCI state</w:t>
            </w:r>
            <w:r w:rsidRPr="000F2537">
              <w:rPr>
                <w:rFonts w:cs="Times"/>
              </w:rPr>
              <w:t>.</w:t>
            </w:r>
          </w:p>
          <w:p w14:paraId="60769257" w14:textId="77777777" w:rsidR="000F2537" w:rsidRPr="000F2537" w:rsidRDefault="000F2537" w:rsidP="000F2537">
            <w:pPr>
              <w:pStyle w:val="ListParagraph"/>
              <w:numPr>
                <w:ilvl w:val="0"/>
                <w:numId w:val="39"/>
              </w:numPr>
              <w:snapToGrid w:val="0"/>
              <w:spacing w:before="0" w:line="240" w:lineRule="auto"/>
              <w:rPr>
                <w:rFonts w:cs="Times"/>
              </w:rPr>
            </w:pPr>
            <w:r w:rsidRPr="00FB0C25">
              <w:rPr>
                <w:rFonts w:cs="Times"/>
              </w:rPr>
              <w:t>One TCI field codepoint represents only an UL TCI state</w:t>
            </w:r>
            <w:r w:rsidRPr="000F2537">
              <w:rPr>
                <w:rFonts w:cs="Times"/>
              </w:rPr>
              <w:t xml:space="preserve">. If the DCI indicates such a TCI field codepoint, the </w:t>
            </w:r>
            <w:r w:rsidRPr="00FB0C25">
              <w:rPr>
                <w:rFonts w:cs="Times"/>
              </w:rPr>
              <w:t>UE applies the corresponding UL TCI state, and keeps the current DL TCI state</w:t>
            </w:r>
            <w:r w:rsidRPr="000F2537">
              <w:rPr>
                <w:rFonts w:cs="Times"/>
              </w:rPr>
              <w:t>.</w:t>
            </w:r>
          </w:p>
          <w:p w14:paraId="3FD8F011" w14:textId="77777777" w:rsidR="000F2537" w:rsidRPr="00C47ECA" w:rsidRDefault="000F2537" w:rsidP="000F2537">
            <w:pPr>
              <w:snapToGrid w:val="0"/>
              <w:rPr>
                <w:rFonts w:cs="Times"/>
                <w:sz w:val="28"/>
              </w:rPr>
            </w:pPr>
            <w:r w:rsidRPr="00C47ECA">
              <w:rPr>
                <w:rFonts w:cs="Times"/>
                <w:bCs/>
                <w:szCs w:val="18"/>
                <w:lang w:eastAsia="zh-CN"/>
              </w:rPr>
              <w:t>FFS: the cases of M or N&gt;1</w:t>
            </w:r>
          </w:p>
          <w:p w14:paraId="52F86AED" w14:textId="1F2AEA0E" w:rsidR="000F2537" w:rsidRDefault="000F2537" w:rsidP="001E43B3">
            <w:pPr>
              <w:rPr>
                <w:b/>
                <w:bCs/>
                <w:sz w:val="16"/>
                <w:szCs w:val="22"/>
                <w:highlight w:val="green"/>
                <w:lang w:eastAsia="x-none"/>
              </w:rPr>
            </w:pPr>
          </w:p>
          <w:p w14:paraId="50379C00" w14:textId="77777777" w:rsidR="000F2537" w:rsidRPr="006527D8" w:rsidRDefault="000F2537" w:rsidP="000F2537">
            <w:pPr>
              <w:pStyle w:val="xmsonormal"/>
              <w:snapToGrid w:val="0"/>
              <w:spacing w:before="0" w:beforeAutospacing="0" w:after="0" w:afterAutospacing="0"/>
              <w:jc w:val="both"/>
              <w:rPr>
                <w:b/>
                <w:sz w:val="20"/>
                <w:szCs w:val="20"/>
              </w:rPr>
            </w:pPr>
            <w:r w:rsidRPr="006527D8">
              <w:rPr>
                <w:b/>
                <w:sz w:val="20"/>
                <w:szCs w:val="20"/>
              </w:rPr>
              <w:t>Conclusion</w:t>
            </w:r>
          </w:p>
          <w:p w14:paraId="00689132" w14:textId="77777777" w:rsidR="000F2537" w:rsidRPr="000F2537" w:rsidRDefault="000F2537" w:rsidP="000F2537">
            <w:pPr>
              <w:pStyle w:val="xmsonormal"/>
              <w:snapToGrid w:val="0"/>
              <w:spacing w:before="0" w:beforeAutospacing="0" w:after="0" w:afterAutospacing="0"/>
              <w:jc w:val="both"/>
              <w:rPr>
                <w:sz w:val="20"/>
                <w:szCs w:val="20"/>
              </w:rPr>
            </w:pPr>
            <w:r w:rsidRPr="00077429">
              <w:rPr>
                <w:sz w:val="20"/>
                <w:szCs w:val="20"/>
              </w:rPr>
              <w:t xml:space="preserve">On Rel-17 unified TCI framework, for a UE configured with both joint TCI and </w:t>
            </w:r>
            <w:r w:rsidRPr="000F2537">
              <w:rPr>
                <w:sz w:val="20"/>
                <w:szCs w:val="20"/>
              </w:rPr>
              <w:t xml:space="preserve">separate DL/UL TCI, </w:t>
            </w:r>
            <w:r w:rsidRPr="00FB0C25">
              <w:rPr>
                <w:sz w:val="20"/>
                <w:szCs w:val="20"/>
              </w:rPr>
              <w:t>configuration of joint TCI or separate DL/UL TCI is based on RRC signaling</w:t>
            </w:r>
            <w:r w:rsidRPr="000F2537">
              <w:rPr>
                <w:sz w:val="20"/>
                <w:szCs w:val="20"/>
              </w:rPr>
              <w:t xml:space="preserve"> </w:t>
            </w:r>
          </w:p>
          <w:p w14:paraId="4696D739" w14:textId="77777777" w:rsidR="000F2537" w:rsidRPr="000F2537" w:rsidRDefault="000F2537" w:rsidP="000F2537">
            <w:pPr>
              <w:pStyle w:val="ListParagraph"/>
              <w:numPr>
                <w:ilvl w:val="0"/>
                <w:numId w:val="40"/>
              </w:numPr>
              <w:snapToGrid w:val="0"/>
              <w:spacing w:before="0" w:line="240" w:lineRule="auto"/>
            </w:pPr>
            <w:r w:rsidRPr="000F2537">
              <w:t xml:space="preserve">There is </w:t>
            </w:r>
            <w:r w:rsidRPr="00FB0C25">
              <w:t>no consensus in RAN1 on how to support dynamic switching (either MAC-CE or codepoint based</w:t>
            </w:r>
            <w:r w:rsidRPr="000F2537">
              <w:t>)</w:t>
            </w:r>
          </w:p>
          <w:p w14:paraId="17981968" w14:textId="77777777" w:rsidR="001166E8" w:rsidRDefault="001166E8" w:rsidP="00FB0C25">
            <w:pPr>
              <w:autoSpaceDN w:val="0"/>
              <w:jc w:val="left"/>
              <w:rPr>
                <w:rFonts w:cs="Times"/>
                <w:color w:val="000000"/>
                <w:lang w:eastAsia="x-none"/>
              </w:rPr>
            </w:pPr>
          </w:p>
          <w:p w14:paraId="41135903" w14:textId="77777777" w:rsidR="004A682B" w:rsidRPr="00984FD8" w:rsidRDefault="004A682B" w:rsidP="004A682B">
            <w:pPr>
              <w:snapToGrid w:val="0"/>
              <w:rPr>
                <w:rFonts w:eastAsia="Malgun Gothic"/>
              </w:rPr>
            </w:pPr>
            <w:r w:rsidRPr="00984FD8">
              <w:rPr>
                <w:rFonts w:eastAsia="Malgun Gothic"/>
                <w:b/>
              </w:rPr>
              <w:t>Conclusion</w:t>
            </w:r>
          </w:p>
          <w:p w14:paraId="1E4AA4B4" w14:textId="77777777" w:rsidR="004A682B" w:rsidRPr="00D50678" w:rsidRDefault="004A682B" w:rsidP="004A682B">
            <w:pPr>
              <w:snapToGrid w:val="0"/>
            </w:pPr>
            <w:r w:rsidRPr="00D50678">
              <w:t>On Rel-17 unified TCI, for Rel-17, there is no consensus in supporting additional (M,N) values other than  (M,N)=(1,1)</w:t>
            </w:r>
          </w:p>
          <w:p w14:paraId="6B8FF186" w14:textId="5016D938" w:rsidR="004A682B" w:rsidRPr="0051399B" w:rsidRDefault="004A682B" w:rsidP="00FB0C25">
            <w:pPr>
              <w:autoSpaceDN w:val="0"/>
              <w:jc w:val="left"/>
              <w:rPr>
                <w:rFonts w:cs="Times"/>
                <w:color w:val="000000"/>
                <w:lang w:eastAsia="x-none"/>
              </w:rPr>
            </w:pPr>
          </w:p>
        </w:tc>
      </w:tr>
    </w:tbl>
    <w:p w14:paraId="65DEA853" w14:textId="222BBFB5" w:rsidR="001166E8" w:rsidRDefault="001166E8" w:rsidP="0016380F">
      <w:pPr>
        <w:rPr>
          <w:rFonts w:cs="Times"/>
        </w:rPr>
      </w:pPr>
      <w:r>
        <w:rPr>
          <w:rFonts w:eastAsia="Batang"/>
          <w:lang w:val="en-US" w:eastAsia="ko-KR"/>
        </w:rPr>
        <w:t xml:space="preserve">It was agreed that </w:t>
      </w:r>
      <w:r w:rsidRPr="00CA4B63">
        <w:rPr>
          <w:rFonts w:cs="Times"/>
        </w:rPr>
        <w:t>beam indication with Rel-17 unified TCI</w:t>
      </w:r>
      <w:r w:rsidR="003E3FB5">
        <w:rPr>
          <w:rFonts w:cs="Times"/>
        </w:rPr>
        <w:t xml:space="preserve"> using D</w:t>
      </w:r>
      <w:r w:rsidRPr="00CA4B63">
        <w:rPr>
          <w:rFonts w:cs="Times"/>
        </w:rPr>
        <w:t>CI format 1_1/1_2 without DL assignment</w:t>
      </w:r>
      <w:r w:rsidR="003E3FB5">
        <w:rPr>
          <w:rFonts w:cs="Times"/>
        </w:rPr>
        <w:t xml:space="preserve"> is supported. It can be useful for instance if there is no DL data to be transmitted. The indicated unified TCI </w:t>
      </w:r>
      <w:r w:rsidR="0081050D">
        <w:rPr>
          <w:rFonts w:cs="Times"/>
        </w:rPr>
        <w:t xml:space="preserve">can </w:t>
      </w:r>
      <w:r w:rsidR="003E3FB5">
        <w:rPr>
          <w:rFonts w:cs="Times"/>
        </w:rPr>
        <w:t>appl</w:t>
      </w:r>
      <w:r w:rsidR="0081050D">
        <w:rPr>
          <w:rFonts w:cs="Times"/>
        </w:rPr>
        <w:t>y</w:t>
      </w:r>
      <w:r w:rsidR="003E3FB5">
        <w:rPr>
          <w:rFonts w:cs="Times"/>
        </w:rPr>
        <w:t xml:space="preserve"> not only to PDSCH, but also to PDCCH and UL channels. Hence, the TCI state may need to be updated also during periods without DL data.</w:t>
      </w:r>
    </w:p>
    <w:p w14:paraId="1FBBF8F4" w14:textId="78B20680" w:rsidR="005C7209" w:rsidRDefault="005C7209" w:rsidP="0016380F">
      <w:pPr>
        <w:rPr>
          <w:rFonts w:cs="Times"/>
        </w:rPr>
      </w:pPr>
      <w:r>
        <w:rPr>
          <w:rFonts w:cs="Times"/>
        </w:rPr>
        <w:t>Beyond the absence of a DL assignment, the use</w:t>
      </w:r>
      <w:r w:rsidR="00F634CC">
        <w:rPr>
          <w:rFonts w:cs="Times"/>
        </w:rPr>
        <w:t xml:space="preserve"> </w:t>
      </w:r>
      <w:r>
        <w:rPr>
          <w:rFonts w:cs="Times"/>
        </w:rPr>
        <w:t>case for TCI indication is similar for DCI with DL assignment and without DL assignment, since both DL TCI and/or UL TCI may need to be updated. Hence, the TCI codepoints correspond to the same activated TCI states for both DCI format 1_1/1_2 with and without DL assignment.</w:t>
      </w:r>
      <w:r w:rsidR="005B2D93">
        <w:rPr>
          <w:rFonts w:cs="Times"/>
        </w:rPr>
        <w:t xml:space="preserve"> Furthermore, the full functionality of dynamic TCI state signaling for unified TCI framework, incl. joint and separate TCI, needs to be supported by both with and without DL assignment, since a UE may support DCI with DL assignment, but not DCI without DL assignment.</w:t>
      </w:r>
    </w:p>
    <w:p w14:paraId="58687B43" w14:textId="140C3AAD" w:rsidR="005C7209" w:rsidRPr="004C3F7D" w:rsidRDefault="005C7209" w:rsidP="005C720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T</w:t>
      </w:r>
      <w:r w:rsidRPr="005C7209">
        <w:rPr>
          <w:rFonts w:eastAsia="Batang"/>
          <w:b/>
          <w:iCs/>
          <w:szCs w:val="22"/>
          <w:lang w:val="en-US" w:eastAsia="ko-KR"/>
        </w:rPr>
        <w:t>he TCI codepoints</w:t>
      </w:r>
      <w:r w:rsidR="00147E2A">
        <w:rPr>
          <w:rFonts w:eastAsia="Batang"/>
          <w:b/>
          <w:iCs/>
          <w:szCs w:val="22"/>
          <w:lang w:val="en-US" w:eastAsia="ko-KR"/>
        </w:rPr>
        <w:t xml:space="preserve"> indicated in DCI format 1_1/1_2</w:t>
      </w:r>
      <w:r w:rsidRPr="005C7209">
        <w:rPr>
          <w:rFonts w:eastAsia="Batang"/>
          <w:b/>
          <w:iCs/>
          <w:szCs w:val="22"/>
          <w:lang w:val="en-US" w:eastAsia="ko-KR"/>
        </w:rPr>
        <w:t xml:space="preserve"> correspond to the same activated TCI states for both with and without DL assignment</w:t>
      </w:r>
      <w:r>
        <w:rPr>
          <w:rFonts w:eastAsia="Batang"/>
          <w:b/>
          <w:iCs/>
          <w:szCs w:val="22"/>
          <w:lang w:val="en-US" w:eastAsia="ko-KR"/>
        </w:rPr>
        <w:t>.</w:t>
      </w:r>
    </w:p>
    <w:p w14:paraId="2AE6E7AB" w14:textId="5CF32201" w:rsidR="00F61BF3" w:rsidRDefault="00F61BF3" w:rsidP="0016380F">
      <w:pPr>
        <w:rPr>
          <w:rFonts w:cs="Times"/>
        </w:rPr>
      </w:pPr>
      <w:r>
        <w:rPr>
          <w:rFonts w:cs="Times"/>
        </w:rPr>
        <w:t xml:space="preserve">It was agreed that a UE can be RRC configured to use either joint TCI or separate DL/UL TCI. For joint TCI, the same RS acts as spatial/QCL source RS. For separate DL/UL TCI, a TCI field codepoint can represent a DL TCI and an UL TCI. The source RS that provides QCL typeD in the DL TCI and the </w:t>
      </w:r>
      <w:r w:rsidR="00E07083">
        <w:rPr>
          <w:rFonts w:cs="Times"/>
        </w:rPr>
        <w:t>spatial source RS in the UL TCI may be the same RS or different RS. If they are the same, the TCI field codepoint is in practice equivalent to a joint TCI.</w:t>
      </w:r>
      <w:r w:rsidR="005A62C3">
        <w:rPr>
          <w:rFonts w:cs="Times"/>
        </w:rPr>
        <w:t xml:space="preserve"> Hence, for a UE configured with </w:t>
      </w:r>
      <w:r w:rsidR="005A62C3">
        <w:rPr>
          <w:rFonts w:cs="Times"/>
        </w:rPr>
        <w:lastRenderedPageBreak/>
        <w:t>separate DL/UL TCI, dynamic switching between separate DL/UL spatial source RS and joint DL/UL spatial source RS is supported.</w:t>
      </w:r>
    </w:p>
    <w:p w14:paraId="5A68C979" w14:textId="6F94F6B3" w:rsidR="008D32E6" w:rsidRPr="004C3F7D" w:rsidRDefault="008D32E6" w:rsidP="008D32E6">
      <w:pPr>
        <w:spacing w:before="0"/>
        <w:ind w:left="990" w:hanging="99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 xml:space="preserve">For a UE configured with </w:t>
      </w:r>
      <w:r w:rsidRPr="008D32E6">
        <w:rPr>
          <w:rFonts w:eastAsia="Batang"/>
          <w:b/>
          <w:iCs/>
          <w:szCs w:val="22"/>
          <w:lang w:val="en-US" w:eastAsia="ko-KR"/>
        </w:rPr>
        <w:t>separate DL/UL TCI</w:t>
      </w:r>
      <w:r w:rsidR="005A62C3">
        <w:rPr>
          <w:rFonts w:eastAsia="Batang"/>
          <w:b/>
          <w:iCs/>
          <w:szCs w:val="22"/>
          <w:lang w:val="en-US" w:eastAsia="ko-KR"/>
        </w:rPr>
        <w:t xml:space="preserve"> and for</w:t>
      </w:r>
      <w:r>
        <w:rPr>
          <w:rFonts w:eastAsia="Batang"/>
          <w:b/>
          <w:iCs/>
          <w:szCs w:val="22"/>
          <w:lang w:val="en-US" w:eastAsia="ko-KR"/>
        </w:rPr>
        <w:t xml:space="preserve"> a TCI field codepoint representing a pair of DL TCI and UL TCI</w:t>
      </w:r>
      <w:r w:rsidR="005A62C3">
        <w:rPr>
          <w:rFonts w:eastAsia="Batang"/>
          <w:b/>
          <w:iCs/>
          <w:szCs w:val="22"/>
          <w:lang w:val="en-US" w:eastAsia="ko-KR"/>
        </w:rPr>
        <w:t>,</w:t>
      </w:r>
      <w:r>
        <w:rPr>
          <w:rFonts w:eastAsia="Batang"/>
          <w:b/>
          <w:iCs/>
          <w:szCs w:val="22"/>
          <w:lang w:val="en-US" w:eastAsia="ko-KR"/>
        </w:rPr>
        <w:t xml:space="preserve"> the spatial source RS in the UL TCI can be the same as the QCL typeD source RS in the DL TCI.</w:t>
      </w:r>
    </w:p>
    <w:p w14:paraId="32A1F8E6" w14:textId="7E5E8A68" w:rsidR="008D32E6" w:rsidRDefault="00733FBD" w:rsidP="0016380F">
      <w:pPr>
        <w:rPr>
          <w:rFonts w:cs="Times"/>
        </w:rPr>
      </w:pPr>
      <w:r>
        <w:rPr>
          <w:rFonts w:cs="Times"/>
        </w:rPr>
        <w:t xml:space="preserve">To support the functionality discussed above, a MAC CE that can activate up to two TCI states per TCI field codepoint is needed. Whether or not to use the same MAC CE for separate DL/UL TCI and joint TCI can be left to RAN2. </w:t>
      </w:r>
    </w:p>
    <w:p w14:paraId="2C59EB32" w14:textId="2587E9A1" w:rsidR="000A2111" w:rsidRPr="004C3F7D" w:rsidRDefault="000A2111" w:rsidP="00FB0C25">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sidR="00733FBD">
        <w:rPr>
          <w:rFonts w:eastAsia="Batang"/>
          <w:b/>
          <w:iCs/>
          <w:szCs w:val="22"/>
          <w:lang w:val="en-US" w:eastAsia="ko-KR"/>
        </w:rPr>
        <w:t xml:space="preserve">Design and specification of one or two MAC CEs for </w:t>
      </w:r>
      <w:r>
        <w:rPr>
          <w:rFonts w:eastAsia="Batang"/>
          <w:b/>
          <w:iCs/>
          <w:szCs w:val="22"/>
          <w:lang w:val="en-US" w:eastAsia="ko-KR"/>
        </w:rPr>
        <w:t xml:space="preserve">separate DL/UL TCI </w:t>
      </w:r>
      <w:r w:rsidR="00733FBD">
        <w:rPr>
          <w:rFonts w:eastAsia="Batang"/>
          <w:b/>
          <w:iCs/>
          <w:szCs w:val="22"/>
          <w:lang w:val="en-US" w:eastAsia="ko-KR"/>
        </w:rPr>
        <w:t>and joint TCI</w:t>
      </w:r>
      <w:r w:rsidR="00462D25">
        <w:rPr>
          <w:rFonts w:eastAsia="Batang"/>
          <w:b/>
          <w:iCs/>
          <w:szCs w:val="22"/>
          <w:lang w:val="en-US" w:eastAsia="ko-KR"/>
        </w:rPr>
        <w:t xml:space="preserve"> is  up to RAN2.</w:t>
      </w:r>
    </w:p>
    <w:p w14:paraId="109678DD" w14:textId="58AFDAC7" w:rsidR="000A2111" w:rsidRDefault="00761AAE" w:rsidP="0016380F">
      <w:pPr>
        <w:rPr>
          <w:rFonts w:cs="Times"/>
        </w:rPr>
      </w:pPr>
      <w:r>
        <w:rPr>
          <w:rFonts w:cs="Times"/>
        </w:rPr>
        <w:t>For the case when there is only UL data, there is also a need to maintain the DL TCI, since at least PDCCH needs to be operational. Furthermore, even if there is only UL data, there is typically a need to transmit MAC CEs as well as higher layer control signaling in PDSCH. Therefore, there is no need for special handling of the case with only UL data.</w:t>
      </w:r>
    </w:p>
    <w:p w14:paraId="10119C64" w14:textId="1EF51519" w:rsidR="00761AAE" w:rsidRPr="004C3F7D" w:rsidRDefault="00761AAE" w:rsidP="00761AAE">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FE25A0">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No further enhancement for the case with only UL data.</w:t>
      </w:r>
    </w:p>
    <w:p w14:paraId="36B84340" w14:textId="302B3CDA" w:rsidR="0008236B" w:rsidRDefault="0008236B" w:rsidP="0016380F">
      <w:pPr>
        <w:rPr>
          <w:rFonts w:cs="Times"/>
        </w:rPr>
      </w:pPr>
      <w:r>
        <w:rPr>
          <w:rFonts w:cs="Times"/>
        </w:rPr>
        <w:t xml:space="preserve">Upon beam measurement and reporting, the gNB may decide to update the beam for DL and/or UL. In some cases, this involves indicating the new beam in a DCI. In other cases, the new beam is not </w:t>
      </w:r>
      <w:r w:rsidR="00FE25A0">
        <w:rPr>
          <w:rFonts w:cs="Times"/>
        </w:rPr>
        <w:t xml:space="preserve">yet </w:t>
      </w:r>
      <w:r>
        <w:rPr>
          <w:rFonts w:cs="Times"/>
        </w:rPr>
        <w:t>mapped to a TCI codepoint. If so, the gNB first needs to activate a new set of TCIs using a MAC CE, wait</w:t>
      </w:r>
      <w:r w:rsidR="00FF45E4">
        <w:rPr>
          <w:rFonts w:cs="Times"/>
        </w:rPr>
        <w:t>s</w:t>
      </w:r>
      <w:r>
        <w:rPr>
          <w:rFonts w:cs="Times"/>
        </w:rPr>
        <w:t xml:space="preserve"> some time until the TCI has been activated, and finally indicate</w:t>
      </w:r>
      <w:r w:rsidR="00FF45E4">
        <w:rPr>
          <w:rFonts w:cs="Times"/>
        </w:rPr>
        <w:t>s</w:t>
      </w:r>
      <w:r>
        <w:rPr>
          <w:rFonts w:cs="Times"/>
        </w:rPr>
        <w:t xml:space="preserve"> it using a DCI. </w:t>
      </w:r>
      <w:r w:rsidR="0037416F">
        <w:rPr>
          <w:rFonts w:cs="Times"/>
        </w:rPr>
        <w:t xml:space="preserve">The last step could be avoided if </w:t>
      </w:r>
      <w:r w:rsidR="002418D1">
        <w:rPr>
          <w:rFonts w:cs="Times"/>
        </w:rPr>
        <w:t>the UE applies one of the newly activated TCI codepoints (e.g. lowest codepoint) directly upon activation, i.e. without DCI based indication. This speeds up beam application following MAC CE based activation, and also avoids the case of a deactivated TCI codepoint being applicable for CORESETs before a newly activated TCI codepoint is indicated in a DCI.</w:t>
      </w:r>
      <w:r w:rsidR="00BF084F">
        <w:rPr>
          <w:rFonts w:cs="Times"/>
        </w:rPr>
        <w:t xml:space="preserve"> Naturally, it’s up to gNB if it directly wants to indicate another TCI codepoint</w:t>
      </w:r>
      <w:r w:rsidR="009931E3" w:rsidRPr="009931E3">
        <w:rPr>
          <w:rFonts w:cs="Times"/>
        </w:rPr>
        <w:t xml:space="preserve"> </w:t>
      </w:r>
      <w:r w:rsidR="009931E3">
        <w:rPr>
          <w:rFonts w:cs="Times"/>
        </w:rPr>
        <w:t>after activation</w:t>
      </w:r>
      <w:r w:rsidR="00BF084F">
        <w:rPr>
          <w:rFonts w:cs="Times"/>
        </w:rPr>
        <w:t>, for example based on the most recent beam measurement and reporting.</w:t>
      </w:r>
    </w:p>
    <w:p w14:paraId="62DB22D5" w14:textId="3B372551" w:rsidR="002418D1" w:rsidRPr="004C3F7D" w:rsidRDefault="002418D1" w:rsidP="002418D1">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FE25A0">
        <w:rPr>
          <w:rFonts w:eastAsia="Batang"/>
          <w:b/>
          <w:i/>
          <w:szCs w:val="22"/>
          <w:lang w:val="en-US" w:eastAsia="ko-KR"/>
        </w:rPr>
        <w:t>9</w:t>
      </w:r>
      <w:r w:rsidRPr="00C826B7">
        <w:rPr>
          <w:rFonts w:eastAsia="Batang"/>
          <w:b/>
          <w:i/>
          <w:szCs w:val="22"/>
          <w:lang w:val="en-US" w:eastAsia="ko-KR"/>
        </w:rPr>
        <w:t xml:space="preserve">: </w:t>
      </w:r>
      <w:r w:rsidRPr="002418D1">
        <w:rPr>
          <w:rFonts w:eastAsia="Batang"/>
          <w:b/>
          <w:iCs/>
          <w:szCs w:val="22"/>
          <w:lang w:val="en-US" w:eastAsia="ko-KR"/>
        </w:rPr>
        <w:t>When m</w:t>
      </w:r>
      <w:r w:rsidR="002C504A">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sidR="00BF084F">
        <w:rPr>
          <w:rFonts w:eastAsia="Batang"/>
          <w:b/>
          <w:iCs/>
          <w:szCs w:val="22"/>
          <w:lang w:val="en-US" w:eastAsia="ko-KR"/>
        </w:rPr>
        <w:t xml:space="preserve">one of the </w:t>
      </w:r>
      <w:r w:rsidRPr="002418D1">
        <w:rPr>
          <w:rFonts w:eastAsia="Batang"/>
          <w:b/>
          <w:iCs/>
          <w:szCs w:val="22"/>
          <w:lang w:val="en-US" w:eastAsia="ko-KR"/>
        </w:rPr>
        <w:t>codepoint</w:t>
      </w:r>
      <w:r w:rsidR="00BF084F">
        <w:rPr>
          <w:rFonts w:eastAsia="Batang"/>
          <w:b/>
          <w:iCs/>
          <w:szCs w:val="22"/>
          <w:lang w:val="en-US" w:eastAsia="ko-KR"/>
        </w:rPr>
        <w:t>s</w:t>
      </w:r>
      <w:r w:rsidRPr="002418D1">
        <w:rPr>
          <w:rFonts w:eastAsia="Batang"/>
          <w:b/>
          <w:iCs/>
          <w:szCs w:val="22"/>
          <w:lang w:val="en-US" w:eastAsia="ko-KR"/>
        </w:rPr>
        <w:t xml:space="preserve"> is/are applied</w:t>
      </w:r>
      <w:r w:rsidR="00BF084F">
        <w:rPr>
          <w:rFonts w:eastAsia="Batang"/>
          <w:b/>
          <w:iCs/>
          <w:szCs w:val="22"/>
          <w:lang w:val="en-US" w:eastAsia="ko-KR"/>
        </w:rPr>
        <w:t xml:space="preserve"> directly upon activation</w:t>
      </w:r>
      <w:r>
        <w:rPr>
          <w:rFonts w:eastAsia="Batang"/>
          <w:b/>
          <w:iCs/>
          <w:szCs w:val="22"/>
          <w:lang w:val="en-US" w:eastAsia="ko-KR"/>
        </w:rPr>
        <w:t>.</w:t>
      </w:r>
    </w:p>
    <w:p w14:paraId="5C10EE21" w14:textId="469BC2C7" w:rsidR="00065F7D" w:rsidRDefault="005D20F1" w:rsidP="00C62BEE">
      <w:pPr>
        <w:pStyle w:val="Heading1"/>
        <w:spacing w:after="120"/>
      </w:pPr>
      <w:r w:rsidRPr="000D37D3">
        <w:t>Conclusion</w:t>
      </w:r>
    </w:p>
    <w:p w14:paraId="314C2368" w14:textId="6D4A96FE"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0B6B8731" w14:textId="77777777" w:rsidR="00676116" w:rsidRDefault="00676116" w:rsidP="00676116">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It can be configured if an aperiodic CSI-RS resource set (for CSI or BM) shares the </w:t>
      </w:r>
      <w:r w:rsidRPr="00A427A6">
        <w:rPr>
          <w:rFonts w:eastAsia="Batang"/>
          <w:b/>
          <w:szCs w:val="22"/>
          <w:lang w:val="en-US" w:eastAsia="ko-KR"/>
        </w:rPr>
        <w:t xml:space="preserve">same indicated Rel-17 TCI state </w:t>
      </w:r>
      <w:r w:rsidRPr="00676116">
        <w:rPr>
          <w:rFonts w:eastAsia="Batang"/>
          <w:b/>
          <w:szCs w:val="22"/>
          <w:lang w:val="en-US" w:eastAsia="ko-KR"/>
        </w:rPr>
        <w:t>as UE-dedicated reception on PDSCH and for UE-dedicated reception on all or subset of CORESETs in a CC</w:t>
      </w:r>
      <w:r>
        <w:rPr>
          <w:rFonts w:eastAsia="Batang"/>
          <w:b/>
          <w:szCs w:val="22"/>
          <w:lang w:val="en-US" w:eastAsia="ko-KR"/>
        </w:rPr>
        <w:t>.</w:t>
      </w:r>
    </w:p>
    <w:p w14:paraId="338DB2CD" w14:textId="77777777" w:rsidR="007300E9" w:rsidRDefault="007300E9" w:rsidP="007300E9">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It can be configured if an aperiodic SRS resource set for BM shares the </w:t>
      </w:r>
      <w:r w:rsidRPr="00A427A6">
        <w:rPr>
          <w:rFonts w:eastAsia="Batang"/>
          <w:b/>
          <w:szCs w:val="22"/>
          <w:lang w:val="en-US" w:eastAsia="ko-KR"/>
        </w:rPr>
        <w:t xml:space="preserve">same indicated Rel-17 TCI state </w:t>
      </w:r>
      <w:r w:rsidRPr="000C1969">
        <w:rPr>
          <w:rFonts w:eastAsia="Batang"/>
          <w:b/>
          <w:szCs w:val="22"/>
          <w:lang w:val="en-US" w:eastAsia="ko-KR"/>
        </w:rPr>
        <w:t>as dynamic-grant/configured-grant based PUSCH, all or subset of dedicated PUCCH resources in a CC</w:t>
      </w:r>
      <w:r>
        <w:rPr>
          <w:rFonts w:eastAsia="Batang"/>
          <w:b/>
          <w:szCs w:val="22"/>
          <w:lang w:val="en-US" w:eastAsia="ko-KR"/>
        </w:rPr>
        <w:t>.</w:t>
      </w:r>
    </w:p>
    <w:p w14:paraId="57B6564A" w14:textId="77777777" w:rsidR="007300E9" w:rsidRDefault="007300E9" w:rsidP="007300E9">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Remove the brackets around [configured] in the RAN1#106-e agreement.</w:t>
      </w:r>
    </w:p>
    <w:p w14:paraId="6BC5CA4D" w14:textId="77777777" w:rsidR="007300E9" w:rsidRPr="00004BBC" w:rsidRDefault="007300E9" w:rsidP="007300E9">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iCs/>
          <w:szCs w:val="22"/>
          <w:lang w:val="en-US" w:eastAsia="ko-KR"/>
        </w:rPr>
        <w:t xml:space="preserve">For the case of </w:t>
      </w:r>
      <w:r w:rsidRPr="0033471F">
        <w:rPr>
          <w:rFonts w:eastAsia="Batang"/>
          <w:b/>
          <w:iCs/>
          <w:szCs w:val="22"/>
          <w:lang w:val="en-US" w:eastAsia="ko-KR"/>
        </w:rPr>
        <w:t>separate DL and UL TCI state update</w:t>
      </w:r>
      <w:r>
        <w:rPr>
          <w:rFonts w:eastAsia="Batang"/>
          <w:b/>
          <w:iCs/>
          <w:szCs w:val="22"/>
          <w:lang w:val="en-US" w:eastAsia="ko-KR"/>
        </w:rPr>
        <w:t xml:space="preserve">, </w:t>
      </w:r>
      <w:r w:rsidRPr="0002575E">
        <w:rPr>
          <w:rFonts w:eastAsia="Batang"/>
          <w:b/>
          <w:iCs/>
          <w:szCs w:val="22"/>
          <w:lang w:val="en-US" w:eastAsia="ko-KR"/>
        </w:rPr>
        <w:t xml:space="preserve">the UL TCI state is taken from </w:t>
      </w:r>
      <w:r>
        <w:rPr>
          <w:rFonts w:eastAsia="Batang"/>
          <w:b/>
          <w:iCs/>
          <w:szCs w:val="22"/>
          <w:lang w:val="en-US" w:eastAsia="ko-KR"/>
        </w:rPr>
        <w:t xml:space="preserve">the </w:t>
      </w:r>
      <w:r w:rsidRPr="0002575E">
        <w:rPr>
          <w:rFonts w:eastAsia="Batang"/>
          <w:b/>
          <w:iCs/>
          <w:szCs w:val="22"/>
          <w:lang w:val="en-US" w:eastAsia="ko-KR"/>
        </w:rPr>
        <w:t xml:space="preserve">same TCI state pool </w:t>
      </w:r>
      <w:r>
        <w:rPr>
          <w:rFonts w:eastAsia="Batang"/>
          <w:b/>
          <w:iCs/>
          <w:szCs w:val="22"/>
          <w:lang w:val="en-US" w:eastAsia="ko-KR"/>
        </w:rPr>
        <w:t xml:space="preserve">as the </w:t>
      </w:r>
      <w:r w:rsidRPr="0002575E">
        <w:rPr>
          <w:rFonts w:eastAsia="Batang"/>
          <w:b/>
          <w:iCs/>
          <w:szCs w:val="22"/>
          <w:lang w:val="en-US" w:eastAsia="ko-KR"/>
        </w:rPr>
        <w:t>DL TCI state</w:t>
      </w:r>
      <w:r>
        <w:rPr>
          <w:rFonts w:eastAsia="Batang"/>
          <w:b/>
          <w:iCs/>
          <w:szCs w:val="22"/>
          <w:lang w:val="en-US" w:eastAsia="ko-KR"/>
        </w:rPr>
        <w:t>. If there are two RS in the DL TCI state, the RS with QCL typeD is used as UL spatial source RS.</w:t>
      </w:r>
    </w:p>
    <w:p w14:paraId="0B4F1581" w14:textId="77777777" w:rsidR="007300E9" w:rsidRPr="008832BB" w:rsidRDefault="007300E9" w:rsidP="007300E9">
      <w:pPr>
        <w:ind w:left="990" w:hanging="990"/>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42AEBCD0" w14:textId="77777777" w:rsidR="00A221BB" w:rsidRPr="004C3F7D" w:rsidRDefault="00A221BB" w:rsidP="00A221BB">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T</w:t>
      </w:r>
      <w:r w:rsidRPr="005C7209">
        <w:rPr>
          <w:rFonts w:eastAsia="Batang"/>
          <w:b/>
          <w:iCs/>
          <w:szCs w:val="22"/>
          <w:lang w:val="en-US" w:eastAsia="ko-KR"/>
        </w:rPr>
        <w:t>he TCI codepoints</w:t>
      </w:r>
      <w:r>
        <w:rPr>
          <w:rFonts w:eastAsia="Batang"/>
          <w:b/>
          <w:iCs/>
          <w:szCs w:val="22"/>
          <w:lang w:val="en-US" w:eastAsia="ko-KR"/>
        </w:rPr>
        <w:t xml:space="preserve"> indicated in DCI format 1_1/1_2</w:t>
      </w:r>
      <w:r w:rsidRPr="005C7209">
        <w:rPr>
          <w:rFonts w:eastAsia="Batang"/>
          <w:b/>
          <w:iCs/>
          <w:szCs w:val="22"/>
          <w:lang w:val="en-US" w:eastAsia="ko-KR"/>
        </w:rPr>
        <w:t xml:space="preserve"> correspond to the same activated TCI states for both with and without DL assignment</w:t>
      </w:r>
      <w:r>
        <w:rPr>
          <w:rFonts w:eastAsia="Batang"/>
          <w:b/>
          <w:iCs/>
          <w:szCs w:val="22"/>
          <w:lang w:val="en-US" w:eastAsia="ko-KR"/>
        </w:rPr>
        <w:t>.</w:t>
      </w:r>
    </w:p>
    <w:p w14:paraId="22B60F84" w14:textId="77777777" w:rsidR="00A221BB" w:rsidRPr="004C3F7D" w:rsidRDefault="00A221BB" w:rsidP="00A221BB">
      <w:pPr>
        <w:spacing w:before="0"/>
        <w:ind w:left="990" w:hanging="99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 xml:space="preserve">For a UE configured with </w:t>
      </w:r>
      <w:r w:rsidRPr="008D32E6">
        <w:rPr>
          <w:rFonts w:eastAsia="Batang"/>
          <w:b/>
          <w:iCs/>
          <w:szCs w:val="22"/>
          <w:lang w:val="en-US" w:eastAsia="ko-KR"/>
        </w:rPr>
        <w:t>separate DL/UL TCI</w:t>
      </w:r>
      <w:r>
        <w:rPr>
          <w:rFonts w:eastAsia="Batang"/>
          <w:b/>
          <w:iCs/>
          <w:szCs w:val="22"/>
          <w:lang w:val="en-US" w:eastAsia="ko-KR"/>
        </w:rPr>
        <w:t xml:space="preserve"> and for a TCI field codepoint representing a pair of DL TCI and UL TCI, the spatial source RS in the UL TCI can be the same as the QCL typeD source RS in the DL TCI.</w:t>
      </w:r>
    </w:p>
    <w:p w14:paraId="242AD862" w14:textId="77777777" w:rsidR="00A221BB" w:rsidRPr="004C3F7D" w:rsidRDefault="00A221BB" w:rsidP="00A221BB">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Design and specification of one or two MAC CEs for separate DL/UL TCI and joint TCI is  up to RAN2.</w:t>
      </w:r>
    </w:p>
    <w:p w14:paraId="37821564" w14:textId="77777777" w:rsidR="00A221BB" w:rsidRPr="004C3F7D" w:rsidRDefault="00A221BB" w:rsidP="00A221BB">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No further enhancement for the case with only UL data.</w:t>
      </w:r>
    </w:p>
    <w:p w14:paraId="618F779F" w14:textId="704F94D0" w:rsidR="00F60BFF" w:rsidRPr="00AC6EAA" w:rsidRDefault="00A221BB" w:rsidP="00AC6EAA">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sidRPr="002418D1">
        <w:rPr>
          <w:rFonts w:eastAsia="Batang"/>
          <w:b/>
          <w:iCs/>
          <w:szCs w:val="22"/>
          <w:lang w:val="en-US" w:eastAsia="ko-KR"/>
        </w:rPr>
        <w:t>When m</w:t>
      </w:r>
      <w:r>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Pr>
          <w:rFonts w:eastAsia="Batang"/>
          <w:b/>
          <w:iCs/>
          <w:szCs w:val="22"/>
          <w:lang w:val="en-US" w:eastAsia="ko-KR"/>
        </w:rPr>
        <w:t xml:space="preserve">one of the </w:t>
      </w:r>
      <w:r w:rsidRPr="002418D1">
        <w:rPr>
          <w:rFonts w:eastAsia="Batang"/>
          <w:b/>
          <w:iCs/>
          <w:szCs w:val="22"/>
          <w:lang w:val="en-US" w:eastAsia="ko-KR"/>
        </w:rPr>
        <w:t>codepoint</w:t>
      </w:r>
      <w:r>
        <w:rPr>
          <w:rFonts w:eastAsia="Batang"/>
          <w:b/>
          <w:iCs/>
          <w:szCs w:val="22"/>
          <w:lang w:val="en-US" w:eastAsia="ko-KR"/>
        </w:rPr>
        <w:t>s</w:t>
      </w:r>
      <w:r w:rsidRPr="002418D1">
        <w:rPr>
          <w:rFonts w:eastAsia="Batang"/>
          <w:b/>
          <w:iCs/>
          <w:szCs w:val="22"/>
          <w:lang w:val="en-US" w:eastAsia="ko-KR"/>
        </w:rPr>
        <w:t xml:space="preserve"> is/are applied</w:t>
      </w:r>
      <w:r>
        <w:rPr>
          <w:rFonts w:eastAsia="Batang"/>
          <w:b/>
          <w:iCs/>
          <w:szCs w:val="22"/>
          <w:lang w:val="en-US" w:eastAsia="ko-KR"/>
        </w:rPr>
        <w:t xml:space="preserve"> directly upon activation.</w:t>
      </w:r>
    </w:p>
    <w:p w14:paraId="2DA0C3AF" w14:textId="18544A81" w:rsidR="00A650EE" w:rsidRPr="00A650EE" w:rsidRDefault="00A650EE" w:rsidP="000D6FAC">
      <w:pPr>
        <w:pStyle w:val="Heading1"/>
        <w:spacing w:before="0" w:after="120"/>
      </w:pPr>
      <w:r w:rsidRPr="00A650EE">
        <w:t>Reference</w:t>
      </w:r>
      <w:r w:rsidR="004D29B6">
        <w:t>s</w:t>
      </w:r>
    </w:p>
    <w:p w14:paraId="3370F24E" w14:textId="05E90CC4"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D3866" w14:textId="77777777" w:rsidR="00E61E34" w:rsidRDefault="00E61E34">
      <w:r>
        <w:separator/>
      </w:r>
    </w:p>
  </w:endnote>
  <w:endnote w:type="continuationSeparator" w:id="0">
    <w:p w14:paraId="34312B5E" w14:textId="77777777" w:rsidR="00E61E34" w:rsidRDefault="00E6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20A2C" w14:textId="77777777" w:rsidR="00E61E34" w:rsidRDefault="00E61E34">
      <w:r>
        <w:separator/>
      </w:r>
    </w:p>
  </w:footnote>
  <w:footnote w:type="continuationSeparator" w:id="0">
    <w:p w14:paraId="275E97A4" w14:textId="77777777" w:rsidR="00E61E34" w:rsidRDefault="00E61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684406"/>
    <w:multiLevelType w:val="hybridMultilevel"/>
    <w:tmpl w:val="B76C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20"/>
  </w:num>
  <w:num w:numId="4">
    <w:abstractNumId w:val="8"/>
  </w:num>
  <w:num w:numId="5">
    <w:abstractNumId w:val="1"/>
  </w:num>
  <w:num w:numId="6">
    <w:abstractNumId w:val="18"/>
  </w:num>
  <w:num w:numId="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21"/>
  </w:num>
  <w:num w:numId="11">
    <w:abstractNumId w:val="25"/>
  </w:num>
  <w:num w:numId="12">
    <w:abstractNumId w:val="2"/>
  </w:num>
  <w:num w:numId="13">
    <w:abstractNumId w:val="17"/>
    <w:lvlOverride w:ilvl="0"/>
    <w:lvlOverride w:ilvl="1">
      <w:startOverride w:val="1"/>
    </w:lvlOverride>
    <w:lvlOverride w:ilvl="2"/>
    <w:lvlOverride w:ilvl="3"/>
    <w:lvlOverride w:ilvl="4"/>
    <w:lvlOverride w:ilvl="5"/>
    <w:lvlOverride w:ilvl="6"/>
    <w:lvlOverride w:ilvl="7"/>
    <w:lvlOverride w:ilvl="8"/>
  </w:num>
  <w:num w:numId="14">
    <w:abstractNumId w:val="17"/>
  </w:num>
  <w:num w:numId="15">
    <w:abstractNumId w:val="24"/>
  </w:num>
  <w:num w:numId="16">
    <w:abstractNumId w:val="41"/>
  </w:num>
  <w:num w:numId="17">
    <w:abstractNumId w:val="30"/>
  </w:num>
  <w:num w:numId="18">
    <w:abstractNumId w:val="13"/>
  </w:num>
  <w:num w:numId="19">
    <w:abstractNumId w:val="23"/>
  </w:num>
  <w:num w:numId="20">
    <w:abstractNumId w:val="0"/>
  </w:num>
  <w:num w:numId="21">
    <w:abstractNumId w:val="42"/>
  </w:num>
  <w:num w:numId="22">
    <w:abstractNumId w:val="11"/>
  </w:num>
  <w:num w:numId="23">
    <w:abstractNumId w:val="39"/>
  </w:num>
  <w:num w:numId="24">
    <w:abstractNumId w:val="12"/>
  </w:num>
  <w:num w:numId="25">
    <w:abstractNumId w:val="38"/>
  </w:num>
  <w:num w:numId="26">
    <w:abstractNumId w:val="9"/>
  </w:num>
  <w:num w:numId="27">
    <w:abstractNumId w:val="2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36"/>
  </w:num>
  <w:num w:numId="31">
    <w:abstractNumId w:val="4"/>
  </w:num>
  <w:num w:numId="32">
    <w:abstractNumId w:val="40"/>
  </w:num>
  <w:num w:numId="33">
    <w:abstractNumId w:val="31"/>
  </w:num>
  <w:num w:numId="34">
    <w:abstractNumId w:val="33"/>
  </w:num>
  <w:num w:numId="35">
    <w:abstractNumId w:val="14"/>
  </w:num>
  <w:num w:numId="36">
    <w:abstractNumId w:val="37"/>
  </w:num>
  <w:num w:numId="37">
    <w:abstractNumId w:val="7"/>
  </w:num>
  <w:num w:numId="38">
    <w:abstractNumId w:val="15"/>
  </w:num>
  <w:num w:numId="39">
    <w:abstractNumId w:val="27"/>
  </w:num>
  <w:num w:numId="40">
    <w:abstractNumId w:val="16"/>
  </w:num>
  <w:num w:numId="41">
    <w:abstractNumId w:val="3"/>
  </w:num>
  <w:num w:numId="42">
    <w:abstractNumId w:val="28"/>
  </w:num>
  <w:num w:numId="43">
    <w:abstractNumId w:val="34"/>
  </w:num>
  <w:num w:numId="44">
    <w:abstractNumId w:val="5"/>
  </w:num>
  <w:num w:numId="4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4F0D"/>
    <w:rsid w:val="0000527F"/>
    <w:rsid w:val="000104C8"/>
    <w:rsid w:val="00011702"/>
    <w:rsid w:val="000127DD"/>
    <w:rsid w:val="000146B8"/>
    <w:rsid w:val="0001495C"/>
    <w:rsid w:val="000154B1"/>
    <w:rsid w:val="0002043E"/>
    <w:rsid w:val="00021505"/>
    <w:rsid w:val="00022641"/>
    <w:rsid w:val="00022E5D"/>
    <w:rsid w:val="00024200"/>
    <w:rsid w:val="00024B1D"/>
    <w:rsid w:val="0002575E"/>
    <w:rsid w:val="00025F13"/>
    <w:rsid w:val="00026407"/>
    <w:rsid w:val="00027AF5"/>
    <w:rsid w:val="000319FD"/>
    <w:rsid w:val="00032BAB"/>
    <w:rsid w:val="00036C36"/>
    <w:rsid w:val="0004009F"/>
    <w:rsid w:val="00040139"/>
    <w:rsid w:val="0004388B"/>
    <w:rsid w:val="00044018"/>
    <w:rsid w:val="000469F4"/>
    <w:rsid w:val="00046D20"/>
    <w:rsid w:val="00051F4B"/>
    <w:rsid w:val="00053E0E"/>
    <w:rsid w:val="000550E1"/>
    <w:rsid w:val="000564E3"/>
    <w:rsid w:val="0005651A"/>
    <w:rsid w:val="0006095E"/>
    <w:rsid w:val="00060EA9"/>
    <w:rsid w:val="00061116"/>
    <w:rsid w:val="000626F5"/>
    <w:rsid w:val="00062DF5"/>
    <w:rsid w:val="000656E1"/>
    <w:rsid w:val="00065F7D"/>
    <w:rsid w:val="000674FE"/>
    <w:rsid w:val="0007151D"/>
    <w:rsid w:val="000716B0"/>
    <w:rsid w:val="000716BC"/>
    <w:rsid w:val="00073F85"/>
    <w:rsid w:val="00074D8A"/>
    <w:rsid w:val="00076B61"/>
    <w:rsid w:val="00077788"/>
    <w:rsid w:val="00077A26"/>
    <w:rsid w:val="00081884"/>
    <w:rsid w:val="0008211B"/>
    <w:rsid w:val="0008236B"/>
    <w:rsid w:val="0008236D"/>
    <w:rsid w:val="00083978"/>
    <w:rsid w:val="000855C5"/>
    <w:rsid w:val="00085D8C"/>
    <w:rsid w:val="0008754B"/>
    <w:rsid w:val="000914B8"/>
    <w:rsid w:val="00091738"/>
    <w:rsid w:val="000950C5"/>
    <w:rsid w:val="00095157"/>
    <w:rsid w:val="00095298"/>
    <w:rsid w:val="000955F8"/>
    <w:rsid w:val="000A2111"/>
    <w:rsid w:val="000A26C4"/>
    <w:rsid w:val="000A4A9E"/>
    <w:rsid w:val="000A50E4"/>
    <w:rsid w:val="000A6177"/>
    <w:rsid w:val="000A6675"/>
    <w:rsid w:val="000B13AF"/>
    <w:rsid w:val="000B4D38"/>
    <w:rsid w:val="000B5D47"/>
    <w:rsid w:val="000B7FB2"/>
    <w:rsid w:val="000C1969"/>
    <w:rsid w:val="000C40EF"/>
    <w:rsid w:val="000C5B22"/>
    <w:rsid w:val="000C6E01"/>
    <w:rsid w:val="000C73DE"/>
    <w:rsid w:val="000D00F4"/>
    <w:rsid w:val="000D1412"/>
    <w:rsid w:val="000D27A6"/>
    <w:rsid w:val="000D37D3"/>
    <w:rsid w:val="000D496B"/>
    <w:rsid w:val="000D4D50"/>
    <w:rsid w:val="000D5BC8"/>
    <w:rsid w:val="000D6FAC"/>
    <w:rsid w:val="000E0AD8"/>
    <w:rsid w:val="000E2E19"/>
    <w:rsid w:val="000E41AC"/>
    <w:rsid w:val="000E49FF"/>
    <w:rsid w:val="000E4F61"/>
    <w:rsid w:val="000F1176"/>
    <w:rsid w:val="000F1BFC"/>
    <w:rsid w:val="000F1D8D"/>
    <w:rsid w:val="000F2537"/>
    <w:rsid w:val="000F2AFF"/>
    <w:rsid w:val="000F2BAC"/>
    <w:rsid w:val="000F354D"/>
    <w:rsid w:val="000F421F"/>
    <w:rsid w:val="000F507D"/>
    <w:rsid w:val="0010131F"/>
    <w:rsid w:val="0010140B"/>
    <w:rsid w:val="001052F3"/>
    <w:rsid w:val="001064FA"/>
    <w:rsid w:val="00111482"/>
    <w:rsid w:val="0011533B"/>
    <w:rsid w:val="001163BA"/>
    <w:rsid w:val="001166E8"/>
    <w:rsid w:val="0012018B"/>
    <w:rsid w:val="001208C7"/>
    <w:rsid w:val="001267AA"/>
    <w:rsid w:val="00131B39"/>
    <w:rsid w:val="0013382B"/>
    <w:rsid w:val="0013405D"/>
    <w:rsid w:val="00140681"/>
    <w:rsid w:val="00141A9E"/>
    <w:rsid w:val="001447A7"/>
    <w:rsid w:val="00145D40"/>
    <w:rsid w:val="00146D58"/>
    <w:rsid w:val="00147878"/>
    <w:rsid w:val="00147E2A"/>
    <w:rsid w:val="00153720"/>
    <w:rsid w:val="00153B57"/>
    <w:rsid w:val="0015426C"/>
    <w:rsid w:val="0015653D"/>
    <w:rsid w:val="00160DCF"/>
    <w:rsid w:val="00161DA1"/>
    <w:rsid w:val="0016320C"/>
    <w:rsid w:val="0016380F"/>
    <w:rsid w:val="00163A9B"/>
    <w:rsid w:val="001669AF"/>
    <w:rsid w:val="00167063"/>
    <w:rsid w:val="00167220"/>
    <w:rsid w:val="00167285"/>
    <w:rsid w:val="00167F51"/>
    <w:rsid w:val="00171758"/>
    <w:rsid w:val="00171F92"/>
    <w:rsid w:val="00172636"/>
    <w:rsid w:val="00172677"/>
    <w:rsid w:val="001760E5"/>
    <w:rsid w:val="001830B9"/>
    <w:rsid w:val="00185133"/>
    <w:rsid w:val="00186EBA"/>
    <w:rsid w:val="00187149"/>
    <w:rsid w:val="00187541"/>
    <w:rsid w:val="00187738"/>
    <w:rsid w:val="00191A01"/>
    <w:rsid w:val="00191E2D"/>
    <w:rsid w:val="001942D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C4501"/>
    <w:rsid w:val="001D0B5E"/>
    <w:rsid w:val="001D4151"/>
    <w:rsid w:val="001D6C8D"/>
    <w:rsid w:val="001E18D6"/>
    <w:rsid w:val="001E3155"/>
    <w:rsid w:val="001E3B88"/>
    <w:rsid w:val="001E43B3"/>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60E3"/>
    <w:rsid w:val="002372D7"/>
    <w:rsid w:val="00237D50"/>
    <w:rsid w:val="002409F4"/>
    <w:rsid w:val="002418D1"/>
    <w:rsid w:val="00242995"/>
    <w:rsid w:val="002441DB"/>
    <w:rsid w:val="00245124"/>
    <w:rsid w:val="00252218"/>
    <w:rsid w:val="002522C6"/>
    <w:rsid w:val="0025363F"/>
    <w:rsid w:val="0025464A"/>
    <w:rsid w:val="00257F4C"/>
    <w:rsid w:val="002609A6"/>
    <w:rsid w:val="002628AB"/>
    <w:rsid w:val="00263E95"/>
    <w:rsid w:val="002642FC"/>
    <w:rsid w:val="00264F06"/>
    <w:rsid w:val="002657E1"/>
    <w:rsid w:val="0026654D"/>
    <w:rsid w:val="00266C98"/>
    <w:rsid w:val="00267C3C"/>
    <w:rsid w:val="002709D3"/>
    <w:rsid w:val="00273ABF"/>
    <w:rsid w:val="002748B2"/>
    <w:rsid w:val="00275516"/>
    <w:rsid w:val="00277CBB"/>
    <w:rsid w:val="00282603"/>
    <w:rsid w:val="0029241C"/>
    <w:rsid w:val="0029577D"/>
    <w:rsid w:val="00296489"/>
    <w:rsid w:val="002A244E"/>
    <w:rsid w:val="002A4DB3"/>
    <w:rsid w:val="002A56D3"/>
    <w:rsid w:val="002A62EA"/>
    <w:rsid w:val="002A7310"/>
    <w:rsid w:val="002A7871"/>
    <w:rsid w:val="002B019F"/>
    <w:rsid w:val="002B21C8"/>
    <w:rsid w:val="002B22E3"/>
    <w:rsid w:val="002B3C03"/>
    <w:rsid w:val="002B4F54"/>
    <w:rsid w:val="002B5C4F"/>
    <w:rsid w:val="002B5EBB"/>
    <w:rsid w:val="002B728D"/>
    <w:rsid w:val="002C2489"/>
    <w:rsid w:val="002C504A"/>
    <w:rsid w:val="002C554E"/>
    <w:rsid w:val="002C5CD1"/>
    <w:rsid w:val="002D0FA4"/>
    <w:rsid w:val="002D0FF9"/>
    <w:rsid w:val="002D2246"/>
    <w:rsid w:val="002D32BE"/>
    <w:rsid w:val="002D3345"/>
    <w:rsid w:val="002D40BC"/>
    <w:rsid w:val="002D49E1"/>
    <w:rsid w:val="002E166E"/>
    <w:rsid w:val="002E5B38"/>
    <w:rsid w:val="002E68AC"/>
    <w:rsid w:val="002F2971"/>
    <w:rsid w:val="002F4A9B"/>
    <w:rsid w:val="002F50E7"/>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471F"/>
    <w:rsid w:val="00335638"/>
    <w:rsid w:val="00341503"/>
    <w:rsid w:val="0034187F"/>
    <w:rsid w:val="00342A22"/>
    <w:rsid w:val="00342CD6"/>
    <w:rsid w:val="00342F9F"/>
    <w:rsid w:val="0034698C"/>
    <w:rsid w:val="00350B4E"/>
    <w:rsid w:val="00352982"/>
    <w:rsid w:val="003540FE"/>
    <w:rsid w:val="00354940"/>
    <w:rsid w:val="00356541"/>
    <w:rsid w:val="0035657A"/>
    <w:rsid w:val="003567E2"/>
    <w:rsid w:val="00361A94"/>
    <w:rsid w:val="003666FB"/>
    <w:rsid w:val="003673C1"/>
    <w:rsid w:val="00367BD7"/>
    <w:rsid w:val="00372882"/>
    <w:rsid w:val="00372CC9"/>
    <w:rsid w:val="00372E07"/>
    <w:rsid w:val="0037416F"/>
    <w:rsid w:val="00374EF2"/>
    <w:rsid w:val="0037504A"/>
    <w:rsid w:val="003752FD"/>
    <w:rsid w:val="00377439"/>
    <w:rsid w:val="00383AFB"/>
    <w:rsid w:val="003840BD"/>
    <w:rsid w:val="003856BC"/>
    <w:rsid w:val="00386636"/>
    <w:rsid w:val="0038754A"/>
    <w:rsid w:val="003924C5"/>
    <w:rsid w:val="003A05C1"/>
    <w:rsid w:val="003A0958"/>
    <w:rsid w:val="003A4AC7"/>
    <w:rsid w:val="003A675E"/>
    <w:rsid w:val="003B1408"/>
    <w:rsid w:val="003B45F3"/>
    <w:rsid w:val="003B58AC"/>
    <w:rsid w:val="003B73E9"/>
    <w:rsid w:val="003B79CB"/>
    <w:rsid w:val="003B7FEE"/>
    <w:rsid w:val="003C09C2"/>
    <w:rsid w:val="003C1E03"/>
    <w:rsid w:val="003C2E9F"/>
    <w:rsid w:val="003C53E5"/>
    <w:rsid w:val="003C5462"/>
    <w:rsid w:val="003C6CD9"/>
    <w:rsid w:val="003D00D8"/>
    <w:rsid w:val="003D1C3A"/>
    <w:rsid w:val="003D5B78"/>
    <w:rsid w:val="003D5F1F"/>
    <w:rsid w:val="003D77C4"/>
    <w:rsid w:val="003E1C7C"/>
    <w:rsid w:val="003E2ECE"/>
    <w:rsid w:val="003E2F0B"/>
    <w:rsid w:val="003E3C09"/>
    <w:rsid w:val="003E3FB5"/>
    <w:rsid w:val="003E4BE7"/>
    <w:rsid w:val="003E4D15"/>
    <w:rsid w:val="003E4EE2"/>
    <w:rsid w:val="003E6639"/>
    <w:rsid w:val="003F1A6C"/>
    <w:rsid w:val="003F20B7"/>
    <w:rsid w:val="003F2578"/>
    <w:rsid w:val="003F4245"/>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37B94"/>
    <w:rsid w:val="004417C6"/>
    <w:rsid w:val="00442AA3"/>
    <w:rsid w:val="004453C1"/>
    <w:rsid w:val="00446ACE"/>
    <w:rsid w:val="00446C35"/>
    <w:rsid w:val="00447234"/>
    <w:rsid w:val="00447D78"/>
    <w:rsid w:val="00447DE7"/>
    <w:rsid w:val="00450F5F"/>
    <w:rsid w:val="004523AC"/>
    <w:rsid w:val="004554F3"/>
    <w:rsid w:val="004607C3"/>
    <w:rsid w:val="00461C38"/>
    <w:rsid w:val="00462D25"/>
    <w:rsid w:val="004631FB"/>
    <w:rsid w:val="004636A7"/>
    <w:rsid w:val="00463A51"/>
    <w:rsid w:val="00464453"/>
    <w:rsid w:val="00466D99"/>
    <w:rsid w:val="00466DEE"/>
    <w:rsid w:val="00466EF0"/>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82B"/>
    <w:rsid w:val="004A6BBB"/>
    <w:rsid w:val="004A71E2"/>
    <w:rsid w:val="004A7BB0"/>
    <w:rsid w:val="004B12D7"/>
    <w:rsid w:val="004B547B"/>
    <w:rsid w:val="004B5C52"/>
    <w:rsid w:val="004B5F26"/>
    <w:rsid w:val="004C1E00"/>
    <w:rsid w:val="004C301F"/>
    <w:rsid w:val="004C38CC"/>
    <w:rsid w:val="004C38CE"/>
    <w:rsid w:val="004C3F7D"/>
    <w:rsid w:val="004C52B0"/>
    <w:rsid w:val="004C6229"/>
    <w:rsid w:val="004D1205"/>
    <w:rsid w:val="004D29B6"/>
    <w:rsid w:val="004D30A1"/>
    <w:rsid w:val="004D67EC"/>
    <w:rsid w:val="004D7818"/>
    <w:rsid w:val="004E257E"/>
    <w:rsid w:val="004E2EEE"/>
    <w:rsid w:val="004E3799"/>
    <w:rsid w:val="004E39AF"/>
    <w:rsid w:val="004E5D0A"/>
    <w:rsid w:val="004E7450"/>
    <w:rsid w:val="004F6086"/>
    <w:rsid w:val="004F657E"/>
    <w:rsid w:val="004F7473"/>
    <w:rsid w:val="004F7DF7"/>
    <w:rsid w:val="005072FC"/>
    <w:rsid w:val="005079EB"/>
    <w:rsid w:val="0051216D"/>
    <w:rsid w:val="00512E3B"/>
    <w:rsid w:val="0051399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6762"/>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2C3"/>
    <w:rsid w:val="005A6EC7"/>
    <w:rsid w:val="005B0411"/>
    <w:rsid w:val="005B0D14"/>
    <w:rsid w:val="005B1D2F"/>
    <w:rsid w:val="005B2076"/>
    <w:rsid w:val="005B2D93"/>
    <w:rsid w:val="005B4701"/>
    <w:rsid w:val="005B5FF5"/>
    <w:rsid w:val="005B601E"/>
    <w:rsid w:val="005C05A6"/>
    <w:rsid w:val="005C0F6F"/>
    <w:rsid w:val="005C3384"/>
    <w:rsid w:val="005C3D8D"/>
    <w:rsid w:val="005C54FD"/>
    <w:rsid w:val="005C7209"/>
    <w:rsid w:val="005C7F4F"/>
    <w:rsid w:val="005D09B1"/>
    <w:rsid w:val="005D20F1"/>
    <w:rsid w:val="005D2D51"/>
    <w:rsid w:val="005D3981"/>
    <w:rsid w:val="005D4BE2"/>
    <w:rsid w:val="005D665C"/>
    <w:rsid w:val="005D771A"/>
    <w:rsid w:val="005E019F"/>
    <w:rsid w:val="005E1727"/>
    <w:rsid w:val="005E1ABD"/>
    <w:rsid w:val="005E5018"/>
    <w:rsid w:val="005E7958"/>
    <w:rsid w:val="005F1649"/>
    <w:rsid w:val="005F216B"/>
    <w:rsid w:val="005F318B"/>
    <w:rsid w:val="005F3AFD"/>
    <w:rsid w:val="005F55FE"/>
    <w:rsid w:val="005F5CEE"/>
    <w:rsid w:val="005F5D81"/>
    <w:rsid w:val="005F6E51"/>
    <w:rsid w:val="005F6EB2"/>
    <w:rsid w:val="00600805"/>
    <w:rsid w:val="006016E9"/>
    <w:rsid w:val="00602F21"/>
    <w:rsid w:val="0060347B"/>
    <w:rsid w:val="00605FA3"/>
    <w:rsid w:val="00607022"/>
    <w:rsid w:val="006140F5"/>
    <w:rsid w:val="0061417F"/>
    <w:rsid w:val="00614D21"/>
    <w:rsid w:val="00615492"/>
    <w:rsid w:val="006165AD"/>
    <w:rsid w:val="006204C2"/>
    <w:rsid w:val="006207AF"/>
    <w:rsid w:val="00620E89"/>
    <w:rsid w:val="00621ACC"/>
    <w:rsid w:val="00621C05"/>
    <w:rsid w:val="0062449A"/>
    <w:rsid w:val="0063011A"/>
    <w:rsid w:val="00630F3A"/>
    <w:rsid w:val="00634154"/>
    <w:rsid w:val="00635ABD"/>
    <w:rsid w:val="0063639A"/>
    <w:rsid w:val="0063778E"/>
    <w:rsid w:val="0064095D"/>
    <w:rsid w:val="0064198D"/>
    <w:rsid w:val="00641A9E"/>
    <w:rsid w:val="0064318F"/>
    <w:rsid w:val="0064458A"/>
    <w:rsid w:val="00645A3D"/>
    <w:rsid w:val="0064615E"/>
    <w:rsid w:val="00646DA4"/>
    <w:rsid w:val="00652082"/>
    <w:rsid w:val="006535EC"/>
    <w:rsid w:val="00654A39"/>
    <w:rsid w:val="00657BE5"/>
    <w:rsid w:val="006616F6"/>
    <w:rsid w:val="00664455"/>
    <w:rsid w:val="00665941"/>
    <w:rsid w:val="00666074"/>
    <w:rsid w:val="0066614E"/>
    <w:rsid w:val="00667FDF"/>
    <w:rsid w:val="006733DB"/>
    <w:rsid w:val="00673C22"/>
    <w:rsid w:val="00675062"/>
    <w:rsid w:val="006758DE"/>
    <w:rsid w:val="00676116"/>
    <w:rsid w:val="00677A39"/>
    <w:rsid w:val="00677DC3"/>
    <w:rsid w:val="00681D02"/>
    <w:rsid w:val="00682F72"/>
    <w:rsid w:val="006861F8"/>
    <w:rsid w:val="006866CD"/>
    <w:rsid w:val="00687F23"/>
    <w:rsid w:val="0069390B"/>
    <w:rsid w:val="00693DAB"/>
    <w:rsid w:val="00695505"/>
    <w:rsid w:val="00695704"/>
    <w:rsid w:val="006A192B"/>
    <w:rsid w:val="006A3A7C"/>
    <w:rsid w:val="006A57A2"/>
    <w:rsid w:val="006A59CE"/>
    <w:rsid w:val="006A7BB8"/>
    <w:rsid w:val="006A7DD0"/>
    <w:rsid w:val="006B0323"/>
    <w:rsid w:val="006B1113"/>
    <w:rsid w:val="006B11D2"/>
    <w:rsid w:val="006B1946"/>
    <w:rsid w:val="006B2412"/>
    <w:rsid w:val="006B2C44"/>
    <w:rsid w:val="006B565F"/>
    <w:rsid w:val="006B6D77"/>
    <w:rsid w:val="006C3FEE"/>
    <w:rsid w:val="006C649A"/>
    <w:rsid w:val="006C7B1C"/>
    <w:rsid w:val="006D0BF7"/>
    <w:rsid w:val="006D4CEC"/>
    <w:rsid w:val="006E01B4"/>
    <w:rsid w:val="006E4459"/>
    <w:rsid w:val="006E4518"/>
    <w:rsid w:val="006E5968"/>
    <w:rsid w:val="006E5DD2"/>
    <w:rsid w:val="006F1E5A"/>
    <w:rsid w:val="006F2698"/>
    <w:rsid w:val="006F458B"/>
    <w:rsid w:val="006F4D73"/>
    <w:rsid w:val="006F55A6"/>
    <w:rsid w:val="006F73F9"/>
    <w:rsid w:val="00700FCA"/>
    <w:rsid w:val="00703627"/>
    <w:rsid w:val="00703E09"/>
    <w:rsid w:val="00705C2B"/>
    <w:rsid w:val="00706291"/>
    <w:rsid w:val="0071174C"/>
    <w:rsid w:val="00712B4E"/>
    <w:rsid w:val="00713894"/>
    <w:rsid w:val="00713B04"/>
    <w:rsid w:val="00713B1C"/>
    <w:rsid w:val="007140D2"/>
    <w:rsid w:val="00714AF3"/>
    <w:rsid w:val="007150A9"/>
    <w:rsid w:val="00715BF3"/>
    <w:rsid w:val="00720387"/>
    <w:rsid w:val="0072141F"/>
    <w:rsid w:val="00721DA7"/>
    <w:rsid w:val="00722572"/>
    <w:rsid w:val="00722B22"/>
    <w:rsid w:val="00724391"/>
    <w:rsid w:val="00724995"/>
    <w:rsid w:val="007264C3"/>
    <w:rsid w:val="00727B19"/>
    <w:rsid w:val="00727C17"/>
    <w:rsid w:val="007300E9"/>
    <w:rsid w:val="007324F6"/>
    <w:rsid w:val="00733FBD"/>
    <w:rsid w:val="007371AC"/>
    <w:rsid w:val="00743D03"/>
    <w:rsid w:val="0075483A"/>
    <w:rsid w:val="00754DAD"/>
    <w:rsid w:val="00755E66"/>
    <w:rsid w:val="0075675E"/>
    <w:rsid w:val="00757856"/>
    <w:rsid w:val="00760265"/>
    <w:rsid w:val="007607AE"/>
    <w:rsid w:val="00760B23"/>
    <w:rsid w:val="00761AAE"/>
    <w:rsid w:val="00770BA8"/>
    <w:rsid w:val="00770DEA"/>
    <w:rsid w:val="00775B3C"/>
    <w:rsid w:val="007766E7"/>
    <w:rsid w:val="007816A0"/>
    <w:rsid w:val="007822D8"/>
    <w:rsid w:val="00782D32"/>
    <w:rsid w:val="00786B7C"/>
    <w:rsid w:val="00787B7D"/>
    <w:rsid w:val="00790C82"/>
    <w:rsid w:val="007917CA"/>
    <w:rsid w:val="0079200B"/>
    <w:rsid w:val="00793E15"/>
    <w:rsid w:val="007941F5"/>
    <w:rsid w:val="00794234"/>
    <w:rsid w:val="00794521"/>
    <w:rsid w:val="00795985"/>
    <w:rsid w:val="0079648D"/>
    <w:rsid w:val="007A11D7"/>
    <w:rsid w:val="007A3330"/>
    <w:rsid w:val="007A71C0"/>
    <w:rsid w:val="007B06D3"/>
    <w:rsid w:val="007B1D71"/>
    <w:rsid w:val="007B2090"/>
    <w:rsid w:val="007B36FF"/>
    <w:rsid w:val="007B5072"/>
    <w:rsid w:val="007B5BAA"/>
    <w:rsid w:val="007C144B"/>
    <w:rsid w:val="007C14C5"/>
    <w:rsid w:val="007C558D"/>
    <w:rsid w:val="007C5C1A"/>
    <w:rsid w:val="007C6943"/>
    <w:rsid w:val="007C78C8"/>
    <w:rsid w:val="007C796A"/>
    <w:rsid w:val="007D69B1"/>
    <w:rsid w:val="007D7A47"/>
    <w:rsid w:val="007E1F09"/>
    <w:rsid w:val="007E3CA1"/>
    <w:rsid w:val="007E42CC"/>
    <w:rsid w:val="007F3E89"/>
    <w:rsid w:val="007F5921"/>
    <w:rsid w:val="007F6CBE"/>
    <w:rsid w:val="0080150C"/>
    <w:rsid w:val="00801B7D"/>
    <w:rsid w:val="0080303A"/>
    <w:rsid w:val="00804A00"/>
    <w:rsid w:val="00804AC2"/>
    <w:rsid w:val="00804ACD"/>
    <w:rsid w:val="00806977"/>
    <w:rsid w:val="00806ACE"/>
    <w:rsid w:val="008071D9"/>
    <w:rsid w:val="00807AFB"/>
    <w:rsid w:val="0081050D"/>
    <w:rsid w:val="0081071B"/>
    <w:rsid w:val="008114B2"/>
    <w:rsid w:val="0081272E"/>
    <w:rsid w:val="008127C1"/>
    <w:rsid w:val="00820F09"/>
    <w:rsid w:val="00821262"/>
    <w:rsid w:val="00821C45"/>
    <w:rsid w:val="00821CE8"/>
    <w:rsid w:val="008232FC"/>
    <w:rsid w:val="00824394"/>
    <w:rsid w:val="008243D3"/>
    <w:rsid w:val="008254B6"/>
    <w:rsid w:val="008265BA"/>
    <w:rsid w:val="008268F1"/>
    <w:rsid w:val="00832094"/>
    <w:rsid w:val="008325D3"/>
    <w:rsid w:val="00833404"/>
    <w:rsid w:val="00834051"/>
    <w:rsid w:val="00837728"/>
    <w:rsid w:val="00837F4D"/>
    <w:rsid w:val="00842B97"/>
    <w:rsid w:val="00844138"/>
    <w:rsid w:val="00846A90"/>
    <w:rsid w:val="00846A9B"/>
    <w:rsid w:val="00847425"/>
    <w:rsid w:val="00850F01"/>
    <w:rsid w:val="00855868"/>
    <w:rsid w:val="00861449"/>
    <w:rsid w:val="00861C54"/>
    <w:rsid w:val="00861CE7"/>
    <w:rsid w:val="00864599"/>
    <w:rsid w:val="0086719F"/>
    <w:rsid w:val="00871771"/>
    <w:rsid w:val="00871C72"/>
    <w:rsid w:val="008720A5"/>
    <w:rsid w:val="00872874"/>
    <w:rsid w:val="00873F8D"/>
    <w:rsid w:val="00874571"/>
    <w:rsid w:val="00875276"/>
    <w:rsid w:val="0087679A"/>
    <w:rsid w:val="00876F4B"/>
    <w:rsid w:val="00877623"/>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132"/>
    <w:rsid w:val="008C27D4"/>
    <w:rsid w:val="008C5907"/>
    <w:rsid w:val="008D32E6"/>
    <w:rsid w:val="008D3666"/>
    <w:rsid w:val="008D4447"/>
    <w:rsid w:val="008D530F"/>
    <w:rsid w:val="008E4BDE"/>
    <w:rsid w:val="008E4BED"/>
    <w:rsid w:val="008F5451"/>
    <w:rsid w:val="00900E79"/>
    <w:rsid w:val="00901A38"/>
    <w:rsid w:val="00903880"/>
    <w:rsid w:val="00904CBF"/>
    <w:rsid w:val="009072FB"/>
    <w:rsid w:val="00907EBD"/>
    <w:rsid w:val="009149C6"/>
    <w:rsid w:val="00914FD3"/>
    <w:rsid w:val="00920C01"/>
    <w:rsid w:val="0092466A"/>
    <w:rsid w:val="0092625D"/>
    <w:rsid w:val="00931755"/>
    <w:rsid w:val="00932113"/>
    <w:rsid w:val="00932371"/>
    <w:rsid w:val="0093245F"/>
    <w:rsid w:val="00933BFF"/>
    <w:rsid w:val="00937344"/>
    <w:rsid w:val="009404A5"/>
    <w:rsid w:val="00940ED3"/>
    <w:rsid w:val="0094595C"/>
    <w:rsid w:val="00945D2B"/>
    <w:rsid w:val="00946429"/>
    <w:rsid w:val="009476AE"/>
    <w:rsid w:val="00947740"/>
    <w:rsid w:val="00953495"/>
    <w:rsid w:val="009548B8"/>
    <w:rsid w:val="0095582D"/>
    <w:rsid w:val="0096105B"/>
    <w:rsid w:val="009623EE"/>
    <w:rsid w:val="00963C8F"/>
    <w:rsid w:val="0096456E"/>
    <w:rsid w:val="009671DC"/>
    <w:rsid w:val="00970ADB"/>
    <w:rsid w:val="00971151"/>
    <w:rsid w:val="00972AFB"/>
    <w:rsid w:val="00973CE5"/>
    <w:rsid w:val="00974811"/>
    <w:rsid w:val="00974B00"/>
    <w:rsid w:val="0097693A"/>
    <w:rsid w:val="00980B39"/>
    <w:rsid w:val="00980D88"/>
    <w:rsid w:val="00981AF1"/>
    <w:rsid w:val="009828DD"/>
    <w:rsid w:val="009839BD"/>
    <w:rsid w:val="00983D81"/>
    <w:rsid w:val="00985F86"/>
    <w:rsid w:val="009867B5"/>
    <w:rsid w:val="0099033E"/>
    <w:rsid w:val="00991831"/>
    <w:rsid w:val="009931E3"/>
    <w:rsid w:val="00994C8F"/>
    <w:rsid w:val="00995AA0"/>
    <w:rsid w:val="009962C7"/>
    <w:rsid w:val="00996AFB"/>
    <w:rsid w:val="00997F6A"/>
    <w:rsid w:val="009A153D"/>
    <w:rsid w:val="009A2629"/>
    <w:rsid w:val="009A4E33"/>
    <w:rsid w:val="009A4F65"/>
    <w:rsid w:val="009B0D26"/>
    <w:rsid w:val="009B2E97"/>
    <w:rsid w:val="009B7303"/>
    <w:rsid w:val="009B75D2"/>
    <w:rsid w:val="009C1E0F"/>
    <w:rsid w:val="009C3022"/>
    <w:rsid w:val="009C3031"/>
    <w:rsid w:val="009C5D61"/>
    <w:rsid w:val="009C6E6E"/>
    <w:rsid w:val="009D5348"/>
    <w:rsid w:val="009D7759"/>
    <w:rsid w:val="009D7B86"/>
    <w:rsid w:val="009E0903"/>
    <w:rsid w:val="009E0CF4"/>
    <w:rsid w:val="009E1249"/>
    <w:rsid w:val="009E3D47"/>
    <w:rsid w:val="009E43C5"/>
    <w:rsid w:val="009E6AD0"/>
    <w:rsid w:val="009E703D"/>
    <w:rsid w:val="009F0DC4"/>
    <w:rsid w:val="009F44B1"/>
    <w:rsid w:val="00A02943"/>
    <w:rsid w:val="00A02E18"/>
    <w:rsid w:val="00A06B6C"/>
    <w:rsid w:val="00A0741E"/>
    <w:rsid w:val="00A07508"/>
    <w:rsid w:val="00A07B65"/>
    <w:rsid w:val="00A10CD0"/>
    <w:rsid w:val="00A1110C"/>
    <w:rsid w:val="00A12C31"/>
    <w:rsid w:val="00A16566"/>
    <w:rsid w:val="00A20DA9"/>
    <w:rsid w:val="00A221BB"/>
    <w:rsid w:val="00A2299C"/>
    <w:rsid w:val="00A23578"/>
    <w:rsid w:val="00A23793"/>
    <w:rsid w:val="00A2457E"/>
    <w:rsid w:val="00A31B85"/>
    <w:rsid w:val="00A3212F"/>
    <w:rsid w:val="00A33D88"/>
    <w:rsid w:val="00A3558F"/>
    <w:rsid w:val="00A361F7"/>
    <w:rsid w:val="00A369D2"/>
    <w:rsid w:val="00A3704A"/>
    <w:rsid w:val="00A40EFB"/>
    <w:rsid w:val="00A4122B"/>
    <w:rsid w:val="00A42342"/>
    <w:rsid w:val="00A427A6"/>
    <w:rsid w:val="00A43392"/>
    <w:rsid w:val="00A44733"/>
    <w:rsid w:val="00A45A88"/>
    <w:rsid w:val="00A53B4E"/>
    <w:rsid w:val="00A548A1"/>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36E6"/>
    <w:rsid w:val="00AB43C0"/>
    <w:rsid w:val="00AB4813"/>
    <w:rsid w:val="00AB5791"/>
    <w:rsid w:val="00AB6B86"/>
    <w:rsid w:val="00AC0AE7"/>
    <w:rsid w:val="00AC1095"/>
    <w:rsid w:val="00AC32C3"/>
    <w:rsid w:val="00AC3C67"/>
    <w:rsid w:val="00AC45F7"/>
    <w:rsid w:val="00AC4E42"/>
    <w:rsid w:val="00AC6EAA"/>
    <w:rsid w:val="00AC70DF"/>
    <w:rsid w:val="00AD041A"/>
    <w:rsid w:val="00AD7100"/>
    <w:rsid w:val="00AE09FF"/>
    <w:rsid w:val="00AE0C3F"/>
    <w:rsid w:val="00AE1547"/>
    <w:rsid w:val="00AE4A3B"/>
    <w:rsid w:val="00AE5752"/>
    <w:rsid w:val="00AE5B9D"/>
    <w:rsid w:val="00AF101D"/>
    <w:rsid w:val="00AF1A9E"/>
    <w:rsid w:val="00B00782"/>
    <w:rsid w:val="00B01D6E"/>
    <w:rsid w:val="00B02C9F"/>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36"/>
    <w:rsid w:val="00B329B4"/>
    <w:rsid w:val="00B33471"/>
    <w:rsid w:val="00B35A19"/>
    <w:rsid w:val="00B41368"/>
    <w:rsid w:val="00B422FF"/>
    <w:rsid w:val="00B46F66"/>
    <w:rsid w:val="00B50D27"/>
    <w:rsid w:val="00B51075"/>
    <w:rsid w:val="00B54EFF"/>
    <w:rsid w:val="00B552E3"/>
    <w:rsid w:val="00B562BC"/>
    <w:rsid w:val="00B56608"/>
    <w:rsid w:val="00B5790C"/>
    <w:rsid w:val="00B61F5A"/>
    <w:rsid w:val="00B6320E"/>
    <w:rsid w:val="00B6380F"/>
    <w:rsid w:val="00B6490D"/>
    <w:rsid w:val="00B6494D"/>
    <w:rsid w:val="00B64DA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0C99"/>
    <w:rsid w:val="00B81A88"/>
    <w:rsid w:val="00B8203B"/>
    <w:rsid w:val="00B87ADF"/>
    <w:rsid w:val="00B91EAF"/>
    <w:rsid w:val="00B92937"/>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1D29"/>
    <w:rsid w:val="00BE27C3"/>
    <w:rsid w:val="00BE628F"/>
    <w:rsid w:val="00BE67A0"/>
    <w:rsid w:val="00BE6ABC"/>
    <w:rsid w:val="00BE70BC"/>
    <w:rsid w:val="00BF00F3"/>
    <w:rsid w:val="00BF084F"/>
    <w:rsid w:val="00BF0E08"/>
    <w:rsid w:val="00BF1C6E"/>
    <w:rsid w:val="00BF37A6"/>
    <w:rsid w:val="00BF391D"/>
    <w:rsid w:val="00BF3B8C"/>
    <w:rsid w:val="00C00954"/>
    <w:rsid w:val="00C00997"/>
    <w:rsid w:val="00C01BD3"/>
    <w:rsid w:val="00C113F6"/>
    <w:rsid w:val="00C23138"/>
    <w:rsid w:val="00C24626"/>
    <w:rsid w:val="00C260CD"/>
    <w:rsid w:val="00C26390"/>
    <w:rsid w:val="00C26EA8"/>
    <w:rsid w:val="00C27918"/>
    <w:rsid w:val="00C307B5"/>
    <w:rsid w:val="00C31008"/>
    <w:rsid w:val="00C31DA7"/>
    <w:rsid w:val="00C31FCB"/>
    <w:rsid w:val="00C33066"/>
    <w:rsid w:val="00C33A64"/>
    <w:rsid w:val="00C37233"/>
    <w:rsid w:val="00C40DB0"/>
    <w:rsid w:val="00C40F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7022E"/>
    <w:rsid w:val="00C70E00"/>
    <w:rsid w:val="00C71F3C"/>
    <w:rsid w:val="00C71F7F"/>
    <w:rsid w:val="00C73DDF"/>
    <w:rsid w:val="00C7417D"/>
    <w:rsid w:val="00C83260"/>
    <w:rsid w:val="00C83967"/>
    <w:rsid w:val="00C8530C"/>
    <w:rsid w:val="00C93F92"/>
    <w:rsid w:val="00C94273"/>
    <w:rsid w:val="00C962D4"/>
    <w:rsid w:val="00CA2985"/>
    <w:rsid w:val="00CA2B22"/>
    <w:rsid w:val="00CA320E"/>
    <w:rsid w:val="00CA4AD1"/>
    <w:rsid w:val="00CA74DA"/>
    <w:rsid w:val="00CA7687"/>
    <w:rsid w:val="00CA7D84"/>
    <w:rsid w:val="00CB1B6A"/>
    <w:rsid w:val="00CB328B"/>
    <w:rsid w:val="00CB32AF"/>
    <w:rsid w:val="00CB4BB2"/>
    <w:rsid w:val="00CB5B92"/>
    <w:rsid w:val="00CC26B7"/>
    <w:rsid w:val="00CC6447"/>
    <w:rsid w:val="00CC6E1F"/>
    <w:rsid w:val="00CD1E4D"/>
    <w:rsid w:val="00CD2ADC"/>
    <w:rsid w:val="00CD3705"/>
    <w:rsid w:val="00CD3811"/>
    <w:rsid w:val="00CD672F"/>
    <w:rsid w:val="00CD7558"/>
    <w:rsid w:val="00CD77C0"/>
    <w:rsid w:val="00CE58D7"/>
    <w:rsid w:val="00CE5F34"/>
    <w:rsid w:val="00CE73F6"/>
    <w:rsid w:val="00CF2ABA"/>
    <w:rsid w:val="00CF3D40"/>
    <w:rsid w:val="00CF5B94"/>
    <w:rsid w:val="00D00ED0"/>
    <w:rsid w:val="00D0127D"/>
    <w:rsid w:val="00D03252"/>
    <w:rsid w:val="00D04C7A"/>
    <w:rsid w:val="00D06481"/>
    <w:rsid w:val="00D067A0"/>
    <w:rsid w:val="00D067A6"/>
    <w:rsid w:val="00D06D4B"/>
    <w:rsid w:val="00D10DFD"/>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3701C"/>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0DB0"/>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9C5"/>
    <w:rsid w:val="00D93BDE"/>
    <w:rsid w:val="00D94330"/>
    <w:rsid w:val="00D970A0"/>
    <w:rsid w:val="00D97363"/>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07083"/>
    <w:rsid w:val="00E109B4"/>
    <w:rsid w:val="00E124A6"/>
    <w:rsid w:val="00E144CB"/>
    <w:rsid w:val="00E148CB"/>
    <w:rsid w:val="00E1545C"/>
    <w:rsid w:val="00E16C44"/>
    <w:rsid w:val="00E200E0"/>
    <w:rsid w:val="00E2039C"/>
    <w:rsid w:val="00E2199A"/>
    <w:rsid w:val="00E23CA5"/>
    <w:rsid w:val="00E23FAD"/>
    <w:rsid w:val="00E24AD0"/>
    <w:rsid w:val="00E27376"/>
    <w:rsid w:val="00E31EB1"/>
    <w:rsid w:val="00E327E9"/>
    <w:rsid w:val="00E33AF8"/>
    <w:rsid w:val="00E34777"/>
    <w:rsid w:val="00E34FE4"/>
    <w:rsid w:val="00E35011"/>
    <w:rsid w:val="00E36916"/>
    <w:rsid w:val="00E415C0"/>
    <w:rsid w:val="00E4229D"/>
    <w:rsid w:val="00E43C14"/>
    <w:rsid w:val="00E43E4F"/>
    <w:rsid w:val="00E44CC6"/>
    <w:rsid w:val="00E45B93"/>
    <w:rsid w:val="00E51C4B"/>
    <w:rsid w:val="00E52F47"/>
    <w:rsid w:val="00E57638"/>
    <w:rsid w:val="00E606A5"/>
    <w:rsid w:val="00E61941"/>
    <w:rsid w:val="00E61E34"/>
    <w:rsid w:val="00E644DE"/>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69AF"/>
    <w:rsid w:val="00E87580"/>
    <w:rsid w:val="00E87D66"/>
    <w:rsid w:val="00E913DC"/>
    <w:rsid w:val="00E94688"/>
    <w:rsid w:val="00E95F7C"/>
    <w:rsid w:val="00E961B7"/>
    <w:rsid w:val="00EA0F49"/>
    <w:rsid w:val="00EA4532"/>
    <w:rsid w:val="00EA4CA8"/>
    <w:rsid w:val="00EA50F2"/>
    <w:rsid w:val="00EA5108"/>
    <w:rsid w:val="00EA712B"/>
    <w:rsid w:val="00EA75A4"/>
    <w:rsid w:val="00EB16FB"/>
    <w:rsid w:val="00EB18E4"/>
    <w:rsid w:val="00EB2671"/>
    <w:rsid w:val="00EB7CDB"/>
    <w:rsid w:val="00EC105A"/>
    <w:rsid w:val="00EC197C"/>
    <w:rsid w:val="00EC5E9C"/>
    <w:rsid w:val="00EC733C"/>
    <w:rsid w:val="00ED1C01"/>
    <w:rsid w:val="00ED1E62"/>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30E6"/>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3CF3"/>
    <w:rsid w:val="00F44FBF"/>
    <w:rsid w:val="00F45429"/>
    <w:rsid w:val="00F51DFE"/>
    <w:rsid w:val="00F5323C"/>
    <w:rsid w:val="00F53FBE"/>
    <w:rsid w:val="00F541C0"/>
    <w:rsid w:val="00F54392"/>
    <w:rsid w:val="00F552B4"/>
    <w:rsid w:val="00F6026A"/>
    <w:rsid w:val="00F60BFF"/>
    <w:rsid w:val="00F6137B"/>
    <w:rsid w:val="00F61BF3"/>
    <w:rsid w:val="00F61E44"/>
    <w:rsid w:val="00F62FFA"/>
    <w:rsid w:val="00F63219"/>
    <w:rsid w:val="00F634CC"/>
    <w:rsid w:val="00F63B75"/>
    <w:rsid w:val="00F63CC7"/>
    <w:rsid w:val="00F67BA5"/>
    <w:rsid w:val="00F67FB4"/>
    <w:rsid w:val="00F7111C"/>
    <w:rsid w:val="00F7115E"/>
    <w:rsid w:val="00F71FA9"/>
    <w:rsid w:val="00F72B40"/>
    <w:rsid w:val="00F737F5"/>
    <w:rsid w:val="00F73CD0"/>
    <w:rsid w:val="00F7674F"/>
    <w:rsid w:val="00F76D95"/>
    <w:rsid w:val="00F80282"/>
    <w:rsid w:val="00F81DEF"/>
    <w:rsid w:val="00F8561A"/>
    <w:rsid w:val="00F87D63"/>
    <w:rsid w:val="00F92BF4"/>
    <w:rsid w:val="00F9440D"/>
    <w:rsid w:val="00FA052C"/>
    <w:rsid w:val="00FA2F1A"/>
    <w:rsid w:val="00FA592D"/>
    <w:rsid w:val="00FA701D"/>
    <w:rsid w:val="00FA7F3B"/>
    <w:rsid w:val="00FB0C25"/>
    <w:rsid w:val="00FB1107"/>
    <w:rsid w:val="00FB25D3"/>
    <w:rsid w:val="00FB71E8"/>
    <w:rsid w:val="00FC0AF0"/>
    <w:rsid w:val="00FC1337"/>
    <w:rsid w:val="00FC53EC"/>
    <w:rsid w:val="00FC660D"/>
    <w:rsid w:val="00FC6FE4"/>
    <w:rsid w:val="00FC73F7"/>
    <w:rsid w:val="00FD104C"/>
    <w:rsid w:val="00FD27DE"/>
    <w:rsid w:val="00FD3503"/>
    <w:rsid w:val="00FD4541"/>
    <w:rsid w:val="00FD520A"/>
    <w:rsid w:val="00FD58A3"/>
    <w:rsid w:val="00FE25A0"/>
    <w:rsid w:val="00FE31F6"/>
    <w:rsid w:val="00FE3AD9"/>
    <w:rsid w:val="00FE4A55"/>
    <w:rsid w:val="00FE5696"/>
    <w:rsid w:val="00FE569B"/>
    <w:rsid w:val="00FE6F70"/>
    <w:rsid w:val="00FE6FA2"/>
    <w:rsid w:val="00FF04D0"/>
    <w:rsid w:val="00FF0536"/>
    <w:rsid w:val="00FF1174"/>
    <w:rsid w:val="00FF22C3"/>
    <w:rsid w:val="00FF2AD6"/>
    <w:rsid w:val="00FF2F89"/>
    <w:rsid w:val="00FF45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9E6AD0"/>
    <w:rPr>
      <w:b/>
      <w:bCs/>
    </w:rPr>
  </w:style>
  <w:style w:type="character" w:customStyle="1" w:styleId="apple-converted-space">
    <w:name w:val="apple-converted-space"/>
    <w:basedOn w:val="DefaultParagraphFont"/>
    <w:qFormat/>
    <w:rsid w:val="00E1545C"/>
  </w:style>
  <w:style w:type="paragraph" w:customStyle="1" w:styleId="xmsonormal">
    <w:name w:val="xmsonormal"/>
    <w:basedOn w:val="Normal"/>
    <w:uiPriority w:val="99"/>
    <w:rsid w:val="000F2537"/>
    <w:pPr>
      <w:spacing w:before="100" w:beforeAutospacing="1" w:after="100" w:afterAutospacing="1"/>
      <w:jc w:val="left"/>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DAF71ED2-9E56-48B5-BABF-FBE7A3C9C48E}">
  <ds:schemaRefs>
    <ds:schemaRef ds:uri="http://schemas.openxmlformats.org/officeDocument/2006/bibliography"/>
  </ds:schemaRefs>
</ds:datastoreItem>
</file>

<file path=customXml/itemProps3.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2404</Words>
  <Characters>13703</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2021-10-02T03:22:00Z</dcterms:created>
  <dcterms:modified xsi:type="dcterms:W3CDTF">2021-10-02T03:22:00Z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