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Heading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Specify 16-QAM for unicast in UL and DL, including necessary changes to DL power allocation for NPDSCH and D</w:t>
      </w:r>
      <w:r>
        <w:rPr>
          <w:rFonts w:eastAsia="DengXian"/>
          <w:i/>
          <w:lang w:eastAsia="zh-CN"/>
        </w:rPr>
        <w:t xml:space="preserve">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w:t>
      </w:r>
      <w:r>
        <w:rPr>
          <w:rFonts w:eastAsia="DengXian"/>
          <w:i/>
          <w:lang w:eastAsia="zh-CN"/>
        </w:rPr>
        <w:t>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w:t>
      </w:r>
      <w:r>
        <w:rPr>
          <w:lang w:eastAsia="zh-CN"/>
        </w:rPr>
        <w:t>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083E411" w14:textId="77777777" w:rsidR="00E206B0" w:rsidRDefault="006C1E89">
      <w:pPr>
        <w:pStyle w:val="Heading1"/>
        <w:rPr>
          <w:lang w:eastAsia="zh-CN"/>
        </w:rPr>
      </w:pPr>
      <w:r>
        <w:rPr>
          <w:lang w:eastAsia="zh-CN"/>
        </w:rPr>
        <w:t>Issues</w:t>
      </w:r>
    </w:p>
    <w:p w14:paraId="6083E412" w14:textId="77777777" w:rsidR="00E206B0" w:rsidRDefault="006C1E89">
      <w:pPr>
        <w:pStyle w:val="Heading2"/>
        <w:rPr>
          <w:lang w:eastAsia="zh-CN"/>
        </w:rPr>
      </w:pPr>
      <w:r>
        <w:rPr>
          <w:lang w:eastAsia="zh-CN"/>
        </w:rPr>
        <w:t>Applicability</w:t>
      </w:r>
    </w:p>
    <w:p w14:paraId="6083E413"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Applicability</w:t>
      </w:r>
    </w:p>
    <w:p w14:paraId="6083E414" w14:textId="77777777" w:rsidR="00E206B0" w:rsidRDefault="006C1E89">
      <w:r>
        <w:rPr>
          <w:rFonts w:hint="eastAsia"/>
        </w:rPr>
        <w:t xml:space="preserve">The </w:t>
      </w:r>
      <w:r>
        <w:t xml:space="preserve">following are </w:t>
      </w:r>
      <w:r>
        <w:t>proposed:</w:t>
      </w:r>
    </w:p>
    <w:tbl>
      <w:tblPr>
        <w:tblStyle w:val="TableGrid"/>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 xml:space="preserve">Proposal 10: For supporting 16-QAM in NPUSCH in PUR </w:t>
            </w:r>
            <w:r>
              <w:rPr>
                <w:b/>
                <w:bCs/>
                <w:lang w:eastAsia="en-GB"/>
              </w:rPr>
              <w:t>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w:t>
            </w:r>
            <w:r>
              <w:rPr>
                <w:b/>
                <w:bCs/>
              </w:rPr>
              <w:t xml:space="preserve">owing working assumption: </w:t>
            </w:r>
          </w:p>
          <w:p w14:paraId="6083E425"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lastRenderedPageBreak/>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lastRenderedPageBreak/>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 xml:space="preserve">Proposal 1: Support </w:t>
            </w:r>
            <w:r>
              <w:rPr>
                <w:b/>
                <w:sz w:val="20"/>
                <w:szCs w:val="20"/>
              </w:rPr>
              <w:t>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 xml:space="preserve">Proposal 1: Confirm the working assumption and propose not to support of 16-QAM for NPDSCH in PUR </w:t>
            </w:r>
            <w:r>
              <w:rPr>
                <w:b/>
                <w:bCs/>
                <w:i/>
                <w:iCs/>
                <w:sz w:val="20"/>
                <w:szCs w:val="20"/>
              </w:rPr>
              <w:t>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 xml:space="preserve">The “Support 16-QAM for NPUSCH in PUR procedure” is foreseen to be beneficial in some scenarios and straightforward to support, but for DL (i.e., FFS in the WA) the implications are different since it will require for </w:t>
            </w:r>
            <w:r>
              <w:rPr>
                <w:b/>
                <w:bCs/>
                <w:iCs/>
                <w:sz w:val="20"/>
                <w:szCs w:val="20"/>
              </w:rPr>
              <w:t>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w:t>
      </w:r>
      <w:r>
        <w:t>upport to confirm it, therefore, the following is proposed:</w:t>
      </w:r>
    </w:p>
    <w:p w14:paraId="6083E43A" w14:textId="77777777" w:rsidR="00E206B0" w:rsidRDefault="006C1E89">
      <w:pPr>
        <w:pStyle w:val="Caption"/>
        <w:jc w:val="left"/>
        <w:rPr>
          <w:sz w:val="22"/>
        </w:rPr>
      </w:pPr>
      <w:r>
        <w:rPr>
          <w:sz w:val="22"/>
        </w:rPr>
        <w:t>Proposal</w:t>
      </w:r>
      <w:r>
        <w:t xml:space="preserve"> </w:t>
      </w:r>
      <w:r>
        <w:fldChar w:fldCharType="begin"/>
      </w:r>
      <w:r>
        <w:instrText xml:space="preserve"> SEQ proposal \* ARABIC </w:instrText>
      </w:r>
      <w:r>
        <w:fldChar w:fldCharType="separate"/>
      </w:r>
      <w:r>
        <w:t>1</w:t>
      </w:r>
      <w:r>
        <w:fldChar w:fldCharType="end"/>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 xml:space="preserve">support of 16-QAM for NPDSCH in PUR </w:t>
      </w:r>
      <w:r>
        <w:rPr>
          <w:lang w:val="en-GB"/>
        </w:rPr>
        <w:t>procedure, companies (Huawei, HiSilicon, Nokia, NSB, MTK) propose to support 16-QAM for NPDSCH in PUR, and companies (QC, ZTE, Sanechips, Lenovo, Moto, Ericsson) propose to not support. As this has been discussed for several meeting, the following is propo</w:t>
      </w:r>
      <w:r>
        <w:rPr>
          <w:lang w:val="en-GB"/>
        </w:rPr>
        <w:t>sed to close this topic:</w:t>
      </w:r>
    </w:p>
    <w:p w14:paraId="6083E43E" w14:textId="77777777" w:rsidR="00E206B0" w:rsidRDefault="006C1E89">
      <w:pPr>
        <w:pStyle w:val="Caption"/>
        <w:jc w:val="left"/>
        <w:rPr>
          <w:sz w:val="22"/>
        </w:rPr>
      </w:pPr>
      <w:r>
        <w:rPr>
          <w:sz w:val="22"/>
        </w:rPr>
        <w:t>Proposal</w:t>
      </w:r>
      <w:r>
        <w:t xml:space="preserve"> </w:t>
      </w:r>
      <w:r>
        <w:fldChar w:fldCharType="begin"/>
      </w:r>
      <w:r>
        <w:instrText xml:space="preserve"> SEQ proposal \* ARABIC </w:instrText>
      </w:r>
      <w:r>
        <w:fldChar w:fldCharType="separate"/>
      </w:r>
      <w:r>
        <w:t>2</w:t>
      </w:r>
      <w:r>
        <w:fldChar w:fldCharType="end"/>
      </w:r>
      <w:r>
        <w:t xml:space="preserve">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w:t>
      </w:r>
      <w:r>
        <w:t>he configuration of PUR, therefore, the following is proposed:</w:t>
      </w:r>
    </w:p>
    <w:p w14:paraId="6083E440" w14:textId="77777777" w:rsidR="00E206B0" w:rsidRDefault="006C1E89">
      <w:pPr>
        <w:spacing w:after="0"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To support 16-QAM for NPUSCH in PUR procedure,</w:t>
      </w:r>
    </w:p>
    <w:p w14:paraId="6083E441" w14:textId="77777777" w:rsidR="00E206B0" w:rsidRDefault="006C1E89">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w:t>
            </w:r>
            <w:r>
              <w:rPr>
                <w:lang w:eastAsia="zh-CN"/>
              </w:rPr>
              <w:t>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ListParagraph"/>
              <w:numPr>
                <w:ilvl w:val="0"/>
                <w:numId w:val="14"/>
              </w:numPr>
            </w:pPr>
            <w:r>
              <w:t>Proposal 1: Ok with confirming the WA.</w:t>
            </w:r>
          </w:p>
          <w:p w14:paraId="6083E44C" w14:textId="77777777" w:rsidR="00E206B0" w:rsidRDefault="006C1E89">
            <w:pPr>
              <w:pStyle w:val="ListParagraph"/>
              <w:numPr>
                <w:ilvl w:val="0"/>
                <w:numId w:val="14"/>
              </w:numPr>
            </w:pPr>
            <w:r>
              <w:t>Proposal 2: OK.</w:t>
            </w:r>
          </w:p>
          <w:p w14:paraId="6083E44D" w14:textId="77777777" w:rsidR="00E206B0" w:rsidRDefault="006C1E89">
            <w:pPr>
              <w:pStyle w:val="ListParagraph"/>
              <w:numPr>
                <w:ilvl w:val="0"/>
                <w:numId w:val="14"/>
              </w:numPr>
            </w:pPr>
            <w:r>
              <w:t xml:space="preserve">Proposal 3: In our view, we can come back to it in a future session in case the WA in </w:t>
            </w:r>
            <w:r>
              <w:t>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lastRenderedPageBreak/>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 xml:space="preserve">For proposal3, we think there is no need to define the </w:t>
            </w:r>
            <w:r>
              <w:rPr>
                <w:rFonts w:hint="eastAsia"/>
                <w:szCs w:val="20"/>
                <w:lang w:eastAsia="zh-CN"/>
              </w:rPr>
              <w:t>parameter details. It can be up to RAN2 discussion.</w:t>
            </w:r>
          </w:p>
        </w:tc>
      </w:tr>
      <w:tr w:rsidR="00991C6A" w14:paraId="38F9AE96" w14:textId="77777777">
        <w:tc>
          <w:tcPr>
            <w:tcW w:w="1838" w:type="dxa"/>
          </w:tcPr>
          <w:p w14:paraId="602ABCF7" w14:textId="0FDC0E6C" w:rsidR="00991C6A" w:rsidRDefault="00991C6A">
            <w:pPr>
              <w:rPr>
                <w:rFonts w:hint="eastAsia"/>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rFonts w:hint="eastAsia"/>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bl>
    <w:p w14:paraId="6083E459" w14:textId="77777777" w:rsidR="00E206B0" w:rsidRDefault="00E206B0">
      <w:pPr>
        <w:rPr>
          <w:b/>
        </w:rPr>
      </w:pPr>
    </w:p>
    <w:p w14:paraId="6083E45A" w14:textId="77777777" w:rsidR="00E206B0" w:rsidRDefault="006C1E89">
      <w:pPr>
        <w:pStyle w:val="Heading2"/>
        <w:rPr>
          <w:lang w:eastAsia="zh-CN"/>
        </w:rPr>
      </w:pPr>
      <w:r>
        <w:rPr>
          <w:lang w:eastAsia="zh-CN"/>
        </w:rPr>
        <w:t>DCI</w:t>
      </w:r>
    </w:p>
    <w:p w14:paraId="6083E45B"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DCI design</w:t>
      </w:r>
    </w:p>
    <w:p w14:paraId="6083E45C"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operationmodeInf</w:t>
            </w:r>
            <w:r>
              <w:rPr>
                <w:b/>
                <w:i/>
              </w:rPr>
              <w:t xml:space="preserve">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 xml:space="preserve">The “Modulation and coding scheme” field in </w:t>
            </w:r>
            <w:r>
              <w:rPr>
                <w:bCs/>
                <w:sz w:val="20"/>
                <w:lang w:eastAsia="zh-CN"/>
              </w:rPr>
              <w:t>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w:t>
            </w:r>
            <w:r>
              <w:rPr>
                <w:bCs/>
                <w:sz w:val="20"/>
                <w:lang w:eastAsia="zh-CN"/>
              </w:rPr>
              <w:t xml:space="preserv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 xml:space="preserve">Proposal 1: UE can determine the deployment mode from the </w:t>
            </w:r>
            <w:r>
              <w:rPr>
                <w:b/>
                <w:bCs/>
                <w:lang w:eastAsia="en-GB"/>
              </w:rPr>
              <w:t>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the existing</w:t>
            </w:r>
            <w:r>
              <w:rPr>
                <w:rFonts w:hint="eastAsia"/>
                <w:b/>
                <w:bCs/>
                <w:i/>
                <w:iCs/>
                <w:sz w:val="20"/>
                <w:szCs w:val="20"/>
                <w:lang w:eastAsia="zh-CN"/>
              </w:rPr>
              <w:t xml:space="preserve">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lastRenderedPageBreak/>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 xml:space="preserve">For the “DCI Design for </w:t>
            </w:r>
            <w:r>
              <w:rPr>
                <w:b/>
                <w:sz w:val="20"/>
                <w:szCs w:val="20"/>
                <w:lang w:val="en-GB"/>
              </w:rPr>
              <w:t>DL”, there is an FFS on “How UE distinguishes the deployment”). During RAN1# 105-e it was mentioned that using the parameter “operationModeInfo” was sufficient to make the distinction between deployment modes, however it was pointed out that it only applie</w:t>
            </w:r>
            <w:r>
              <w:rPr>
                <w:b/>
                <w:sz w:val="20"/>
                <w:szCs w:val="20"/>
                <w:lang w:val="en-GB"/>
              </w:rPr>
              <w:t>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 xml:space="preserve">The </w:t>
            </w:r>
            <w:r>
              <w:rPr>
                <w:b/>
                <w:sz w:val="20"/>
                <w:szCs w:val="20"/>
                <w:lang w:val="en-GB"/>
              </w:rPr>
              <w:t>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w:t>
            </w:r>
            <w:r>
              <w:rPr>
                <w:b/>
                <w:sz w:val="20"/>
                <w:szCs w:val="20"/>
                <w:lang w:val="en-GB"/>
              </w:rPr>
              <w:t xml:space="preserv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w:t>
            </w:r>
            <w:r>
              <w:rPr>
                <w:b/>
                <w:sz w:val="20"/>
                <w:szCs w:val="20"/>
                <w:lang w:val="en-GB"/>
              </w:rPr>
              <w:t>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 xml:space="preserve">Most companies support to confirm the working assumption on indication of 16-QAM in uplink, </w:t>
      </w:r>
      <w:r>
        <w:t>therefore, the following is proposed:</w:t>
      </w:r>
    </w:p>
    <w:p w14:paraId="6083E489"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 xml:space="preserve">The “Modulation and coding scheme” field in DCI Format N0 is utilized as in legacy for </w:t>
      </w:r>
      <w:r>
        <w:rPr>
          <w:sz w:val="20"/>
          <w:szCs w:val="20"/>
          <w:lang w:val="en-GB" w:eastAsia="zh-CN"/>
        </w:rPr>
        <w:t>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w:t>
      </w:r>
      <w:r>
        <w:rPr>
          <w:rFonts w:ascii="Times" w:eastAsia="Batang" w:hAnsi="Times"/>
          <w:sz w:val="20"/>
          <w:szCs w:val="24"/>
          <w:lang w:val="en-GB"/>
        </w:rPr>
        <w: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w:t>
      </w:r>
      <w:r>
        <w:t>d:</w:t>
      </w:r>
    </w:p>
    <w:p w14:paraId="6083E491" w14:textId="77777777" w:rsidR="00E206B0" w:rsidRDefault="006C1E89">
      <w:pPr>
        <w:spacing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TableGrid"/>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w:t>
            </w:r>
            <w:r>
              <w:rPr>
                <w:rFonts w:hint="eastAsia"/>
                <w:szCs w:val="20"/>
              </w:rPr>
              <w:t>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lastRenderedPageBreak/>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ListParagraph"/>
              <w:numPr>
                <w:ilvl w:val="0"/>
                <w:numId w:val="14"/>
              </w:numPr>
            </w:pPr>
            <w:r>
              <w:t>Proposal 4: Ok with confirming the WA.</w:t>
            </w:r>
          </w:p>
          <w:p w14:paraId="6083E49C" w14:textId="77777777" w:rsidR="00E206B0" w:rsidRDefault="006C1E89">
            <w:pPr>
              <w:pStyle w:val="ListParagraph"/>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w:t>
            </w:r>
            <w:r>
              <w:rPr>
                <w:b/>
              </w:rPr>
              <w:t xml:space="preserve">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77777777" w:rsidR="00E206B0" w:rsidRDefault="006C1E89">
            <w:pPr>
              <w:rPr>
                <w:b/>
                <w:sz w:val="20"/>
                <w:szCs w:val="20"/>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TBS indices for IB and SA/GB should d</w:t>
            </w:r>
            <w:r>
              <w:rPr>
                <w:b/>
              </w:rPr>
              <w:t xml:space="preserve">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t>ZTE, Sanechips</w:t>
            </w:r>
          </w:p>
        </w:tc>
        <w:tc>
          <w:tcPr>
            <w:tcW w:w="7469" w:type="dxa"/>
          </w:tcPr>
          <w:p w14:paraId="6083E4A9" w14:textId="77777777" w:rsidR="00E206B0" w:rsidRDefault="006C1E89">
            <w:pPr>
              <w:rPr>
                <w:szCs w:val="20"/>
                <w:lang w:eastAsia="zh-CN"/>
              </w:rPr>
            </w:pPr>
            <w:r>
              <w:rPr>
                <w:rFonts w:hint="eastAsia"/>
                <w:szCs w:val="20"/>
                <w:lang w:eastAsia="zh-CN"/>
              </w:rPr>
              <w:t xml:space="preserve">For Proposal 4, we should wait for the conclusion of uplink power </w:t>
            </w:r>
            <w:r>
              <w:rPr>
                <w:rFonts w:hint="eastAsia"/>
                <w:szCs w:val="20"/>
                <w:lang w:eastAsia="zh-CN"/>
              </w:rPr>
              <w:t>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rFonts w:hint="eastAsia"/>
                <w:szCs w:val="20"/>
                <w:lang w:eastAsia="zh-CN"/>
              </w:rPr>
            </w:pPr>
            <w:r>
              <w:rPr>
                <w:szCs w:val="20"/>
                <w:lang w:eastAsia="zh-CN"/>
              </w:rPr>
              <w:t>Nokia, NSB</w:t>
            </w:r>
          </w:p>
        </w:tc>
        <w:tc>
          <w:tcPr>
            <w:tcW w:w="7469" w:type="dxa"/>
          </w:tcPr>
          <w:p w14:paraId="4CD6918D" w14:textId="483FED45" w:rsidR="00E06CB7" w:rsidRDefault="001C2AB7">
            <w:pPr>
              <w:rPr>
                <w:rFonts w:hint="eastAsia"/>
                <w:szCs w:val="20"/>
                <w:lang w:eastAsia="zh-CN"/>
              </w:rPr>
            </w:pPr>
            <w:r>
              <w:rPr>
                <w:szCs w:val="20"/>
                <w:lang w:eastAsia="zh-CN"/>
              </w:rPr>
              <w:t>We support proposal 4 and 5.</w:t>
            </w:r>
          </w:p>
        </w:tc>
      </w:tr>
    </w:tbl>
    <w:p w14:paraId="6083E4AC" w14:textId="77777777" w:rsidR="00E206B0" w:rsidRDefault="00E206B0"/>
    <w:p w14:paraId="6083E4AD" w14:textId="77777777" w:rsidR="00E206B0" w:rsidRDefault="00E206B0"/>
    <w:p w14:paraId="6083E4AE" w14:textId="77777777" w:rsidR="00E206B0" w:rsidRDefault="006C1E89">
      <w:pPr>
        <w:pStyle w:val="Heading2"/>
        <w:rPr>
          <w:lang w:eastAsia="zh-CN"/>
        </w:rPr>
      </w:pPr>
      <w:r>
        <w:rPr>
          <w:lang w:eastAsia="zh-CN"/>
        </w:rPr>
        <w:t>Power allocation and power control</w:t>
      </w:r>
    </w:p>
    <w:p w14:paraId="6083E4AF"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downlink power allocation</w:t>
      </w:r>
    </w:p>
    <w:p w14:paraId="6083E4B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 xml:space="preserve">For downlink power </w:t>
            </w:r>
            <w:r>
              <w:rPr>
                <w:rFonts w:eastAsia="Batang"/>
                <w:bCs/>
                <w:lang w:val="en-GB" w:eastAsia="zh-CN"/>
              </w:rPr>
              <w:t>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w:t>
            </w:r>
            <w:r>
              <w:rPr>
                <w:rFonts w:eastAsia="Batang"/>
                <w:bCs/>
                <w:lang w:val="en-GB" w:eastAsia="zh-CN"/>
              </w:rPr>
              <w:t>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lastRenderedPageBreak/>
              <w:t xml:space="preserve">Proposal 7: Support Alt-2 for in-band deployments in the DL power </w:t>
            </w:r>
            <w:r>
              <w:rPr>
                <w:b/>
                <w:bCs/>
                <w:szCs w:val="21"/>
                <w:lang w:eastAsia="zh-CN"/>
              </w:rPr>
              <w:t>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lastRenderedPageBreak/>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Proposal 7: For in-band deployment, select Alt 1 - the existing parameter nrs-CRS-PowerOffset is reus</w:t>
            </w:r>
            <w:r>
              <w:rPr>
                <w:b/>
                <w:bCs/>
              </w:rPr>
              <w:t xml:space="preserve">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Caption"/>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ListParagraph"/>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ListParagraph"/>
              <w:numPr>
                <w:ilvl w:val="1"/>
                <w:numId w:val="17"/>
              </w:numPr>
              <w:spacing w:line="240" w:lineRule="auto"/>
              <w:ind w:left="1800"/>
              <w:rPr>
                <w:rFonts w:cs="Times"/>
                <w:b/>
                <w:bCs/>
              </w:rPr>
            </w:pPr>
            <w:r>
              <w:rPr>
                <w:rFonts w:cs="Times"/>
                <w:b/>
                <w:bCs/>
              </w:rPr>
              <w:t xml:space="preserve">One power ratio is signaled </w:t>
            </w:r>
            <w:r>
              <w:rPr>
                <w:rFonts w:cs="Times"/>
                <w:b/>
                <w:bCs/>
              </w:rPr>
              <w:t>optionally</w:t>
            </w:r>
          </w:p>
          <w:p w14:paraId="6083E4CC" w14:textId="77777777" w:rsidR="00E206B0" w:rsidRDefault="006C1E89">
            <w:pPr>
              <w:pStyle w:val="ListParagraph"/>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ListParagraph"/>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ListParagraph"/>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ListParagraph"/>
              <w:numPr>
                <w:ilvl w:val="2"/>
                <w:numId w:val="17"/>
              </w:numPr>
              <w:spacing w:line="240" w:lineRule="auto"/>
              <w:ind w:left="2520"/>
              <w:rPr>
                <w:rFonts w:cs="Times"/>
                <w:b/>
                <w:bCs/>
              </w:rPr>
            </w:pPr>
            <w:r>
              <w:rPr>
                <w:rFonts w:cs="Times"/>
                <w:b/>
                <w:bCs/>
              </w:rPr>
              <w:t xml:space="preserve">i.e., the ratio of NPDSCH EPRE to NRS EPRE is 0dB for one NRS </w:t>
            </w:r>
            <w:r>
              <w:rPr>
                <w:rFonts w:cs="Times"/>
                <w:b/>
                <w:bCs/>
              </w:rPr>
              <w:t>antenna port, and -3dB for two NRS antenna ports</w:t>
            </w:r>
          </w:p>
          <w:p w14:paraId="6083E4D0" w14:textId="77777777" w:rsidR="00E206B0" w:rsidRDefault="006C1E89">
            <w:pPr>
              <w:pStyle w:val="ListParagraph"/>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w:t>
            </w:r>
            <w:r>
              <w:rPr>
                <w:b/>
                <w:bCs/>
                <w:lang w:eastAsia="zh-CN"/>
              </w:rPr>
              <w:t xml:space="preserve">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w:t>
            </w:r>
            <w:r>
              <w:rPr>
                <w:b/>
                <w:i/>
                <w:sz w:val="20"/>
                <w:szCs w:val="20"/>
                <w:lang w:eastAsia="zh-CN"/>
              </w:rPr>
              <w:t>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 xml:space="preserve">For the downlink power </w:t>
            </w:r>
            <w:r>
              <w:rPr>
                <w:b/>
                <w:bCs/>
                <w:lang w:val="en-GB"/>
              </w:rPr>
              <w:t xml:space="preserve">allocation to support 16-QAM in “In-band deployments”, Alt-2 is not different in terms of complexity, </w:t>
            </w:r>
            <w:r>
              <w:rPr>
                <w:b/>
                <w:bCs/>
                <w:lang w:val="en-GB"/>
              </w:rPr>
              <w:lastRenderedPageBreak/>
              <w:t>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 xml:space="preserve">For the downlink </w:t>
            </w:r>
            <w:r>
              <w:rPr>
                <w:b/>
                <w:bCs/>
                <w:lang w:val="en-GB"/>
              </w:rPr>
              <w:t>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w:t>
            </w:r>
            <w:r>
              <w:rPr>
                <w:b/>
                <w:bCs/>
                <w:lang w:val="en-GB"/>
              </w:rPr>
              <w:t>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w:t>
      </w:r>
      <w:r>
        <w:t>nd guardband deployments, most companies propose to confirm it. Therefore, the following is proposed:</w:t>
      </w:r>
    </w:p>
    <w:p w14:paraId="6083E4EC" w14:textId="77777777" w:rsidR="00E206B0" w:rsidRDefault="006C1E89">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 xml:space="preserve">For </w:t>
      </w:r>
      <w:r>
        <w:rPr>
          <w:rFonts w:cs="Times"/>
          <w:sz w:val="20"/>
          <w:szCs w:val="20"/>
          <w:lang w:val="en-GB" w:eastAsia="ja-JP"/>
        </w:rPr>
        <w:t>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 xml:space="preserve">If the signalling is not indicated, the legacy power </w:t>
      </w:r>
      <w:r>
        <w:rPr>
          <w:rFonts w:cs="Times"/>
          <w:sz w:val="20"/>
          <w:szCs w:val="20"/>
          <w:lang w:val="en-GB" w:eastAsia="ja-JP"/>
        </w:rPr>
        <w:t>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w:t>
      </w:r>
      <w:r>
        <w:t>,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xml:space="preserve">. As illustrated in the following figures, the CRS, NRS and NPDSCH are power boosted by 3dB compared to LTE PDSCH, i.e., the linear transmit power </w:t>
      </w:r>
      <w:r>
        <w:t>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Caption"/>
              <w:keepNext/>
            </w:pPr>
            <w:r>
              <w:t xml:space="preserve">Figure 2 Nominal power </w:t>
            </w:r>
            <w:r>
              <w:t>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TableGrid"/>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For In-band, in our unde</w:t>
            </w:r>
            <w:r>
              <w:rPr>
                <w:rFonts w:asciiTheme="minorHAnsi" w:hAnsiTheme="minorHAnsi" w:cstheme="minorHAnsi"/>
                <w:szCs w:val="20"/>
                <w:lang w:eastAsia="zh-CN"/>
              </w:rPr>
              <w:t>rstanding some companies seem to think that Alt-2 does not include the assumption on “The same transmit power of different symbols is assumed” and for that reason they seem to be leaning towards Alt-1, however, the assumption made for “Stand-alone and Guar</w:t>
            </w:r>
            <w:r>
              <w:rPr>
                <w:rFonts w:asciiTheme="minorHAnsi" w:hAnsiTheme="minorHAnsi" w:cstheme="minorHAnsi"/>
                <w:szCs w:val="20"/>
                <w:lang w:eastAsia="zh-CN"/>
              </w:rPr>
              <w:t>d-band” where “The same transmit power is assumed across different symbols” applies for in-band deployments indeed the agreement for In-band deployments already states how the signalling for stand-alone and guard-band (assumption included) is applied in th</w:t>
            </w:r>
            <w:r>
              <w:rPr>
                <w:rFonts w:asciiTheme="minorHAnsi" w:hAnsiTheme="minorHAnsi" w:cstheme="minorHAnsi"/>
                <w:szCs w:val="20"/>
                <w:lang w:eastAsia="zh-CN"/>
              </w:rPr>
              <w:t xml:space="preserve">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2" w:name="_Toc79006157"/>
            <w:r>
              <w:rPr>
                <w:b w:val="0"/>
                <w:bCs w:val="0"/>
              </w:rPr>
              <w:t xml:space="preserve">For the </w:t>
            </w:r>
            <w:r>
              <w:rPr>
                <w:b w:val="0"/>
                <w:bCs w:val="0"/>
              </w:rPr>
              <w:t>downlink power allocation to support 16-QAM in “In-band deployments”, Alt-2 is selected:</w:t>
            </w:r>
            <w:bookmarkEnd w:id="2"/>
          </w:p>
          <w:p w14:paraId="6083E5F2" w14:textId="77777777" w:rsidR="00E206B0" w:rsidRDefault="006C1E89">
            <w:pPr>
              <w:pStyle w:val="Proposal"/>
              <w:numPr>
                <w:ilvl w:val="0"/>
                <w:numId w:val="19"/>
              </w:numPr>
              <w:spacing w:line="240" w:lineRule="auto"/>
              <w:ind w:left="720"/>
              <w:rPr>
                <w:b w:val="0"/>
                <w:bCs w:val="0"/>
              </w:rPr>
            </w:pPr>
            <w:bookmarkStart w:id="3" w:name="_Toc79006158"/>
            <w:r>
              <w:rPr>
                <w:b w:val="0"/>
                <w:bCs w:val="0"/>
              </w:rPr>
              <w:t>The power ratio between NPDSCH EPRE and NRS EPRE in symbols with CRS is signaled.</w:t>
            </w:r>
            <w:bookmarkEnd w:id="3"/>
          </w:p>
          <w:p w14:paraId="6083E5F3" w14:textId="77777777" w:rsidR="00E206B0" w:rsidRDefault="006C1E89">
            <w:pPr>
              <w:pStyle w:val="Proposal"/>
              <w:numPr>
                <w:ilvl w:val="0"/>
                <w:numId w:val="19"/>
              </w:numPr>
              <w:spacing w:line="240" w:lineRule="auto"/>
              <w:ind w:left="720"/>
              <w:rPr>
                <w:b w:val="0"/>
                <w:bCs w:val="0"/>
              </w:rPr>
            </w:pPr>
            <w:bookmarkStart w:id="4" w:name="_Toc79006159"/>
            <w:r>
              <w:rPr>
                <w:b w:val="0"/>
                <w:bCs w:val="0"/>
              </w:rPr>
              <w:t>UE specific signaling is used</w:t>
            </w:r>
            <w:bookmarkEnd w:id="4"/>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w:t>
            </w:r>
            <w:r>
              <w:rPr>
                <w:szCs w:val="20"/>
                <w:lang w:eastAsia="zh-CN"/>
              </w:rPr>
              <w:t xml:space="preserve">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w:t>
            </w:r>
            <w:r>
              <w:rPr>
                <w:lang w:val="en-GB"/>
              </w:rPr>
              <w: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 xml:space="preserve">(agreed) </w:t>
            </w:r>
            <w:r>
              <w:rPr>
                <w:rFonts w:cs="Times" w:hint="eastAsia"/>
                <w:lang w:eastAsia="zh-CN"/>
              </w:rPr>
              <w:t>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bl>
    <w:p w14:paraId="6083E649" w14:textId="77777777" w:rsidR="00E206B0" w:rsidRDefault="00E206B0">
      <w:pPr>
        <w:autoSpaceDE/>
        <w:autoSpaceDN/>
        <w:adjustRightInd/>
        <w:snapToGrid/>
        <w:spacing w:after="0"/>
        <w:rPr>
          <w:b/>
          <w:szCs w:val="21"/>
          <w:lang w:eastAsia="zh-CN"/>
        </w:rPr>
      </w:pPr>
    </w:p>
    <w:p w14:paraId="6083E64A"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uplink power control</w:t>
      </w:r>
    </w:p>
    <w:p w14:paraId="6083E64B" w14:textId="77777777" w:rsidR="00E206B0" w:rsidRDefault="006C1E89">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lastRenderedPageBreak/>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ListParagraph"/>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m:t>
              </m:r>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m:t>
                      </m:r>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is introd</w:t>
            </w:r>
            <w:r>
              <w:rPr>
                <w:b/>
                <w:bCs/>
                <w:lang w:eastAsia="en-GB"/>
              </w:rPr>
              <w:t xml:space="preserve">uced in the uplink power control as follows </w:t>
            </w:r>
          </w:p>
          <w:p w14:paraId="6083E656" w14:textId="77777777" w:rsidR="00E206B0" w:rsidRDefault="006C1E89">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m:t>
              </m:r>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 xml:space="preserve">For uplink power control, a TPC command could be introduced in DCI format N0 to </w:t>
            </w:r>
            <w:r>
              <w:rPr>
                <w:rFonts w:hint="eastAsia"/>
                <w:b/>
                <w:bCs/>
                <w:i/>
                <w:sz w:val="20"/>
                <w:szCs w:val="20"/>
                <w:lang w:eastAsia="zh-CN"/>
              </w:rPr>
              <w:t>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t>[</w:t>
            </w:r>
            <w:r>
              <w:rPr>
                <w:szCs w:val="20"/>
                <w:lang w:val="en-GB"/>
              </w:rPr>
              <w:t>8]</w:t>
            </w:r>
          </w:p>
        </w:tc>
        <w:tc>
          <w:tcPr>
            <w:tcW w:w="7469" w:type="dxa"/>
          </w:tcPr>
          <w:p w14:paraId="6083E66B" w14:textId="77777777" w:rsidR="00E206B0" w:rsidRDefault="006C1E89">
            <w:pPr>
              <w:rPr>
                <w:b/>
                <w:sz w:val="20"/>
                <w:szCs w:val="20"/>
              </w:rPr>
            </w:pPr>
            <w:r>
              <w:rPr>
                <w:b/>
                <w:sz w:val="20"/>
                <w:szCs w:val="20"/>
              </w:rPr>
              <w:t xml:space="preserve">Observation 9 In LTE, the term ΔTF in the power </w:t>
            </w:r>
            <w:r>
              <w:rPr>
                <w:b/>
                <w:sz w:val="20"/>
                <w:szCs w:val="20"/>
              </w:rPr>
              <w:t>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w:t>
            </w:r>
            <w:r>
              <w:rPr>
                <w:b/>
                <w:sz w:val="20"/>
                <w:szCs w:val="20"/>
              </w:rPr>
              <w:t>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5" w:name="_Toc77278447"/>
            <w:bookmarkStart w:id="6" w:name="_Toc79006166"/>
            <w:r>
              <w:t>Alt-1: For 16-QAM in UL based on a simplifi</w:t>
            </w:r>
            <w:r>
              <w:t>ed equation of legacy LTE, we define Δ</w:t>
            </w:r>
            <w:r>
              <w:rPr>
                <w:vertAlign w:val="subscript"/>
              </w:rPr>
              <w:t>TF</w:t>
            </w:r>
            <w:bookmarkEnd w:id="5"/>
            <w:bookmarkEnd w:id="6"/>
            <w:r>
              <w:t xml:space="preserve"> as follows:</w:t>
            </w:r>
          </w:p>
          <w:p w14:paraId="6083E66F" w14:textId="77777777" w:rsidR="00E206B0" w:rsidRDefault="006C1E89">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m:t>
                          </m:r>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m:t>
                          </m:r>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lastRenderedPageBreak/>
              <w:t>Δ</w:t>
            </w:r>
            <w:r>
              <w:rPr>
                <w:b/>
                <w:sz w:val="20"/>
                <w:szCs w:val="20"/>
              </w:rPr>
              <w:t>TF is provided by a HL parameter referri</w:t>
            </w:r>
            <w:r>
              <w:rPr>
                <w:b/>
                <w:sz w:val="20"/>
                <w:szCs w:val="20"/>
              </w:rPr>
              <w:t>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 xml:space="preserve">power control equation, and there are </w:t>
      </w:r>
      <w:r>
        <w:t>following options for the determination of the new term:</w:t>
      </w:r>
    </w:p>
    <w:p w14:paraId="6083E677" w14:textId="77777777" w:rsidR="00E206B0" w:rsidRDefault="006C1E89">
      <w:pPr>
        <w:pStyle w:val="ListParagraph"/>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m:t>
                </m:r>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m:t>
        </m:r>
        <m:r>
          <w:rPr>
            <w:rFonts w:ascii="Cambria Math" w:hAnsi="Cambria Math" w:cs="Times New Roman"/>
            <w:sz w:val="22"/>
            <w:szCs w:val="22"/>
          </w:rPr>
          <m:t>R</m:t>
        </m:r>
        <m:r>
          <w:rPr>
            <w:rFonts w:ascii="Cambria Math" w:hAnsi="Cambria Math" w:cs="Times New Roman"/>
            <w:sz w:val="22"/>
            <w:szCs w:val="22"/>
          </w:rPr>
          <m:t>E</m:t>
        </m:r>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6C1E89">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79" w14:textId="77777777" w:rsidR="00E206B0" w:rsidRDefault="006C1E89">
      <w:pPr>
        <w:pStyle w:val="ListParagraph"/>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6C1E89">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7B" w14:textId="77777777" w:rsidR="00E206B0" w:rsidRDefault="006C1E89">
      <w:pPr>
        <w:pStyle w:val="ListParagraph"/>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m:t>
                                </m:r>
                                <m:r>
                                  <w:rPr>
                                    <w:rFonts w:ascii="Cambria Math" w:hAnsi="Cambria Math" w:cs="Times New Roman"/>
                                    <w:sz w:val="20"/>
                                    <w:szCs w:val="20"/>
                                    <w:lang w:eastAsia="ja-JP"/>
                                  </w:rPr>
                                  <m:t>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w:t>
      </w:r>
      <w:r>
        <w:rPr>
          <w:rFonts w:ascii="Times New Roman" w:hAnsi="Times New Roman" w:cs="Times New Roman"/>
          <w:bCs/>
          <w:sz w:val="20"/>
          <w:szCs w:val="20"/>
          <w:lang w:eastAsia="ja-JP"/>
        </w:rPr>
        <w:t xml:space="preserve">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77777777" w:rsidR="00E206B0" w:rsidRDefault="006C1E89">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m:t>
                </m:r>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w:t>
      </w:r>
      <w:r>
        <w:rPr>
          <w:rFonts w:ascii="Times New Roman" w:hAnsi="Times New Roman" w:cs="Times New Roman" w:hint="eastAsia"/>
          <w:sz w:val="22"/>
          <w:szCs w:val="22"/>
        </w:rPr>
        <w:t xml:space="preserve">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ListParagraph"/>
        <w:numPr>
          <w:ilvl w:val="0"/>
          <w:numId w:val="22"/>
        </w:numPr>
      </w:pPr>
      <w:r>
        <w:rPr>
          <w:rFonts w:ascii="Times New Roman" w:hAnsi="Times New Roman" w:cs="Times New Roman"/>
          <w:sz w:val="22"/>
        </w:rPr>
        <w:t>Option 3: A TPC command is introduce to indicate the power offset for</w:t>
      </w:r>
      <w:r>
        <w:rPr>
          <w:rFonts w:ascii="Times New Roman" w:hAnsi="Times New Roman" w:cs="Times New Roman"/>
          <w:sz w:val="22"/>
        </w:rPr>
        <w:t xml:space="preserve"> NPUSCH with 16-QAM.</w:t>
      </w:r>
    </w:p>
    <w:p w14:paraId="6083E681" w14:textId="77777777" w:rsidR="00E206B0" w:rsidRDefault="006C1E89">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ListParagraph"/>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m:t>
                                </m:r>
                                <m:r>
                                  <w:rPr>
                                    <w:rFonts w:ascii="Cambria Math" w:hAnsi="Cambria Math" w:cs="Times New Roman"/>
                                    <w:sz w:val="20"/>
                                    <w:szCs w:val="20"/>
                                    <w:lang w:eastAsia="ja-JP"/>
                                  </w:rPr>
                                  <m:t>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m:t>
                    </m:r>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w:t>
            </w:r>
            <w:r>
              <w:rPr>
                <w:rFonts w:asciiTheme="minorHAnsi" w:hAnsiTheme="minorHAnsi" w:cstheme="minorHAnsi"/>
                <w:szCs w:val="20"/>
                <w:lang w:eastAsia="zh-CN"/>
              </w:rPr>
              <w: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w:t>
            </w:r>
            <w:r>
              <w:rPr>
                <w:rFonts w:asciiTheme="minorHAnsi" w:hAnsiTheme="minorHAnsi" w:cstheme="minorHAnsi"/>
                <w:szCs w:val="20"/>
              </w:rPr>
              <w:t>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ListParagraph"/>
              <w:rPr>
                <w:rFonts w:ascii="Times New Roman" w:hAnsi="Times New Roman"/>
                <w:sz w:val="20"/>
                <w:szCs w:val="20"/>
                <w:lang w:val="en-GB" w:eastAsia="ja-JP"/>
              </w:rPr>
            </w:pPr>
          </w:p>
          <w:p w14:paraId="6083E690" w14:textId="77777777" w:rsidR="00E206B0" w:rsidRDefault="006C1E89">
            <w:pPr>
              <w:ind w:left="720"/>
              <w:rPr>
                <w:lang w:val="sv-SE"/>
              </w:rPr>
            </w:pPr>
            <w:r>
              <w:rPr>
                <w:lang w:val="sv-SE"/>
              </w:rPr>
              <w:lastRenderedPageBreak/>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m:t>
                      </m:r>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m:t>
                      </m:r>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m:t>
                      </m:r>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w:t>
            </w:r>
            <w:r>
              <w:t>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 xml:space="preserve">e are OK with proposal 7 and support option 1, since it is </w:t>
            </w:r>
            <w:r>
              <w:t>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Agree with Proposal 7 and support option3. A TPC command can provide flexible power control. Because the CQI is report ed by MAC CE and NB-IoT UE is a kin</w:t>
            </w:r>
            <w:r>
              <w:rPr>
                <w:rFonts w:asciiTheme="minorHAnsi" w:hAnsiTheme="minorHAnsi" w:cstheme="minorHAnsi" w:hint="eastAsia"/>
                <w:szCs w:val="20"/>
                <w:lang w:eastAsia="zh-CN"/>
              </w:rPr>
              <w:t xml:space="preserve">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Heading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77777777" w:rsidR="00E206B0" w:rsidRDefault="006C1E89">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Channel quality reporting</w:t>
      </w:r>
    </w:p>
    <w:p w14:paraId="6083E6A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More th</w:t>
            </w:r>
            <w:r>
              <w:rPr>
                <w:b/>
                <w:bCs/>
              </w:rPr>
              <w:t xml:space="preserve">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w:t>
            </w:r>
            <w:r>
              <w:rPr>
                <w:b/>
                <w:bCs/>
              </w:rPr>
              <w:t>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w:t>
            </w:r>
            <w:r>
              <w:rPr>
                <w:b/>
                <w:bCs/>
                <w:lang w:eastAsia="zh-CN"/>
              </w:rPr>
              <w:t xml:space="preserve">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lastRenderedPageBreak/>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w:t>
            </w:r>
            <w:r>
              <w:rPr>
                <w:rFonts w:hint="eastAsia"/>
                <w:b/>
                <w:bCs/>
                <w:i/>
                <w:iCs/>
                <w:kern w:val="2"/>
                <w:sz w:val="20"/>
                <w:szCs w:val="20"/>
                <w:lang w:eastAsia="zh-CN"/>
              </w:rPr>
              <w:t xml:space="preserve">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lastRenderedPageBreak/>
              <w:t>[</w:t>
            </w:r>
            <w:r>
              <w:rPr>
                <w:szCs w:val="20"/>
              </w:rPr>
              <w:t>6]</w:t>
            </w:r>
          </w:p>
        </w:tc>
        <w:tc>
          <w:tcPr>
            <w:tcW w:w="7469" w:type="dxa"/>
          </w:tcPr>
          <w:p w14:paraId="6083E6BD" w14:textId="77777777" w:rsidR="00E206B0" w:rsidRDefault="006C1E89">
            <w:pPr>
              <w:rPr>
                <w:sz w:val="20"/>
                <w:szCs w:val="20"/>
              </w:rPr>
            </w:pPr>
            <w:r>
              <w:rPr>
                <w:b/>
                <w:sz w:val="20"/>
                <w:szCs w:val="20"/>
              </w:rPr>
              <w:t>Proposal 4: Support ch</w:t>
            </w:r>
            <w:r>
              <w:rPr>
                <w:b/>
                <w:sz w:val="20"/>
                <w:szCs w:val="20"/>
              </w:rPr>
              <w:t>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w:t>
            </w:r>
            <w:r>
              <w:rPr>
                <w:b/>
                <w:i/>
                <w:sz w:val="20"/>
                <w:szCs w:val="20"/>
              </w:rPr>
              <w:t xml:space="preserve">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 xml:space="preserve">The legacy CQI mapping table in TS 36.133 clause 9.1.22.15 currently uses 13 out of 16 entries, hence the three unused fields could be </w:t>
            </w:r>
            <w:r>
              <w:rPr>
                <w:b/>
                <w:sz w:val="20"/>
                <w:szCs w:val="20"/>
              </w:rPr>
              <w:t>utilized to incorporate the channel quality reporting for 16-QAM in DL.</w:t>
            </w:r>
          </w:p>
          <w:p w14:paraId="6083E6C9" w14:textId="77777777" w:rsidR="00E206B0" w:rsidRDefault="006C1E89">
            <w:pPr>
              <w:rPr>
                <w:b/>
                <w:sz w:val="20"/>
                <w:szCs w:val="20"/>
              </w:rPr>
            </w:pPr>
            <w:r>
              <w:rPr>
                <w:b/>
                <w:sz w:val="20"/>
                <w:szCs w:val="20"/>
              </w:rPr>
              <w:t>Observation 3</w:t>
            </w:r>
            <w:r>
              <w:rPr>
                <w:b/>
                <w:sz w:val="20"/>
                <w:szCs w:val="20"/>
              </w:rPr>
              <w:tab/>
              <w:t>For the TBS/MCS table for DL, the step-size between ITBS indices is in most cases smaller than 1dB, which is a level of granularity that might be unfeasible from a measur</w:t>
            </w:r>
            <w:r>
              <w:rPr>
                <w:b/>
                <w:sz w:val="20"/>
                <w:szCs w:val="20"/>
              </w:rPr>
              <w:t xml:space="preserve">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 xml:space="preserve">In Rel-17, the full range of ITBS indices (14 to 21 and 11 to 17 depending </w:t>
            </w:r>
            <w:r>
              <w:rPr>
                <w:b/>
                <w:sz w:val="20"/>
                <w:szCs w:val="20"/>
              </w:rPr>
              <w:t>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w:t>
            </w:r>
            <w:r>
              <w:rPr>
                <w:b/>
                <w:sz w:val="20"/>
                <w:szCs w:val="20"/>
              </w:rPr>
              <w:t>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lastRenderedPageBreak/>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Default="006C1E89">
                  <w:pPr>
                    <w:keepNext/>
                    <w:keepLines/>
                    <w:overflowPunct w:val="0"/>
                    <w:snapToGrid/>
                    <w:spacing w:after="0" w:line="240" w:lineRule="auto"/>
                    <w:jc w:val="center"/>
                    <w:textAlignment w:val="baseline"/>
                    <w:rPr>
                      <w:rFonts w:ascii="Arial" w:hAnsi="Arial"/>
                      <w:b/>
                      <w:sz w:val="20"/>
                      <w:szCs w:val="20"/>
                      <w:lang w:val="zh-CN" w:eastAsia="sv-SE"/>
                    </w:rPr>
                  </w:pPr>
                  <w:r>
                    <w:rPr>
                      <w:rFonts w:ascii="Arial" w:hAnsi="Arial"/>
                      <w:b/>
                      <w:sz w:val="18"/>
                      <w:szCs w:val="20"/>
                      <w:lang w:val="zh-CN" w:eastAsia="zh-CN"/>
                    </w:rPr>
                    <w:t xml:space="preserve">16-QAM CQI index with </w:t>
                  </w:r>
                  <w:r>
                    <w:rPr>
                      <w:rFonts w:ascii="Arial" w:hAnsi="Arial"/>
                      <w:b/>
                      <w:sz w:val="18"/>
                      <w:szCs w:val="20"/>
                      <w:lang w:eastAsia="zh-CN"/>
                    </w:rPr>
                    <w:t xml:space="preserve">NPDSCH </w:t>
                  </w:r>
                  <w:r>
                    <w:rPr>
                      <w:rFonts w:ascii="Arial" w:hAnsi="Arial"/>
                      <w:b/>
                      <w:sz w:val="18"/>
                      <w:szCs w:val="20"/>
                      <w:lang w:val="zh-CN"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Default="006C1E89">
                  <w:pPr>
                    <w:keepNext/>
                    <w:keepLines/>
                    <w:overflowPunct w:val="0"/>
                    <w:snapToGrid/>
                    <w:spacing w:after="0" w:line="240" w:lineRule="auto"/>
                    <w:jc w:val="center"/>
                    <w:textAlignment w:val="baseline"/>
                    <w:rPr>
                      <w:rFonts w:ascii="Arial" w:hAnsi="Arial" w:cs="Arial"/>
                      <w:b/>
                      <w:sz w:val="18"/>
                      <w:szCs w:val="18"/>
                      <w:lang w:val="zh-CN"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 xml:space="preserve">For the DL channel quality report there is an “FFS on </w:t>
            </w:r>
            <w:r>
              <w:rPr>
                <w:b/>
                <w:sz w:val="20"/>
                <w:szCs w:val="20"/>
              </w:rPr>
              <w:t>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 xml:space="preserve">For the support of 16-QAM in DL the legacy is followed and the “DL channel quality in Msg3 in </w:t>
            </w:r>
            <w:r>
              <w:rPr>
                <w:b/>
                <w:sz w:val="20"/>
                <w:szCs w:val="20"/>
              </w:rPr>
              <w:t>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xml:space="preserve"> (conclusion): The channel quality report is not supported in Ms</w:t>
      </w:r>
      <w:r>
        <w:rPr>
          <w:b/>
        </w:rPr>
        <w:t>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w:t>
      </w:r>
      <w:r>
        <w:t>oncerns to support option 1 include: limited number of MCS entries for 16-QAM for efficient CQI reporting, “dB” step size granularity, increased size of legacy table, no backward compatible, and more UE complexity on hypothetical decoding of both NPDCCH an</w:t>
      </w:r>
      <w:r>
        <w:t>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t>Th</w:t>
      </w:r>
      <w:r>
        <w:rPr>
          <w:rFonts w:hint="eastAsia"/>
        </w:rPr>
        <w:t xml:space="preserve">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w:t>
      </w:r>
      <w:r>
        <w:t>ed on majority view:</w:t>
      </w:r>
    </w:p>
    <w:p w14:paraId="6083E6FF" w14:textId="77777777" w:rsidR="00E206B0" w:rsidRDefault="006C1E89">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lastRenderedPageBreak/>
              <w:t xml:space="preserve">Huawei, </w:t>
            </w:r>
            <w:r>
              <w:t>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ListParagraph"/>
              <w:numPr>
                <w:ilvl w:val="0"/>
                <w:numId w:val="14"/>
              </w:numPr>
            </w:pPr>
            <w:r>
              <w:t>Proposal 8: Ok.</w:t>
            </w:r>
          </w:p>
          <w:p w14:paraId="6083E709" w14:textId="77777777" w:rsidR="00E206B0" w:rsidRDefault="006C1E89">
            <w:pPr>
              <w:pStyle w:val="ListParagraph"/>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 xml:space="preserve">or proposal 9, we </w:t>
            </w:r>
            <w:r>
              <w:rPr>
                <w:szCs w:val="20"/>
                <w:lang w:eastAsia="zh-CN"/>
              </w:rPr>
              <w:t>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Specify 16-QAM for unicast in UL and DL, including necessary changes to</w:t>
            </w:r>
            <w:r>
              <w:rPr>
                <w:rFonts w:ascii="Times New Roman" w:eastAsia="DengXian" w:hAnsi="Times New Roman"/>
                <w:sz w:val="20"/>
                <w:szCs w:val="20"/>
              </w:rPr>
              <w:t xml:space="preserve">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w:t>
            </w:r>
            <w:r>
              <w:rPr>
                <w:rFonts w:ascii="Times New Roman" w:hAnsi="Times New Roman"/>
                <w:sz w:val="20"/>
                <w:szCs w:val="20"/>
              </w:rPr>
              <w:t xml:space="preserve"> the maximum TBS is not increased.</w:t>
            </w:r>
            <w:r>
              <w:rPr>
                <w:rFonts w:ascii="Times New Roman" w:eastAsia="DengXian" w:hAnsi="Times New Roman"/>
                <w:sz w:val="20"/>
                <w:szCs w:val="20"/>
              </w:rPr>
              <w:t xml:space="preserve"> [NB-IoT] [RAN1, RAN4]</w:t>
            </w:r>
          </w:p>
          <w:p w14:paraId="6083E710" w14:textId="77777777" w:rsidR="00E206B0" w:rsidRDefault="006C1E89">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 xml:space="preserve">Agree with Proposal </w:t>
            </w:r>
            <w:r>
              <w:rPr>
                <w:rFonts w:hint="eastAsia"/>
                <w:szCs w:val="20"/>
                <w:lang w:eastAsia="zh-CN"/>
              </w:rPr>
              <w:t>8 and 9.</w:t>
            </w:r>
          </w:p>
        </w:tc>
      </w:tr>
      <w:tr w:rsidR="003E71BF" w14:paraId="10CE0EFA" w14:textId="77777777">
        <w:tc>
          <w:tcPr>
            <w:tcW w:w="1838" w:type="dxa"/>
          </w:tcPr>
          <w:p w14:paraId="6003812C" w14:textId="0E1E9825" w:rsidR="003E71BF" w:rsidRDefault="003E71BF">
            <w:pPr>
              <w:rPr>
                <w:rFonts w:hint="eastAsia"/>
                <w:szCs w:val="20"/>
                <w:lang w:eastAsia="zh-CN"/>
              </w:rPr>
            </w:pPr>
            <w:r>
              <w:rPr>
                <w:szCs w:val="20"/>
                <w:lang w:eastAsia="zh-CN"/>
              </w:rPr>
              <w:t>Nokia, NSB</w:t>
            </w:r>
          </w:p>
        </w:tc>
        <w:tc>
          <w:tcPr>
            <w:tcW w:w="7469" w:type="dxa"/>
          </w:tcPr>
          <w:p w14:paraId="017F6EE6" w14:textId="1AF4103B" w:rsidR="003E71BF" w:rsidRDefault="00CA512C">
            <w:pPr>
              <w:tabs>
                <w:tab w:val="left" w:pos="3130"/>
              </w:tabs>
              <w:rPr>
                <w:rFonts w:hint="eastAsia"/>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Heading2"/>
        <w:rPr>
          <w:lang w:eastAsia="zh-CN"/>
        </w:rPr>
      </w:pPr>
      <w:r>
        <w:rPr>
          <w:lang w:eastAsia="zh-CN"/>
        </w:rPr>
        <w:t>Others</w:t>
      </w:r>
    </w:p>
    <w:p w14:paraId="6083E71B" w14:textId="77777777" w:rsidR="00E206B0" w:rsidRDefault="006C1E89">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6083E71C" w14:textId="77777777" w:rsidR="00E206B0" w:rsidRDefault="006C1E89">
      <w:r>
        <w:t>There are also other proposals as below:</w:t>
      </w:r>
    </w:p>
    <w:tbl>
      <w:tblPr>
        <w:tblStyle w:val="TableGrid"/>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 xml:space="preserve">Proposal 9: For NB-IoT UE with 16QAM, double RU number should be considered to improve the performance for some QPSK entries with the repetition number reduced </w:t>
            </w:r>
            <w:r>
              <w:rPr>
                <w:rFonts w:hint="eastAsia"/>
                <w:b/>
                <w:bCs/>
                <w:i/>
                <w:iCs/>
                <w:sz w:val="20"/>
                <w:szCs w:val="20"/>
                <w:lang w:eastAsia="zh-CN"/>
              </w:rPr>
              <w:t>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 xml:space="preserve">The WI on “Additional enhancements for NB-IoT and LTE-MTC” is </w:t>
            </w:r>
            <w:r>
              <w:rPr>
                <w:rFonts w:ascii="Arial" w:hAnsi="Arial"/>
                <w:b/>
                <w:bCs/>
                <w:sz w:val="20"/>
                <w:szCs w:val="20"/>
                <w:lang w:eastAsia="ja-JP"/>
              </w:rPr>
              <w:t>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lastRenderedPageBreak/>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w:t>
            </w:r>
            <w:r>
              <w:rPr>
                <w:rFonts w:ascii="Arial" w:hAnsi="Arial"/>
                <w:b/>
                <w:bCs/>
                <w:sz w:val="20"/>
                <w:szCs w:val="20"/>
                <w:lang w:eastAsia="ja-JP"/>
              </w:rPr>
              <w:t xml:space="preserve">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w:t>
            </w:r>
            <w:r>
              <w:rPr>
                <w:szCs w:val="20"/>
              </w:rPr>
              <w:t xml:space="preserve">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Caption"/>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reduced half improve performance more than 2 dB. Therefore, for NB-IoT UE with 16QAM, doub</w:t>
            </w:r>
            <w:r>
              <w:rPr>
                <w:rFonts w:eastAsia="SimSun" w:hint="eastAsia"/>
                <w:b w:val="0"/>
                <w:bCs w:val="0"/>
                <w:szCs w:val="20"/>
              </w:rPr>
              <w:t>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Heading1"/>
      </w:pPr>
      <w:r>
        <w:rPr>
          <w:rFonts w:hint="eastAsia"/>
          <w:lang w:eastAsia="zh-CN"/>
        </w:rPr>
        <w:t>Summary</w:t>
      </w:r>
    </w:p>
    <w:p w14:paraId="6083E741" w14:textId="77777777" w:rsidR="00E206B0" w:rsidRDefault="00E206B0"/>
    <w:p w14:paraId="6083E742" w14:textId="77777777" w:rsidR="00E206B0" w:rsidRDefault="006C1E89">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ListParagraph"/>
        <w:numPr>
          <w:ilvl w:val="0"/>
          <w:numId w:val="24"/>
        </w:numPr>
        <w:spacing w:after="60"/>
        <w:rPr>
          <w:rFonts w:ascii="Times New Roman" w:hAnsi="Times New Roman" w:cs="Times New Roman"/>
          <w:sz w:val="22"/>
        </w:rPr>
      </w:pPr>
      <w:bookmarkStart w:id="7" w:name="_Ref520312828"/>
      <w:r>
        <w:rPr>
          <w:rFonts w:ascii="Times New Roman" w:hAnsi="Times New Roman" w:cs="Times New Roman"/>
          <w:sz w:val="22"/>
        </w:rPr>
        <w:t xml:space="preserve">RP-211340, “WID revision: Additional enhancements for NB-IoT and LTE-MTC”, </w:t>
      </w:r>
      <w:bookmarkEnd w:id="7"/>
      <w:r>
        <w:rPr>
          <w:rFonts w:ascii="Times New Roman" w:hAnsi="Times New Roman" w:cs="Times New Roman"/>
          <w:sz w:val="22"/>
        </w:rPr>
        <w:t>Huawei, HiSilicon, RAN#92e, E-m</w:t>
      </w:r>
      <w:r>
        <w:rPr>
          <w:rFonts w:ascii="Times New Roman" w:hAnsi="Times New Roman" w:cs="Times New Roman"/>
          <w:sz w:val="22"/>
        </w:rPr>
        <w:t>eeting, June 2021.</w:t>
      </w:r>
    </w:p>
    <w:p w14:paraId="6083E744"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t>ZTE, Sanechips</w:t>
      </w:r>
    </w:p>
    <w:p w14:paraId="6083E748"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sectPr w:rsidR="00E206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E753" w14:textId="77777777" w:rsidR="00E206B0" w:rsidRDefault="00E206B0"/>
  </w:endnote>
  <w:endnote w:type="continuationSeparator" w:id="0">
    <w:p w14:paraId="6083E754" w14:textId="77777777" w:rsidR="00E206B0" w:rsidRDefault="006C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E751" w14:textId="77777777" w:rsidR="00E206B0" w:rsidRDefault="00E206B0"/>
  </w:footnote>
  <w:footnote w:type="continuationSeparator" w:id="0">
    <w:p w14:paraId="6083E752" w14:textId="77777777" w:rsidR="00E206B0" w:rsidRDefault="006C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7"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1"/>
  </w:num>
  <w:num w:numId="5">
    <w:abstractNumId w:val="10"/>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2"/>
  </w:num>
  <w:num w:numId="11">
    <w:abstractNumId w:val="5"/>
  </w:num>
  <w:num w:numId="12">
    <w:abstractNumId w:val="17"/>
  </w:num>
  <w:num w:numId="13">
    <w:abstractNumId w:val="7"/>
  </w:num>
  <w:num w:numId="14">
    <w:abstractNumId w:val="16"/>
  </w:num>
  <w:num w:numId="15">
    <w:abstractNumId w:val="19"/>
  </w:num>
  <w:num w:numId="16">
    <w:abstractNumId w:val="4"/>
  </w:num>
  <w:num w:numId="17">
    <w:abstractNumId w:val="23"/>
  </w:num>
  <w:num w:numId="18">
    <w:abstractNumId w:val="2"/>
  </w:num>
  <w:num w:numId="19">
    <w:abstractNumId w:val="1"/>
  </w:num>
  <w:num w:numId="20">
    <w:abstractNumId w:val="3"/>
  </w:num>
  <w:num w:numId="21">
    <w:abstractNumId w:val="18"/>
  </w:num>
  <w:num w:numId="22">
    <w:abstractNumId w:val="1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AB7"/>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6E478D6-E8EE-4D74-BA74-290E1305F05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5059</Words>
  <Characters>28840</Characters>
  <Application>Microsoft Office Word</Application>
  <DocSecurity>0</DocSecurity>
  <Lines>240</Lines>
  <Paragraphs>67</Paragraphs>
  <ScaleCrop>false</ScaleCrop>
  <Company>Huawei Technologies Co.,Ltd.</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18</cp:revision>
  <dcterms:created xsi:type="dcterms:W3CDTF">2021-08-16T11:36:00Z</dcterms:created>
  <dcterms:modified xsi:type="dcterms:W3CDTF">2021-08-16T19:59:00Z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