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4773A5">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4773A5">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4773A5">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4773A5">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lastRenderedPageBreak/>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4773A5">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4773A5">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4773A5">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4773A5">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lastRenderedPageBreak/>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7C7253">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7C7253">
            <w:pPr>
              <w:spacing w:after="0"/>
              <w:rPr>
                <w:lang w:eastAsia="zh-CN"/>
              </w:rPr>
            </w:pPr>
            <w:r>
              <w:rPr>
                <w:lang w:eastAsia="zh-CN"/>
              </w:rPr>
              <w:t>The proposed conclusion is fine, and we are also OK to restrict to the Rel-15/16 values.</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4773A5">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lastRenderedPageBreak/>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4773A5">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4773A5">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4773A5">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4773A5">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lastRenderedPageBreak/>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4773A5">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4773A5">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4773A5">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4773A5">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4773A5">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4773A5">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4773A5">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4773A5">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w:t>
            </w:r>
            <w:r>
              <w:rPr>
                <w:bCs/>
                <w:lang w:eastAsia="zh-CN"/>
              </w:rPr>
              <w:lastRenderedPageBreak/>
              <w:t>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34462A">
            <w:pPr>
              <w:spacing w:after="0"/>
              <w:rPr>
                <w:bCs/>
                <w:lang w:eastAsia="zh-CN"/>
              </w:rPr>
            </w:pPr>
            <w:r>
              <w:rPr>
                <w:bCs/>
                <w:lang w:eastAsia="zh-CN"/>
              </w:rPr>
              <w:t>Apple</w:t>
            </w:r>
          </w:p>
        </w:tc>
        <w:tc>
          <w:tcPr>
            <w:tcW w:w="7627" w:type="dxa"/>
          </w:tcPr>
          <w:p w14:paraId="267F7F30" w14:textId="77777777" w:rsidR="0001211B" w:rsidRDefault="0001211B" w:rsidP="0034462A">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lastRenderedPageBreak/>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lastRenderedPageBreak/>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lastRenderedPageBreak/>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lastRenderedPageBreak/>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lastRenderedPageBreak/>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071E2C">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071E2C">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071E2C">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071E2C">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34462A">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34462A">
            <w:pPr>
              <w:spacing w:after="0"/>
              <w:rPr>
                <w:lang w:eastAsia="zh-CN"/>
              </w:rPr>
            </w:pPr>
            <w:r>
              <w:rPr>
                <w:lang w:eastAsia="zh-CN"/>
              </w:rPr>
              <w:t>Support</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 xml:space="preserve">Also do not see the benefit yet &amp; do not support </w:t>
            </w:r>
            <w:proofErr w:type="gramStart"/>
            <w:r>
              <w:rPr>
                <w:lang w:eastAsia="zh-CN"/>
              </w:rPr>
              <w:t>at this time</w:t>
            </w:r>
            <w:proofErr w:type="gramEnd"/>
            <w:r>
              <w:rPr>
                <w:lang w:eastAsia="zh-CN"/>
              </w:rPr>
              <w:t>.</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lastRenderedPageBreak/>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lastRenderedPageBreak/>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lastRenderedPageBreak/>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4773A5">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lastRenderedPageBreak/>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w:t>
            </w:r>
            <w:proofErr w:type="gramStart"/>
            <w:r>
              <w:rPr>
                <w:bCs/>
                <w:lang w:eastAsia="zh-CN"/>
              </w:rPr>
              <w:t>e.g.</w:t>
            </w:r>
            <w:proofErr w:type="gramEnd"/>
            <w:r>
              <w:rPr>
                <w:bCs/>
                <w:lang w:eastAsia="zh-CN"/>
              </w:rPr>
              <w:t xml:space="preserve">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w:t>
            </w:r>
            <w:proofErr w:type="gramStart"/>
            <w:r>
              <w:rPr>
                <w:bCs/>
                <w:lang w:eastAsia="zh-CN"/>
              </w:rPr>
              <w:t>cross slot</w:t>
            </w:r>
            <w:proofErr w:type="gramEnd"/>
            <w:r>
              <w:rPr>
                <w:bCs/>
                <w:lang w:eastAsia="zh-CN"/>
              </w:rPr>
              <w:t xml:space="preserve">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4773A5">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lastRenderedPageBreak/>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lastRenderedPageBreak/>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4773A5">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4773A5">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4773A5">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4773A5">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4773A5">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4773A5">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4773A5">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4773A5">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4773A5">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4773A5">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4773A5">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4773A5">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4773A5">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4773A5">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4773A5">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4773A5">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4773A5">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4773A5">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4773A5">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4773A5">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4773A5">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4773A5">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4773A5">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8F30" w14:textId="77777777" w:rsidR="004773A5" w:rsidRDefault="004773A5">
      <w:pPr>
        <w:spacing w:after="0" w:line="240" w:lineRule="auto"/>
      </w:pPr>
      <w:r>
        <w:separator/>
      </w:r>
    </w:p>
  </w:endnote>
  <w:endnote w:type="continuationSeparator" w:id="0">
    <w:p w14:paraId="3D36E7E6" w14:textId="77777777" w:rsidR="004773A5" w:rsidRDefault="0047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36DEFAEB"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5162E2">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162E2">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A5E" w14:textId="77777777" w:rsidR="00D966BD" w:rsidRDefault="00D9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22A8" w14:textId="77777777" w:rsidR="004773A5" w:rsidRDefault="004773A5">
      <w:pPr>
        <w:spacing w:after="0" w:line="240" w:lineRule="auto"/>
      </w:pPr>
      <w:r>
        <w:separator/>
      </w:r>
    </w:p>
  </w:footnote>
  <w:footnote w:type="continuationSeparator" w:id="0">
    <w:p w14:paraId="7B1CF981" w14:textId="77777777" w:rsidR="004773A5" w:rsidRDefault="0047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6308" w14:textId="77777777" w:rsidR="00D966BD" w:rsidRDefault="00D9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FB1" w14:textId="77777777" w:rsidR="00D966BD" w:rsidRDefault="00D9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3"/>
  </w:num>
  <w:num w:numId="6">
    <w:abstractNumId w:val="12"/>
  </w:num>
  <w:num w:numId="7">
    <w:abstractNumId w:val="19"/>
  </w:num>
  <w:num w:numId="8">
    <w:abstractNumId w:val="14"/>
  </w:num>
  <w:num w:numId="9">
    <w:abstractNumId w:val="15"/>
  </w:num>
  <w:num w:numId="10">
    <w:abstractNumId w:val="24"/>
  </w:num>
  <w:num w:numId="11">
    <w:abstractNumId w:val="20"/>
  </w:num>
  <w:num w:numId="12">
    <w:abstractNumId w:val="17"/>
  </w:num>
  <w:num w:numId="13">
    <w:abstractNumId w:val="18"/>
  </w:num>
  <w:num w:numId="14">
    <w:abstractNumId w:val="8"/>
  </w:num>
  <w:num w:numId="15">
    <w:abstractNumId w:val="11"/>
  </w:num>
  <w:num w:numId="16">
    <w:abstractNumId w:val="1"/>
  </w:num>
  <w:num w:numId="17">
    <w:abstractNumId w:val="13"/>
  </w:num>
  <w:num w:numId="18">
    <w:abstractNumId w:val="2"/>
  </w:num>
  <w:num w:numId="19">
    <w:abstractNumId w:val="21"/>
  </w:num>
  <w:num w:numId="20">
    <w:abstractNumId w:val="16"/>
  </w:num>
  <w:num w:numId="21">
    <w:abstractNumId w:val="6"/>
  </w:num>
  <w:num w:numId="22">
    <w:abstractNumId w:val="9"/>
  </w:num>
  <w:num w:numId="23">
    <w:abstractNumId w:val="22"/>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7" Type="http://schemas.openxmlformats.org/officeDocument/2006/relationships/styles" Target="styles.xml"/><Relationship Id="rId7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28BB969-25BB-49A2-A151-3A406484FCAE}">
  <ds:schemaRefs>
    <ds:schemaRef ds:uri="http://schemas.openxmlformats.org/officeDocument/2006/bibliography"/>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6</TotalTime>
  <Pages>29</Pages>
  <Words>11973</Words>
  <Characters>68248</Characters>
  <Application>Microsoft Office Word</Application>
  <DocSecurity>0</DocSecurity>
  <Lines>568</Lines>
  <Paragraphs>160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6</cp:revision>
  <cp:lastPrinted>2014-11-07T05:38:00Z</cp:lastPrinted>
  <dcterms:created xsi:type="dcterms:W3CDTF">2021-08-18T19:42:00Z</dcterms:created>
  <dcterms:modified xsi:type="dcterms:W3CDTF">2021-08-18T23:29:00Z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