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微软雅黑"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3B71F03" w14:textId="77777777" w:rsidR="004558C1" w:rsidRDefault="00FD2310">
      <w:pPr>
        <w:pStyle w:val="BodyText"/>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558AC66" w14:textId="77777777"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18FB6ED5" w14:textId="77777777"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00D798D4" w14:textId="77777777" w:rsidR="004558C1" w:rsidRDefault="00FD2310">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6A0EC060" w14:textId="77777777"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52F70807" w14:textId="77777777"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69FBE216" w14:textId="77777777" w:rsidR="004558C1" w:rsidRDefault="00FD2310">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22" w14:anchorId="08FF1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75pt;height:61.65pt;mso-width-percent:0;mso-height-percent:0;mso-width-percent:0;mso-height-percent:0" o:ole="">
            <v:imagedata r:id="rId16" o:title=""/>
          </v:shape>
          <o:OLEObject Type="Embed" ProgID="Visio.Drawing.11" ShapeID="_x0000_i1025" DrawAspect="Content" ObjectID="_1691858626" r:id="rId17"/>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0" w14:anchorId="7CFC7F88">
          <v:shape id="_x0000_i1026" type="#_x0000_t75" alt="" style="width:293.75pt;height:93.9pt;mso-width-percent:0;mso-height-percent:0;mso-width-percent:0;mso-height-percent:0" o:ole="">
            <v:imagedata r:id="rId18" o:title=""/>
          </v:shape>
          <o:OLEObject Type="Embed" ProgID="Visio.Drawing.11" ShapeID="_x0000_i1026" DrawAspect="Content" ObjectID="_1691858627" r:id="rId19"/>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419A9122">
          <v:shape id="_x0000_i1027" type="#_x0000_t75" alt="" style="width:293.75pt;height:61.65pt;mso-width-percent:0;mso-height-percent:0;mso-width-percent:0;mso-height-percent:0" o:ole="">
            <v:imagedata r:id="rId20" o:title=""/>
          </v:shape>
          <o:OLEObject Type="Embed" ProgID="Visio.Drawing.11" ShapeID="_x0000_i1027" DrawAspect="Content" ObjectID="_1691858628" r:id="rId21"/>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231" w14:anchorId="35C80A3D">
          <v:shape id="_x0000_i1028" type="#_x0000_t75" alt="" style="width:293.75pt;height:61.65pt;mso-width-percent:0;mso-height-percent:0;mso-width-percent:0;mso-height-percent:0" o:ole="">
            <v:imagedata r:id="rId22" o:title=""/>
          </v:shape>
          <o:OLEObject Type="Embed" ProgID="Visio.Drawing.11" ShapeID="_x0000_i1028" DrawAspect="Content" ObjectID="_1691858629" r:id="rId23"/>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47002C">
      <w:pPr>
        <w:widowControl/>
        <w:autoSpaceDE w:val="0"/>
        <w:autoSpaceDN w:val="0"/>
        <w:adjustRightInd w:val="0"/>
        <w:snapToGrid w:val="0"/>
        <w:spacing w:after="120" w:line="240" w:lineRule="auto"/>
        <w:jc w:val="center"/>
        <w:rPr>
          <w:rFonts w:ascii="Times" w:hAnsi="Times" w:cs="Times New Roman"/>
          <w:kern w:val="0"/>
          <w:szCs w:val="21"/>
          <w:lang w:val="en-GB"/>
        </w:rPr>
      </w:pPr>
      <w:r w:rsidRPr="0047002C">
        <w:rPr>
          <w:rFonts w:ascii="Times" w:hAnsi="Times" w:cs="Times New Roman"/>
          <w:noProof/>
          <w:kern w:val="0"/>
          <w:szCs w:val="21"/>
          <w:lang w:val="en-GB"/>
        </w:rPr>
        <w:object w:dxaOrig="5860" w:dyaOrig="1899" w14:anchorId="094573B7">
          <v:shape id="_x0000_i1029" type="#_x0000_t75" alt="" style="width:293.75pt;height:94.45pt;mso-width-percent:0;mso-height-percent:0;mso-width-percent:0;mso-height-percent:0" o:ole="">
            <v:imagedata r:id="rId24" o:title=""/>
          </v:shape>
          <o:OLEObject Type="Embed" ProgID="Visio.Drawing.11" ShapeID="_x0000_i1029" DrawAspect="Content" ObjectID="_1691858630" r:id="rId25"/>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宋体"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等线"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TBoMS,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TBoMS,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宋体"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微软雅黑"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宋体"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47002C">
      <w:pPr>
        <w:tabs>
          <w:tab w:val="left" w:pos="1701"/>
        </w:tabs>
        <w:spacing w:after="120" w:line="240" w:lineRule="auto"/>
        <w:rPr>
          <w:rFonts w:ascii="Times New Roman" w:hAnsi="Times New Roman" w:cs="Times New Roman"/>
          <w:b/>
          <w:u w:val="single"/>
        </w:rPr>
      </w:pPr>
      <w:r w:rsidRPr="0047002C">
        <w:rPr>
          <w:rFonts w:ascii="Times New Roman" w:eastAsia="Batang" w:hAnsi="Times New Roman" w:cs="Times New Roman"/>
          <w:noProof/>
          <w:kern w:val="0"/>
          <w:sz w:val="20"/>
          <w:szCs w:val="20"/>
          <w:lang w:eastAsia="ko-KR"/>
        </w:rPr>
        <w:object w:dxaOrig="9812" w:dyaOrig="1908" w14:anchorId="1743831C">
          <v:shape id="_x0000_i1030" type="#_x0000_t75" alt="" style="width:490.75pt;height:95.05pt;mso-width-percent:0;mso-height-percent:0;mso-width-percent:0;mso-height-percent:0" o:ole="">
            <v:imagedata r:id="rId29" o:title=""/>
          </v:shape>
          <o:OLEObject Type="Embed" ProgID="Visio.Drawing.15" ShapeID="_x0000_i1030" DrawAspect="Content" ObjectID="_1691858631" r:id="rId30"/>
        </w:object>
      </w:r>
    </w:p>
    <w:p w14:paraId="5A5769C6"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宋体"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等线"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3124FB4C" w14:textId="77777777" w:rsidR="004558C1" w:rsidRDefault="00FD2310">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47002C">
      <w:pPr>
        <w:spacing w:after="120" w:line="240" w:lineRule="auto"/>
        <w:ind w:firstLine="210"/>
        <w:jc w:val="center"/>
        <w:rPr>
          <w:rFonts w:ascii="Times New Roman" w:hAnsi="Times New Roman" w:cs="Times New Roman"/>
        </w:rPr>
      </w:pPr>
      <w:r>
        <w:rPr>
          <w:rFonts w:ascii="Times New Roman" w:hAnsi="Times New Roman" w:cs="Times New Roman"/>
          <w:noProof/>
        </w:rPr>
        <w:object w:dxaOrig="8722" w:dyaOrig="2021" w14:anchorId="44BB0286">
          <v:shape id="_x0000_i1031" type="#_x0000_t75" alt="" style="width:435.45pt;height:100.8pt;mso-width-percent:0;mso-height-percent:0;mso-width-percent:0;mso-height-percent:0" o:ole="">
            <v:imagedata r:id="rId32" o:title=""/>
          </v:shape>
          <o:OLEObject Type="Embed" ProgID="Visio.Drawing.15" ShapeID="_x0000_i1031" DrawAspect="Content" ObjectID="_1691858632" r:id="rId33"/>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47002C">
      <w:pPr>
        <w:tabs>
          <w:tab w:val="left" w:pos="1701"/>
        </w:tabs>
        <w:spacing w:after="120" w:line="240" w:lineRule="auto"/>
        <w:jc w:val="center"/>
      </w:pPr>
      <w:r>
        <w:rPr>
          <w:noProof/>
        </w:rPr>
        <w:object w:dxaOrig="8022" w:dyaOrig="2962" w14:anchorId="606F6160">
          <v:shape id="_x0000_i1032" type="#_x0000_t75" alt="" style="width:400.9pt;height:147.45pt;mso-width-percent:0;mso-height-percent:0;mso-width-percent:0;mso-height-percent:0" o:ole="">
            <v:imagedata r:id="rId35" o:title=""/>
          </v:shape>
          <o:OLEObject Type="Embed" ProgID="Visio.Drawing.15" ShapeID="_x0000_i1032" DrawAspect="Content" ObjectID="_1691858633" r:id="rId36"/>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6E03D44"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23B1E6A1" w14:textId="77777777" w:rsidR="004558C1" w:rsidRDefault="00FD2310">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3.1.2 TBoMS</w:t>
      </w:r>
    </w:p>
    <w:p w14:paraId="373FD4F2"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A12FF5A" w14:textId="77777777" w:rsidR="004558C1" w:rsidRDefault="00FD2310">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7E3E526"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CDAA6B1" w14:textId="77777777" w:rsidR="004558C1" w:rsidRDefault="00FD2310">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宋体"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1AABBBE"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Huawei/HiSilicon</w:t>
            </w:r>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C43C5C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1537008" w14:textId="77777777" w:rsidR="004558C1" w:rsidRDefault="004558C1">
      <w:pPr>
        <w:rPr>
          <w:rFonts w:ascii="Times New Roman" w:eastAsia="宋体"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宋体" w:hAnsi="Times New Roman" w:cs="Times New Roman"/>
          <w:kern w:val="0"/>
          <w:szCs w:val="21"/>
          <w:lang w:eastAsia="en-US"/>
        </w:rPr>
      </w:pPr>
    </w:p>
    <w:p w14:paraId="2CF4957C"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宋体"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4.1.2 TBoMS</w:t>
      </w:r>
    </w:p>
    <w:p w14:paraId="3847470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A3FE8F3"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49AC186A" w14:textId="77777777"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90300F8" w14:textId="77777777" w:rsidR="004558C1" w:rsidRDefault="00FD2310">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w:t>
            </w:r>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5FDE4884" w14:textId="77777777" w:rsidR="004558C1" w:rsidRDefault="00FD2310">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43159AEB"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2DA2F19A" w14:textId="77777777" w:rsidR="004558C1" w:rsidRDefault="00FD2310">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FCC6F75"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宋体" w:hAnsi="Times New Roman" w:cs="Times New Roman"/>
          <w:kern w:val="0"/>
          <w:szCs w:val="21"/>
          <w:lang w:eastAsia="en-US"/>
        </w:rPr>
      </w:pPr>
    </w:p>
    <w:p w14:paraId="39775C8C"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5.1.2 TBoMS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47002C">
      <w:pPr>
        <w:jc w:val="center"/>
      </w:pPr>
      <w:r>
        <w:rPr>
          <w:noProof/>
        </w:rPr>
        <w:object w:dxaOrig="6841" w:dyaOrig="5560" w14:anchorId="7965ABA7">
          <v:shape id="_x0000_i1033" type="#_x0000_t75" alt="" style="width:342.15pt;height:278.8pt;mso-width-percent:0;mso-height-percent:0;mso-width-percent:0;mso-height-percent:0" o:ole="">
            <v:imagedata r:id="rId39" o:title=""/>
          </v:shape>
          <o:OLEObject Type="Embed" ProgID="Visio.Drawing.11" ShapeID="_x0000_i1033" DrawAspect="Content" ObjectID="_1691858634" r:id="rId40"/>
        </w:object>
      </w:r>
    </w:p>
    <w:p w14:paraId="4F695562" w14:textId="77777777" w:rsidR="004558C1" w:rsidRDefault="0047002C">
      <w:pPr>
        <w:jc w:val="center"/>
      </w:pPr>
      <w:r>
        <w:rPr>
          <w:noProof/>
        </w:rPr>
        <w:object w:dxaOrig="6868" w:dyaOrig="6301" w14:anchorId="06DFC843">
          <v:shape id="_x0000_i1034" type="#_x0000_t75" alt="" style="width:343.85pt;height:315.65pt;mso-width-percent:0;mso-height-percent:0;mso-width-percent:0;mso-height-percent:0" o:ole="">
            <v:imagedata r:id="rId41" o:title=""/>
          </v:shape>
          <o:OLEObject Type="Embed" ProgID="Visio.Drawing.11" ShapeID="_x0000_i1034" DrawAspect="Content" ObjectID="_1691858635" r:id="rId42"/>
        </w:object>
      </w:r>
    </w:p>
    <w:p w14:paraId="16FD64C0" w14:textId="77777777" w:rsidR="004558C1" w:rsidRDefault="0047002C">
      <w:pPr>
        <w:jc w:val="center"/>
      </w:pPr>
      <w:r>
        <w:rPr>
          <w:noProof/>
        </w:rPr>
        <w:object w:dxaOrig="7032" w:dyaOrig="5133" w14:anchorId="034975CD">
          <v:shape id="_x0000_i1035" type="#_x0000_t75" alt="" style="width:352.5pt;height:256.9pt;mso-width-percent:0;mso-height-percent:0;mso-width-percent:0;mso-height-percent:0" o:ole="">
            <v:imagedata r:id="rId43" o:title=""/>
          </v:shape>
          <o:OLEObject Type="Embed" ProgID="Visio.Drawing.11" ShapeID="_x0000_i1035" DrawAspect="Content" ObjectID="_1691858636" r:id="rId44"/>
        </w:object>
      </w:r>
    </w:p>
    <w:p w14:paraId="120ECC8E"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宋体" w:hAnsi="Times New Roman" w:cs="Times New Roman"/>
          <w:b/>
          <w:kern w:val="0"/>
          <w:szCs w:val="21"/>
          <w:highlight w:val="yellow"/>
          <w:lang w:eastAsia="en-US"/>
        </w:rPr>
      </w:pPr>
    </w:p>
    <w:p w14:paraId="4F4380CC" w14:textId="77777777" w:rsidR="004558C1" w:rsidRDefault="00FD2310">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47002C">
            <w:pPr>
              <w:rPr>
                <w:rFonts w:ascii="Times New Roman" w:hAnsi="Times New Roman" w:cs="Times New Roman"/>
                <w:bCs/>
              </w:rPr>
            </w:pPr>
            <w:r>
              <w:rPr>
                <w:noProof/>
                <w:sz w:val="20"/>
                <w:szCs w:val="20"/>
              </w:rPr>
              <w:object w:dxaOrig="6469" w:dyaOrig="2321" w14:anchorId="79369196">
                <v:shape id="_x0000_i1036" type="#_x0000_t75" alt="" style="width:323.15pt;height:115.8pt;mso-width-percent:0;mso-height-percent:0;mso-width-percent:0;mso-height-percent:0" o:ole="">
                  <v:imagedata r:id="rId46" o:title=""/>
                </v:shape>
                <o:OLEObject Type="Embed" ProgID="Visio.Drawing.15" ShapeID="_x0000_i1036" DrawAspect="Content" ObjectID="_1691858637" r:id="rId47"/>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w:t>
            </w:r>
            <w:r>
              <w:rPr>
                <w:rFonts w:ascii="Times New Roman" w:eastAsia="Malgun Gothic" w:hAnsi="Times New Roman" w:cs="Times New Roman"/>
                <w:bCs/>
                <w:sz w:val="22"/>
                <w:lang w:val="en-GB" w:eastAsia="ko-KR"/>
              </w:rPr>
              <w:lastRenderedPageBreak/>
              <w:t>misalignment 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5914" w14:anchorId="3FF3D2DB">
                <v:shape id="_x0000_i1037" type="#_x0000_t75" alt="" style="width:342.7pt;height:296.05pt;mso-width-percent:0;mso-height-percent:0;mso-width-percent:0;mso-height-percent:0" o:ole="">
                  <v:imagedata r:id="rId48" o:title=""/>
                </v:shape>
                <o:OLEObject Type="Embed" ProgID="Visio.Drawing.11" ShapeID="_x0000_i1037" DrawAspect="Content" ObjectID="_1691858638" r:id="rId49"/>
              </w:object>
            </w:r>
          </w:p>
          <w:p w14:paraId="0890591B" w14:textId="77777777" w:rsidR="004558C1" w:rsidRDefault="0047002C">
            <w:pPr>
              <w:rPr>
                <w:rFonts w:ascii="Times New Roman" w:hAnsi="Times New Roman" w:cs="Times New Roman"/>
                <w:bCs/>
              </w:rPr>
            </w:pPr>
            <w:r>
              <w:rPr>
                <w:rFonts w:ascii="Times New Roman" w:hAnsi="Times New Roman" w:cs="Times New Roman"/>
                <w:bCs/>
                <w:noProof/>
              </w:rPr>
              <w:object w:dxaOrig="6855" w:dyaOrig="6678" w14:anchorId="3F7DBB36">
                <v:shape id="_x0000_i1038" type="#_x0000_t75" alt="" style="width:342.7pt;height:333.5pt;mso-width-percent:0;mso-height-percent:0;mso-width-percent:0;mso-height-percent:0" o:ole="">
                  <v:imagedata r:id="rId50" o:title=""/>
                </v:shape>
                <o:OLEObject Type="Embed" ProgID="Visio.Drawing.11" ShapeID="_x0000_i1038" DrawAspect="Content" ObjectID="_1691858639" r:id="rId51"/>
              </w:object>
            </w:r>
          </w:p>
          <w:p w14:paraId="24B71CE7" w14:textId="77777777" w:rsidR="004558C1" w:rsidRDefault="0047002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7032" w:dyaOrig="5615" w14:anchorId="12304762">
                <v:shape id="_x0000_i1039" type="#_x0000_t75" alt="" style="width:352.5pt;height:281.1pt;mso-width-percent:0;mso-height-percent:0;mso-width-percent:0;mso-height-percent:0" o:ole="">
                  <v:imagedata r:id="rId52" o:title=""/>
                </v:shape>
                <o:OLEObject Type="Embed" ProgID="Visio.Drawing.11" ShapeID="_x0000_i1039" DrawAspect="Content" ObjectID="_1691858640" r:id="rId53"/>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r>
              <w:rPr>
                <w:rFonts w:ascii="Times New Roman" w:hAnsi="Times New Roman" w:cs="Times New Roman"/>
              </w:rPr>
              <w:t>Thanks jianchi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alt2-B.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Also agree with LG’s obervsations</w:t>
            </w:r>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宋体" w:hAnsi="Times New Roman" w:cs="Times New Roman"/>
                <w:bCs/>
              </w:rPr>
            </w:pPr>
            <w:r>
              <w:rPr>
                <w:rFonts w:ascii="Times New Roman" w:eastAsia="宋体"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6.1.2 TBoMS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5914" w14:anchorId="353FCD20">
          <v:shape id="_x0000_i1040" type="#_x0000_t75" alt="" style="width:342.7pt;height:296.05pt;mso-width-percent:0;mso-height-percent:0;mso-width-percent:0;mso-height-percent:0" o:ole="">
            <v:imagedata r:id="rId48" o:title=""/>
          </v:shape>
          <o:OLEObject Type="Embed" ProgID="Visio.Drawing.11" ShapeID="_x0000_i1040" DrawAspect="Content" ObjectID="_1691858641" r:id="rId54"/>
        </w:object>
      </w:r>
    </w:p>
    <w:p w14:paraId="02EA3E24" w14:textId="77777777" w:rsidR="004558C1" w:rsidRDefault="0047002C">
      <w:pPr>
        <w:jc w:val="center"/>
        <w:rPr>
          <w:rFonts w:ascii="Times New Roman" w:hAnsi="Times New Roman" w:cs="Times New Roman"/>
          <w:bCs/>
        </w:rPr>
      </w:pPr>
      <w:r>
        <w:rPr>
          <w:rFonts w:ascii="Times New Roman" w:hAnsi="Times New Roman" w:cs="Times New Roman"/>
          <w:bCs/>
          <w:noProof/>
        </w:rPr>
        <w:object w:dxaOrig="6855" w:dyaOrig="6678" w14:anchorId="294059C5">
          <v:shape id="_x0000_i1041" type="#_x0000_t75" alt="" style="width:342.7pt;height:333.5pt;mso-width-percent:0;mso-height-percent:0;mso-width-percent:0;mso-height-percent:0" o:ole="">
            <v:imagedata r:id="rId50" o:title=""/>
          </v:shape>
          <o:OLEObject Type="Embed" ProgID="Visio.Drawing.11" ShapeID="_x0000_i1041" DrawAspect="Content" ObjectID="_1691858642" r:id="rId55"/>
        </w:object>
      </w:r>
    </w:p>
    <w:p w14:paraId="6F5E9F60" w14:textId="77777777" w:rsidR="004558C1" w:rsidRDefault="0047002C">
      <w:pPr>
        <w:tabs>
          <w:tab w:val="left" w:pos="1701"/>
        </w:tabs>
        <w:spacing w:after="120" w:line="240" w:lineRule="auto"/>
        <w:jc w:val="center"/>
        <w:rPr>
          <w:lang w:val="en-GB"/>
        </w:rPr>
      </w:pPr>
      <w:r>
        <w:rPr>
          <w:rFonts w:ascii="Times New Roman" w:hAnsi="Times New Roman" w:cs="Times New Roman"/>
          <w:bCs/>
          <w:noProof/>
        </w:rPr>
        <w:object w:dxaOrig="7032" w:dyaOrig="5615" w14:anchorId="0F2B9A24">
          <v:shape id="_x0000_i1042" type="#_x0000_t75" alt="" style="width:352.5pt;height:281.1pt;mso-width-percent:0;mso-height-percent:0;mso-width-percent:0;mso-height-percent:0" o:ole="">
            <v:imagedata r:id="rId52" o:title=""/>
          </v:shape>
          <o:OLEObject Type="Embed" ProgID="Visio.Drawing.11" ShapeID="_x0000_i1042" DrawAspect="Content" ObjectID="_1691858643" r:id="rId56"/>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宋体" w:hAnsi="Times New Roman" w:cs="Times New Roman"/>
          <w:b/>
          <w:kern w:val="0"/>
          <w:szCs w:val="21"/>
          <w:highlight w:val="yellow"/>
          <w:lang w:eastAsia="en-US"/>
        </w:rPr>
      </w:pPr>
    </w:p>
    <w:p w14:paraId="3D6C415D"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07AF23F" w14:textId="77777777" w:rsidR="004558C1" w:rsidRDefault="0047002C">
            <w:pPr>
              <w:jc w:val="center"/>
            </w:pPr>
            <w:r>
              <w:rPr>
                <w:noProof/>
              </w:rPr>
              <w:object w:dxaOrig="5133" w:dyaOrig="6778" w14:anchorId="47D4FBFF">
                <v:shape id="_x0000_i1043" type="#_x0000_t75" alt="" style="width:256.9pt;height:338.7pt;mso-width-percent:0;mso-height-percent:0;mso-width-percent:0;mso-height-percent:0" o:ole="">
                  <v:imagedata r:id="rId57" o:title=""/>
                </v:shape>
                <o:OLEObject Type="Embed" ProgID="Visio.Drawing.11" ShapeID="_x0000_i1043" DrawAspect="Content" ObjectID="_1691858644" r:id="rId58"/>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47002C">
            <w:pPr>
              <w:spacing w:after="0"/>
              <w:rPr>
                <w:rFonts w:ascii="Times New Roman" w:eastAsia="Malgun Gothic" w:hAnsi="Times New Roman" w:cs="Times New Roman"/>
                <w:bCs/>
                <w:lang w:val="en-GB" w:eastAsia="ko-KR"/>
              </w:rPr>
            </w:pPr>
            <w:r>
              <w:rPr>
                <w:noProof/>
              </w:rPr>
              <w:object w:dxaOrig="5133" w:dyaOrig="6832" w14:anchorId="37418C69">
                <v:shape id="_x0000_i1044" type="#_x0000_t75" alt="" style="width:256.9pt;height:341pt;mso-width-percent:0;mso-height-percent:0;mso-width-percent:0;mso-height-percent:0" o:ole="">
                  <v:imagedata r:id="rId57" o:title=""/>
                </v:shape>
                <o:OLEObject Type="Embed" ProgID="Visio.Drawing.11" ShapeID="_x0000_i1044" DrawAspect="Content" ObjectID="_1691858645" r:id="rId59"/>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464CEE1B" w14:textId="77777777" w:rsidR="004558C1" w:rsidRDefault="004558C1">
            <w:pPr>
              <w:widowControl/>
              <w:spacing w:after="0" w:line="240" w:lineRule="auto"/>
              <w:jc w:val="left"/>
              <w:rPr>
                <w:rFonts w:ascii="Times New Roman" w:eastAsia="宋体" w:hAnsi="Times New Roman" w:cs="Times New Roman"/>
                <w:bCs/>
              </w:rPr>
            </w:pPr>
          </w:p>
          <w:p w14:paraId="105767CA" w14:textId="77777777" w:rsidR="004558C1" w:rsidRDefault="00FD2310">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宋体"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transmission power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transmission power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宋体"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76929ED4"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宋体" w:hAnsi="Times New Roman" w:cs="Times New Roman"/>
                <w:bCs/>
              </w:rPr>
            </w:pPr>
            <w:r>
              <w:rPr>
                <w:rFonts w:ascii="Times New Roman" w:eastAsia="宋体" w:hAnsi="Times New Roman" w:cs="Times New Roman"/>
                <w:bCs/>
              </w:rPr>
              <w:t xml:space="preserve">We prefer Alt 2. </w:t>
            </w:r>
          </w:p>
          <w:p w14:paraId="0AF3271E" w14:textId="77777777" w:rsidR="004558C1" w:rsidRDefault="00FD2310">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r>
              <w:rPr>
                <w:rFonts w:ascii="Times New Roman" w:hAnsi="Times New Roman" w:cs="Times New Roman"/>
                <w:bCs/>
                <w:lang w:val="en-GB"/>
              </w:rPr>
              <w:t>Suport</w:t>
            </w:r>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5776067F" w14:textId="77777777" w:rsidR="004558C1" w:rsidRDefault="0047002C">
            <w:pPr>
              <w:rPr>
                <w:rFonts w:ascii="Times New Roman" w:eastAsia="Malgun Gothic" w:hAnsi="Times New Roman" w:cs="Times New Roman"/>
                <w:lang w:eastAsia="ko-KR"/>
              </w:rPr>
            </w:pPr>
            <w:r>
              <w:rPr>
                <w:noProof/>
              </w:rPr>
              <w:object w:dxaOrig="7354" w:dyaOrig="3748" w14:anchorId="3AA561DF">
                <v:shape id="_x0000_i1045" type="#_x0000_t75" alt="" style="width:367.5pt;height:187.8pt;mso-width-percent:0;mso-height-percent:0;mso-width-percent:0;mso-height-percent:0" o:ole="">
                  <v:imagedata r:id="rId61" o:title=""/>
                </v:shape>
                <o:OLEObject Type="Embed" ProgID="Visio.Drawing.15" ShapeID="_x0000_i1045" DrawAspect="Content" ObjectID="_1691858646" r:id="rId62"/>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宋体"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宋体"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宋体"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actually </w:t>
            </w:r>
            <w:r w:rsidR="00294156">
              <w:rPr>
                <w:rFonts w:ascii="Times New Roman" w:hAnsi="Times New Roman" w:cs="Times New Roman"/>
                <w:color w:val="FF0000"/>
                <w:highlight w:val="yellow"/>
              </w:rPr>
              <w:t>applied</w:t>
            </w:r>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bCs/>
                <w:lang w:val="en-GB"/>
              </w:rPr>
            </w:pPr>
          </w:p>
        </w:tc>
      </w:tr>
      <w:tr w:rsidR="00E1033C" w14:paraId="1CA5C6CB" w14:textId="77777777">
        <w:trPr>
          <w:trHeight w:val="409"/>
          <w:jc w:val="center"/>
        </w:trPr>
        <w:tc>
          <w:tcPr>
            <w:tcW w:w="1380" w:type="dxa"/>
            <w:shd w:val="clear" w:color="auto" w:fill="auto"/>
            <w:vAlign w:val="center"/>
          </w:tcPr>
          <w:p w14:paraId="1A25323D" w14:textId="2034570D" w:rsidR="00E1033C" w:rsidRPr="00E1033C" w:rsidRDefault="00E1033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20051771" w14:textId="12FC459F" w:rsidR="00E1033C" w:rsidRPr="00E1033C" w:rsidRDefault="00E1033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7E611640" w14:textId="77777777" w:rsidR="00E1033C" w:rsidRDefault="00E1033C">
            <w:pPr>
              <w:rPr>
                <w:rFonts w:ascii="Times New Roman" w:hAnsi="Times New Roman" w:cs="Times New Roman"/>
                <w:bCs/>
              </w:rPr>
            </w:pPr>
          </w:p>
        </w:tc>
        <w:tc>
          <w:tcPr>
            <w:tcW w:w="6055" w:type="dxa"/>
            <w:shd w:val="clear" w:color="auto" w:fill="auto"/>
            <w:vAlign w:val="center"/>
          </w:tcPr>
          <w:p w14:paraId="6D9F8B09" w14:textId="77777777" w:rsidR="00E1033C" w:rsidRDefault="00E1033C" w:rsidP="008E7215">
            <w:pPr>
              <w:rPr>
                <w:rFonts w:ascii="Times New Roman" w:hAnsi="Times New Roman" w:cs="Times New Roman"/>
                <w:bCs/>
              </w:rPr>
            </w:pPr>
          </w:p>
        </w:tc>
      </w:tr>
      <w:tr w:rsidR="00C456ED" w14:paraId="2450A756" w14:textId="77777777">
        <w:trPr>
          <w:trHeight w:val="409"/>
          <w:jc w:val="center"/>
        </w:trPr>
        <w:tc>
          <w:tcPr>
            <w:tcW w:w="1380" w:type="dxa"/>
            <w:shd w:val="clear" w:color="auto" w:fill="auto"/>
            <w:vAlign w:val="center"/>
          </w:tcPr>
          <w:p w14:paraId="35773A02" w14:textId="40FADA89" w:rsidR="00C456ED" w:rsidRDefault="00C456ED">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w:t>
            </w:r>
            <w:r w:rsidR="005C2B10">
              <w:rPr>
                <w:rFonts w:ascii="Times New Roman" w:eastAsia="MS Mincho" w:hAnsi="Times New Roman" w:cs="Times New Roman"/>
                <w:bCs/>
                <w:lang w:eastAsia="ja-JP"/>
              </w:rPr>
              <w:t>#</w:t>
            </w:r>
            <w:r>
              <w:rPr>
                <w:rFonts w:ascii="Times New Roman" w:eastAsia="MS Mincho" w:hAnsi="Times New Roman" w:cs="Times New Roman"/>
                <w:bCs/>
                <w:lang w:eastAsia="ja-JP"/>
              </w:rPr>
              <w:t>2</w:t>
            </w:r>
          </w:p>
        </w:tc>
        <w:tc>
          <w:tcPr>
            <w:tcW w:w="1167" w:type="dxa"/>
          </w:tcPr>
          <w:p w14:paraId="39F935F2" w14:textId="486DB2C4" w:rsidR="00C456ED" w:rsidRDefault="00C456ED">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89748E0" w14:textId="336FF075" w:rsidR="00C456ED" w:rsidRDefault="00C456ED">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4ED3898C" w14:textId="03FB8172" w:rsidR="00C456ED" w:rsidRPr="00E6698B" w:rsidRDefault="0029345C" w:rsidP="00E6698B">
            <w:pPr>
              <w:widowControl/>
              <w:spacing w:after="0" w:line="240" w:lineRule="auto"/>
              <w:jc w:val="left"/>
              <w:rPr>
                <w:rFonts w:ascii="Times New Roman" w:eastAsia="MS Mincho" w:hAnsi="Times New Roman" w:cs="Times New Roman"/>
                <w:bCs/>
                <w:lang w:eastAsia="ja-JP"/>
              </w:rPr>
            </w:pPr>
            <w:r w:rsidRPr="0029345C">
              <w:rPr>
                <w:rFonts w:ascii="Times New Roman" w:eastAsia="MS Mincho" w:hAnsi="Times New Roman" w:cs="Times New Roman"/>
                <w:bCs/>
                <w:lang w:eastAsia="ja-JP"/>
              </w:rPr>
              <w:t>Thank</w:t>
            </w:r>
            <w:r>
              <w:rPr>
                <w:rFonts w:ascii="Times New Roman" w:eastAsia="MS Mincho" w:hAnsi="Times New Roman" w:cs="Times New Roman"/>
                <w:bCs/>
                <w:lang w:eastAsia="ja-JP"/>
              </w:rPr>
              <w:t xml:space="preserve"> you</w:t>
            </w:r>
            <w:r w:rsidRPr="0029345C">
              <w:rPr>
                <w:rFonts w:ascii="Times New Roman" w:eastAsia="MS Mincho" w:hAnsi="Times New Roman" w:cs="Times New Roman"/>
                <w:bCs/>
                <w:lang w:eastAsia="ja-JP"/>
              </w:rPr>
              <w:t xml:space="preserve"> for FL's clarification. With your description of "In my understanding, “The window length L is configured per UL BWP” is under FFS, it does not preclude indication by DCI" and your explanation of the point of BWP is FFS, we</w:t>
            </w:r>
            <w:r w:rsidR="00D72A74">
              <w:rPr>
                <w:rFonts w:ascii="Times New Roman" w:eastAsia="MS Mincho" w:hAnsi="Times New Roman" w:cs="Times New Roman"/>
                <w:bCs/>
                <w:lang w:eastAsia="ja-JP"/>
              </w:rPr>
              <w:t xml:space="preserve"> are fine to</w:t>
            </w:r>
            <w:r w:rsidRPr="0029345C">
              <w:rPr>
                <w:rFonts w:ascii="Times New Roman" w:eastAsia="MS Mincho" w:hAnsi="Times New Roman" w:cs="Times New Roman"/>
                <w:bCs/>
                <w:lang w:eastAsia="ja-JP"/>
              </w:rPr>
              <w:t xml:space="preserve"> support the proposal even </w:t>
            </w:r>
            <w:r w:rsidR="00E6698B">
              <w:rPr>
                <w:rFonts w:ascii="Times New Roman" w:eastAsia="MS Mincho" w:hAnsi="Times New Roman" w:cs="Times New Roman"/>
                <w:bCs/>
                <w:lang w:eastAsia="ja-JP"/>
              </w:rPr>
              <w:t>when</w:t>
            </w:r>
            <w:r w:rsidRPr="0029345C">
              <w:rPr>
                <w:rFonts w:ascii="Times New Roman" w:eastAsia="MS Mincho" w:hAnsi="Times New Roman" w:cs="Times New Roman"/>
                <w:bCs/>
                <w:lang w:eastAsia="ja-JP"/>
              </w:rPr>
              <w:t xml:space="preserve"> the point of BWP is kept. Thank you very much.</w:t>
            </w:r>
          </w:p>
        </w:tc>
      </w:tr>
      <w:tr w:rsidR="00E16478" w14:paraId="3B3A9C5C" w14:textId="77777777">
        <w:trPr>
          <w:trHeight w:val="409"/>
          <w:jc w:val="center"/>
        </w:trPr>
        <w:tc>
          <w:tcPr>
            <w:tcW w:w="1380" w:type="dxa"/>
            <w:shd w:val="clear" w:color="auto" w:fill="auto"/>
            <w:vAlign w:val="center"/>
          </w:tcPr>
          <w:p w14:paraId="1A1E91C4" w14:textId="582B019F" w:rsidR="00E16478" w:rsidRDefault="00E164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21CAD243" w14:textId="04EA12B2" w:rsidR="00E16478" w:rsidRDefault="00E16478">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7CF127CE" w14:textId="77777777" w:rsidR="00E16478" w:rsidRDefault="00E16478">
            <w:pPr>
              <w:rPr>
                <w:rFonts w:ascii="Times New Roman" w:hAnsi="Times New Roman" w:cs="Times New Roman"/>
                <w:bCs/>
              </w:rPr>
            </w:pPr>
          </w:p>
        </w:tc>
        <w:tc>
          <w:tcPr>
            <w:tcW w:w="6055" w:type="dxa"/>
            <w:shd w:val="clear" w:color="auto" w:fill="auto"/>
            <w:vAlign w:val="center"/>
          </w:tcPr>
          <w:p w14:paraId="29F0D1DD" w14:textId="1E38F9A9" w:rsidR="00E16478" w:rsidRDefault="00E16478"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 xml:space="preserve">In general, we </w:t>
            </w:r>
            <w:r w:rsidRPr="00E16478">
              <w:rPr>
                <w:rFonts w:ascii="Times New Roman" w:eastAsia="MS Mincho" w:hAnsi="Times New Roman" w:cs="Times New Roman"/>
                <w:lang w:eastAsia="ja-JP"/>
              </w:rPr>
              <w:t>support proposal 7-v7 as an agreement</w:t>
            </w:r>
            <w:r>
              <w:rPr>
                <w:rFonts w:ascii="Times New Roman" w:eastAsia="MS Mincho" w:hAnsi="Times New Roman" w:cs="Times New Roman"/>
                <w:lang w:eastAsia="ja-JP"/>
              </w:rPr>
              <w:t>. Just have one comment related to the bullet “</w:t>
            </w:r>
            <w:r w:rsidRPr="00E16478">
              <w:rPr>
                <w:rFonts w:ascii="Times New Roman" w:eastAsia="MS Mincho" w:hAnsi="Times New Roman" w:cs="Times New Roman"/>
                <w:lang w:val="en-GB" w:eastAsia="ja-JP"/>
              </w:rPr>
              <w:t>The actual</w:t>
            </w:r>
            <w:r w:rsidRPr="00E16478">
              <w:rPr>
                <w:rFonts w:ascii="Times New Roman" w:eastAsia="MS Mincho" w:hAnsi="Times New Roman" w:cs="Times New Roman" w:hint="eastAsia"/>
                <w:lang w:val="en-GB" w:eastAsia="ja-JP"/>
              </w:rPr>
              <w:t xml:space="preserve"> </w:t>
            </w:r>
            <w:r w:rsidRPr="00E16478">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w:t>
            </w:r>
            <w:r w:rsidR="000053CB">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w:t>
            </w:r>
            <w:r w:rsidR="000053CB">
              <w:rPr>
                <w:rFonts w:ascii="Times New Roman" w:eastAsia="MS Mincho" w:hAnsi="Times New Roman" w:cs="Times New Roman"/>
                <w:lang w:eastAsia="ja-JP"/>
              </w:rPr>
              <w:lastRenderedPageBreak/>
              <w:t xml:space="preserve">to re-start DM-RS bundling is </w:t>
            </w:r>
            <w:r w:rsidR="008E115E">
              <w:rPr>
                <w:rFonts w:ascii="Times New Roman" w:eastAsia="MS Mincho" w:hAnsi="Times New Roman" w:cs="Times New Roman"/>
                <w:lang w:eastAsia="ja-JP"/>
              </w:rPr>
              <w:t>related to</w:t>
            </w:r>
            <w:r w:rsidR="000053CB">
              <w:rPr>
                <w:rFonts w:ascii="Times New Roman" w:eastAsia="MS Mincho" w:hAnsi="Times New Roman" w:cs="Times New Roman"/>
                <w:lang w:eastAsia="ja-JP"/>
              </w:rPr>
              <w:t xml:space="preserve">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But now this case </w:t>
            </w:r>
            <w:r w:rsidR="008E115E">
              <w:rPr>
                <w:rFonts w:ascii="Times New Roman" w:eastAsia="MS Mincho" w:hAnsi="Times New Roman" w:cs="Times New Roman"/>
                <w:lang w:eastAsia="ja-JP"/>
              </w:rPr>
              <w:t>does</w:t>
            </w:r>
            <w:r w:rsidR="000053CB">
              <w:rPr>
                <w:rFonts w:ascii="Times New Roman" w:eastAsia="MS Mincho" w:hAnsi="Times New Roman" w:cs="Times New Roman"/>
                <w:lang w:eastAsia="ja-JP"/>
              </w:rPr>
              <w:t xml:space="preserve"> not belonging to event</w:t>
            </w:r>
            <w:r w:rsidR="008E115E">
              <w:rPr>
                <w:rFonts w:ascii="Times New Roman" w:eastAsia="MS Mincho" w:hAnsi="Times New Roman" w:cs="Times New Roman"/>
                <w:lang w:eastAsia="ja-JP"/>
              </w:rPr>
              <w:t>s</w:t>
            </w:r>
            <w:r w:rsidR="000053CB">
              <w:rPr>
                <w:rFonts w:ascii="Times New Roman" w:eastAsia="MS Mincho" w:hAnsi="Times New Roman" w:cs="Times New Roman"/>
                <w:lang w:eastAsia="ja-JP"/>
              </w:rPr>
              <w:t xml:space="preserve">. The related part of Proposal is copied below with marked color.  </w:t>
            </w:r>
          </w:p>
          <w:p w14:paraId="18AE46B8"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After one actual TDW starts, UE is expected to maintain the power consistency and phase continuity until one of the following conditions is met</w:t>
            </w:r>
            <w:r w:rsidRPr="000053CB">
              <w:rPr>
                <w:rFonts w:ascii="Times New Roman" w:eastAsia="MS Mincho" w:hAnsi="Times New Roman" w:cs="Times New Roman"/>
                <w:bCs/>
                <w:i/>
                <w:iCs/>
                <w:lang w:val="en-GB" w:eastAsia="ja-JP"/>
              </w:rPr>
              <w:t>, then the actual TDW is ended.</w:t>
            </w:r>
          </w:p>
          <w:p w14:paraId="70DBB30B"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eastAsia="ja-JP"/>
              </w:rPr>
              <w:t>The actual TDW</w:t>
            </w:r>
            <w:r w:rsidRPr="000053CB">
              <w:rPr>
                <w:rFonts w:ascii="Times New Roman" w:hAnsi="Times New Roman" w:cs="Times New Roman"/>
                <w:i/>
                <w:iCs/>
                <w:lang w:val="en-GB"/>
              </w:rPr>
              <w:t xml:space="preserve"> reaches the end of the last PUSCH transmission within the configured TDW.</w:t>
            </w:r>
          </w:p>
          <w:p w14:paraId="3770A1A9"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eastAsia="Batang" w:hAnsi="Times New Roman" w:cs="Times New Roman"/>
                <w:i/>
                <w:iCs/>
                <w:kern w:val="0"/>
                <w:szCs w:val="21"/>
                <w:lang w:val="en-GB"/>
              </w:rPr>
              <w:t xml:space="preserve">FFS: </w:t>
            </w:r>
            <w:r w:rsidRPr="000053CB">
              <w:rPr>
                <w:rFonts w:ascii="Times New Roman" w:hAnsi="Times New Roman" w:cs="Times New Roman"/>
                <w:i/>
                <w:iCs/>
                <w:kern w:val="0"/>
                <w:szCs w:val="21"/>
                <w:lang w:val="en-GB"/>
              </w:rPr>
              <w:t xml:space="preserve">The end of the </w:t>
            </w:r>
            <w:r w:rsidRPr="000053CB">
              <w:rPr>
                <w:rFonts w:ascii="Times New Roman" w:hAnsi="Times New Roman" w:cs="Times New Roman" w:hint="eastAsia"/>
                <w:i/>
                <w:iCs/>
                <w:kern w:val="0"/>
                <w:szCs w:val="21"/>
                <w:lang w:val="en-GB"/>
              </w:rPr>
              <w:t xml:space="preserve">actual TDW </w:t>
            </w:r>
            <w:r w:rsidRPr="000053CB">
              <w:rPr>
                <w:rFonts w:ascii="Times New Roman" w:hAnsi="Times New Roman" w:cs="Times New Roman"/>
                <w:i/>
                <w:iCs/>
                <w:kern w:val="0"/>
                <w:szCs w:val="21"/>
                <w:lang w:val="en-GB"/>
              </w:rPr>
              <w:t>is</w:t>
            </w:r>
            <w:r w:rsidRPr="000053CB">
              <w:rPr>
                <w:rFonts w:ascii="Times New Roman" w:eastAsia="Batang" w:hAnsi="Times New Roman" w:cs="Times New Roman"/>
                <w:i/>
                <w:iCs/>
                <w:kern w:val="0"/>
                <w:szCs w:val="21"/>
                <w:lang w:val="en-GB"/>
              </w:rPr>
              <w:t xml:space="preserve"> the last available slot/symbol, or the last </w:t>
            </w:r>
            <w:r w:rsidRPr="000053CB">
              <w:rPr>
                <w:rFonts w:ascii="Times New Roman" w:eastAsia="Batang" w:hAnsi="Times New Roman" w:cs="Times New Roman" w:hint="eastAsia"/>
                <w:i/>
                <w:iCs/>
                <w:kern w:val="0"/>
                <w:szCs w:val="21"/>
                <w:lang w:val="en-GB"/>
              </w:rPr>
              <w:t>physical</w:t>
            </w:r>
            <w:r w:rsidRPr="000053CB">
              <w:rPr>
                <w:rFonts w:ascii="Times New Roman" w:eastAsia="Batang" w:hAnsi="Times New Roman" w:cs="Times New Roman"/>
                <w:i/>
                <w:iCs/>
                <w:kern w:val="0"/>
                <w:szCs w:val="21"/>
                <w:lang w:val="en-GB"/>
              </w:rPr>
              <w:t xml:space="preserve"> slot/symbol for the last PUSCH transmission.</w:t>
            </w:r>
          </w:p>
          <w:p w14:paraId="76F6A330"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sidRPr="000053CB">
              <w:rPr>
                <w:rFonts w:ascii="Times New Roman" w:hAnsi="Times New Roman" w:cs="Times New Roman"/>
                <w:i/>
                <w:iCs/>
                <w:color w:val="FF0000"/>
                <w:highlight w:val="green"/>
                <w:lang w:val="en-GB"/>
              </w:rPr>
              <w:t>The actual</w:t>
            </w:r>
            <w:r w:rsidRPr="000053CB">
              <w:rPr>
                <w:rFonts w:ascii="Times New Roman" w:hAnsi="Times New Roman" w:cs="Times New Roman" w:hint="eastAsia"/>
                <w:i/>
                <w:iCs/>
                <w:color w:val="FF0000"/>
                <w:highlight w:val="green"/>
                <w:lang w:val="en-GB"/>
              </w:rPr>
              <w:t xml:space="preserve"> </w:t>
            </w:r>
            <w:r w:rsidRPr="000053CB">
              <w:rPr>
                <w:rFonts w:ascii="Times New Roman" w:hAnsi="Times New Roman" w:cs="Times New Roman"/>
                <w:i/>
                <w:iCs/>
                <w:color w:val="FF0000"/>
                <w:highlight w:val="green"/>
                <w:lang w:val="en-GB"/>
              </w:rPr>
              <w:t>TDW reaches the maximum duration</w:t>
            </w:r>
          </w:p>
          <w:p w14:paraId="6EDF5D9F"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eastAsia="ja-JP"/>
              </w:rPr>
              <w:t>A</w:t>
            </w:r>
            <w:r w:rsidRPr="000053CB">
              <w:rPr>
                <w:rFonts w:ascii="Times New Roman" w:hAnsi="Times New Roman" w:cs="Times New Roman" w:hint="eastAsia"/>
                <w:i/>
                <w:iCs/>
                <w:lang w:val="en-GB"/>
              </w:rPr>
              <w:t>n</w:t>
            </w:r>
            <w:r w:rsidRPr="000053CB">
              <w:rPr>
                <w:rFonts w:ascii="Times New Roman" w:hAnsi="Times New Roman" w:cs="Times New Roman"/>
                <w:i/>
                <w:iCs/>
                <w:lang w:val="en-GB" w:eastAsia="ja-JP"/>
              </w:rPr>
              <w:t xml:space="preserv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occurs that violates power consistency and phase continuity</w:t>
            </w:r>
          </w:p>
          <w:p w14:paraId="0A17A044" w14:textId="77777777" w:rsidR="000053CB" w:rsidRPr="000053CB" w:rsidRDefault="000053CB" w:rsidP="000053CB">
            <w:pPr>
              <w:widowControl/>
              <w:numPr>
                <w:ilvl w:val="3"/>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FFS: The </w:t>
            </w:r>
            <w:r w:rsidRPr="000053CB">
              <w:rPr>
                <w:rFonts w:ascii="Times New Roman" w:hAnsi="Times New Roman" w:cs="Times New Roman"/>
                <w:i/>
                <w:iCs/>
                <w:highlight w:val="cyan"/>
                <w:lang w:val="en-GB"/>
              </w:rPr>
              <w:t>events</w:t>
            </w:r>
            <w:r w:rsidRPr="000053CB">
              <w:rPr>
                <w:rFonts w:ascii="Times New Roman" w:hAnsi="Times New Roman" w:cs="Times New Roman"/>
                <w:i/>
                <w:iCs/>
                <w:lang w:val="en-GB"/>
              </w:rPr>
              <w:t xml:space="preserve"> may include e.g., </w:t>
            </w:r>
            <w:r w:rsidRPr="000053CB">
              <w:rPr>
                <w:rFonts w:ascii="Times New Roman" w:hAnsi="Times New Roman" w:cs="Times New Roman"/>
                <w:i/>
                <w:iCs/>
                <w:color w:val="FF0000"/>
                <w:lang w:val="en-GB"/>
              </w:rPr>
              <w:t>a DL slot based on</w:t>
            </w:r>
            <w:r w:rsidRPr="000053CB">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476BFBC9" w14:textId="77777777" w:rsidR="000053CB" w:rsidRPr="000053CB" w:rsidRDefault="000053CB" w:rsidP="000053CB">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sidRPr="000053CB">
              <w:rPr>
                <w:rFonts w:ascii="Times New Roman" w:hAnsi="Times New Roman" w:cs="Times New Roman"/>
                <w:i/>
                <w:iCs/>
                <w:kern w:val="0"/>
                <w:szCs w:val="21"/>
                <w:lang w:val="en-GB"/>
              </w:rPr>
              <w:t xml:space="preserve">FFS: The end of the </w:t>
            </w:r>
            <w:r w:rsidRPr="000053CB">
              <w:rPr>
                <w:rFonts w:ascii="Times New Roman" w:hAnsi="Times New Roman" w:cs="Times New Roman" w:hint="eastAsia"/>
                <w:i/>
                <w:iCs/>
                <w:kern w:val="0"/>
                <w:szCs w:val="21"/>
                <w:lang w:val="en-GB"/>
              </w:rPr>
              <w:t>actual TDW</w:t>
            </w:r>
            <w:r w:rsidRPr="000053CB">
              <w:rPr>
                <w:rFonts w:ascii="Times New Roman" w:hAnsi="Times New Roman" w:cs="Times New Roman"/>
                <w:i/>
                <w:iCs/>
                <w:kern w:val="0"/>
                <w:szCs w:val="21"/>
                <w:lang w:val="en-GB"/>
              </w:rPr>
              <w:t xml:space="preserve"> is the</w:t>
            </w:r>
            <w:r w:rsidRPr="000053CB">
              <w:rPr>
                <w:rFonts w:ascii="Times New Roman" w:hAnsi="Times New Roman" w:cs="Times New Roman" w:hint="eastAsia"/>
                <w:i/>
                <w:iCs/>
                <w:kern w:val="0"/>
                <w:szCs w:val="21"/>
                <w:lang w:val="en-GB"/>
              </w:rPr>
              <w:t xml:space="preserve"> last </w:t>
            </w:r>
            <w:r w:rsidRPr="000053CB">
              <w:rPr>
                <w:rFonts w:ascii="Times New Roman" w:hAnsi="Times New Roman" w:cs="Times New Roman"/>
                <w:i/>
                <w:iCs/>
                <w:kern w:val="0"/>
                <w:szCs w:val="21"/>
                <w:lang w:val="en-GB"/>
              </w:rPr>
              <w:t>available slot/symbol</w:t>
            </w:r>
            <w:r w:rsidRPr="000053CB">
              <w:rPr>
                <w:rFonts w:ascii="Times New Roman" w:hAnsi="Times New Roman" w:cs="Times New Roman" w:hint="eastAsia"/>
                <w:i/>
                <w:iCs/>
                <w:kern w:val="0"/>
                <w:szCs w:val="21"/>
                <w:lang w:val="en-GB"/>
              </w:rPr>
              <w:t xml:space="preserve"> </w:t>
            </w:r>
            <w:r w:rsidRPr="000053CB">
              <w:rPr>
                <w:rFonts w:ascii="Times New Roman" w:hAnsi="Times New Roman" w:cs="Times New Roman"/>
                <w:i/>
                <w:iCs/>
                <w:kern w:val="0"/>
                <w:szCs w:val="21"/>
                <w:lang w:val="en-GB"/>
              </w:rPr>
              <w:t xml:space="preserve">of the PUSCH transmission right before an event such that the power consistency and phase continuity are </w:t>
            </w:r>
            <w:r w:rsidRPr="000053CB">
              <w:rPr>
                <w:rFonts w:ascii="Times New Roman" w:hAnsi="Times New Roman" w:cs="Times New Roman" w:hint="eastAsia"/>
                <w:i/>
                <w:iCs/>
                <w:kern w:val="0"/>
                <w:szCs w:val="21"/>
                <w:lang w:val="en-GB"/>
              </w:rPr>
              <w:t>violated.</w:t>
            </w:r>
          </w:p>
          <w:p w14:paraId="14A738DF" w14:textId="77777777" w:rsidR="000053CB" w:rsidRPr="000053CB" w:rsidRDefault="000053CB" w:rsidP="000053CB">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hint="eastAsia"/>
                <w:i/>
                <w:iCs/>
                <w:lang w:val="en-GB" w:eastAsia="ja-JP"/>
              </w:rPr>
              <w:t>I</w:t>
            </w:r>
            <w:r w:rsidRPr="000053CB">
              <w:rPr>
                <w:rFonts w:ascii="Times New Roman" w:hAnsi="Times New Roman" w:cs="Times New Roman"/>
                <w:i/>
                <w:iCs/>
                <w:lang w:val="en-GB" w:eastAsia="ja-JP"/>
              </w:rPr>
              <w:t xml:space="preserve">f the power consistency and phase continuity are violated due to an </w:t>
            </w:r>
            <w:r w:rsidRPr="000053CB">
              <w:rPr>
                <w:rFonts w:ascii="Times New Roman" w:hAnsi="Times New Roman" w:cs="Times New Roman" w:hint="eastAsia"/>
                <w:i/>
                <w:iCs/>
                <w:highlight w:val="cyan"/>
                <w:lang w:val="en-GB" w:eastAsia="ja-JP"/>
              </w:rPr>
              <w:t>event</w:t>
            </w:r>
            <w:r w:rsidRPr="000053CB">
              <w:rPr>
                <w:rFonts w:ascii="Times New Roman" w:hAnsi="Times New Roman" w:cs="Times New Roman" w:hint="eastAsia"/>
                <w:i/>
                <w:iCs/>
                <w:highlight w:val="cyan"/>
                <w:lang w:val="en-GB"/>
              </w:rPr>
              <w:t>,</w:t>
            </w:r>
            <w:r w:rsidRPr="000053CB">
              <w:rPr>
                <w:rFonts w:ascii="Times New Roman" w:hAnsi="Times New Roman" w:cs="Times New Roman" w:hint="eastAsia"/>
                <w:i/>
                <w:iCs/>
                <w:lang w:val="en-GB"/>
              </w:rPr>
              <w:t xml:space="preserve"> whether a new actual TDW is created is subject to UE capability of supporting restarting DMRS bundling.</w:t>
            </w:r>
          </w:p>
          <w:p w14:paraId="6E3D773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sidRPr="000053CB">
              <w:rPr>
                <w:rFonts w:ascii="Times New Roman" w:hAnsi="Times New Roman" w:cs="Times New Roman"/>
                <w:i/>
                <w:iCs/>
                <w:lang w:val="en-GB"/>
              </w:rPr>
              <w:t xml:space="preserve">If UE is capable of </w:t>
            </w:r>
            <w:r w:rsidRPr="000053CB">
              <w:rPr>
                <w:rFonts w:ascii="Times New Roman" w:hAnsi="Times New Roman" w:cs="Times New Roman" w:hint="eastAsia"/>
                <w:i/>
                <w:iCs/>
                <w:lang w:val="en-GB"/>
              </w:rPr>
              <w:t>restarting</w:t>
            </w:r>
            <w:r w:rsidRPr="000053CB">
              <w:rPr>
                <w:rFonts w:ascii="Times New Roman" w:hAnsi="Times New Roman" w:cs="Times New Roman"/>
                <w:i/>
                <w:iCs/>
                <w:lang w:val="en-GB"/>
              </w:rPr>
              <w:t xml:space="preserve"> DM-RS bundling, </w:t>
            </w:r>
            <w:r w:rsidRPr="000053CB">
              <w:rPr>
                <w:rFonts w:ascii="Times New Roman" w:hAnsi="Times New Roman" w:cs="Times New Roman"/>
                <w:i/>
                <w:iCs/>
                <w:lang w:val="en-GB" w:eastAsia="ja-JP"/>
              </w:rPr>
              <w:t xml:space="preserve">one new actual TDW is created after the </w:t>
            </w:r>
            <w:r w:rsidRPr="000053CB">
              <w:rPr>
                <w:rFonts w:ascii="Times New Roman" w:hAnsi="Times New Roman" w:cs="Times New Roman"/>
                <w:i/>
                <w:iCs/>
                <w:highlight w:val="cyan"/>
                <w:lang w:val="en-GB" w:eastAsia="ja-JP"/>
              </w:rPr>
              <w:t>event</w:t>
            </w:r>
            <w:r w:rsidRPr="000053CB">
              <w:rPr>
                <w:rFonts w:ascii="Times New Roman" w:hAnsi="Times New Roman" w:cs="Times New Roman"/>
                <w:i/>
                <w:iCs/>
                <w:lang w:val="en-GB" w:eastAsia="ja-JP"/>
              </w:rPr>
              <w:t xml:space="preserve">, </w:t>
            </w:r>
          </w:p>
          <w:p w14:paraId="471429CA" w14:textId="77777777" w:rsidR="000053CB" w:rsidRPr="000053CB" w:rsidRDefault="000053CB" w:rsidP="000053CB">
            <w:pPr>
              <w:widowControl/>
              <w:numPr>
                <w:ilvl w:val="3"/>
                <w:numId w:val="18"/>
              </w:numPr>
              <w:autoSpaceDE w:val="0"/>
              <w:autoSpaceDN w:val="0"/>
              <w:snapToGrid w:val="0"/>
              <w:spacing w:after="120" w:line="252" w:lineRule="auto"/>
              <w:rPr>
                <w:rFonts w:ascii="Calibri" w:hAnsi="Calibri" w:cs="Calibri"/>
                <w:i/>
                <w:iCs/>
                <w:sz w:val="22"/>
                <w:lang w:eastAsia="en-US"/>
              </w:rPr>
            </w:pPr>
            <w:r w:rsidRPr="000053CB">
              <w:rPr>
                <w:rFonts w:ascii="Times New Roman" w:hAnsi="Times New Roman" w:cs="Times New Roman"/>
                <w:i/>
                <w:iCs/>
                <w:lang w:val="en-GB"/>
              </w:rPr>
              <w:t>FFS: The start of the new actual</w:t>
            </w:r>
            <w:r w:rsidRPr="000053CB">
              <w:rPr>
                <w:rFonts w:ascii="Times New Roman" w:hAnsi="Times New Roman" w:cs="Times New Roman" w:hint="eastAsia"/>
                <w:i/>
                <w:iCs/>
                <w:lang w:val="en-GB"/>
              </w:rPr>
              <w:t xml:space="preserve"> </w:t>
            </w:r>
            <w:r w:rsidRPr="000053CB">
              <w:rPr>
                <w:rFonts w:ascii="Times New Roman" w:hAnsi="Times New Roman" w:cs="Times New Roman"/>
                <w:i/>
                <w:iCs/>
                <w:lang w:val="en-GB"/>
              </w:rPr>
              <w:t xml:space="preserve">TDW is the first available slot/symbol for PUSCH transmission after the </w:t>
            </w:r>
            <w:r w:rsidRPr="000053CB">
              <w:rPr>
                <w:rFonts w:ascii="Times New Roman" w:hAnsi="Times New Roman" w:cs="Times New Roman"/>
                <w:i/>
                <w:iCs/>
                <w:highlight w:val="cyan"/>
                <w:lang w:val="en-GB" w:eastAsia="ko-KR"/>
              </w:rPr>
              <w:t>event</w:t>
            </w:r>
            <w:r w:rsidRPr="000053CB">
              <w:rPr>
                <w:rFonts w:ascii="Times New Roman" w:hAnsi="Times New Roman" w:cs="Times New Roman"/>
                <w:i/>
                <w:iCs/>
                <w:lang w:val="en-GB"/>
              </w:rPr>
              <w:t>.</w:t>
            </w:r>
          </w:p>
          <w:p w14:paraId="6B9400EC"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lang w:val="en-GB"/>
              </w:rPr>
              <w:t xml:space="preserve">If UE is not capable of restarting DM-RS bundling, no </w:t>
            </w:r>
            <w:r w:rsidRPr="000053CB">
              <w:rPr>
                <w:rFonts w:ascii="Times New Roman" w:hAnsi="Times New Roman" w:cs="Times New Roman" w:hint="eastAsia"/>
                <w:i/>
                <w:iCs/>
                <w:lang w:val="en-GB"/>
              </w:rPr>
              <w:t xml:space="preserve">new </w:t>
            </w:r>
            <w:r w:rsidRPr="000053CB">
              <w:rPr>
                <w:rFonts w:ascii="Times New Roman" w:hAnsi="Times New Roman" w:cs="Times New Roman"/>
                <w:i/>
                <w:iCs/>
                <w:lang w:val="en-GB"/>
              </w:rPr>
              <w:t>actual TDW is created until the end of the configured TDW.</w:t>
            </w:r>
          </w:p>
          <w:p w14:paraId="27F45612" w14:textId="77777777"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i/>
                <w:iCs/>
                <w:lang w:val="en-GB"/>
              </w:rPr>
            </w:pPr>
            <w:r w:rsidRPr="000053CB">
              <w:rPr>
                <w:rFonts w:ascii="Times New Roman" w:hAnsi="Times New Roman" w:cs="Times New Roman"/>
                <w:i/>
                <w:iCs/>
              </w:rPr>
              <w:t xml:space="preserve">FFS: UE capability </w:t>
            </w:r>
            <w:r w:rsidRPr="000053CB">
              <w:rPr>
                <w:rFonts w:ascii="Times New Roman" w:hAnsi="Times New Roman" w:cs="Times New Roman"/>
                <w:i/>
                <w:iCs/>
                <w:color w:val="FF0000"/>
              </w:rPr>
              <w:t>of restarting DMRS bundling</w:t>
            </w:r>
            <w:r w:rsidRPr="000053CB">
              <w:rPr>
                <w:rFonts w:ascii="Times New Roman" w:hAnsi="Times New Roman" w:cs="Times New Roman"/>
                <w:i/>
                <w:iCs/>
              </w:rPr>
              <w:t xml:space="preserve"> is applied only to dynamic </w:t>
            </w:r>
            <w:r w:rsidRPr="000053CB">
              <w:rPr>
                <w:rFonts w:ascii="Times New Roman" w:hAnsi="Times New Roman" w:cs="Times New Roman"/>
                <w:i/>
                <w:iCs/>
                <w:highlight w:val="cyan"/>
              </w:rPr>
              <w:t>event</w:t>
            </w:r>
            <w:r w:rsidRPr="000053CB">
              <w:rPr>
                <w:rFonts w:ascii="Times New Roman" w:hAnsi="Times New Roman" w:cs="Times New Roman"/>
                <w:i/>
                <w:iCs/>
              </w:rPr>
              <w:t xml:space="preserve"> or not</w:t>
            </w:r>
          </w:p>
          <w:p w14:paraId="20D1FA43" w14:textId="77777777" w:rsidR="008E115E"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There are t</w:t>
            </w:r>
            <w:r w:rsidR="000053CB">
              <w:rPr>
                <w:rFonts w:ascii="Times New Roman" w:eastAsia="MS Mincho" w:hAnsi="Times New Roman" w:cs="Times New Roman"/>
                <w:lang w:val="en-GB" w:eastAsia="ja-JP"/>
              </w:rPr>
              <w:t xml:space="preserve">wo possible ways to solve the issue, </w:t>
            </w:r>
          </w:p>
          <w:p w14:paraId="66BBCD90" w14:textId="24FCFECE" w:rsidR="000053CB" w:rsidRDefault="008E115E" w:rsidP="000053CB">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F</w:t>
            </w:r>
            <w:r w:rsidR="000053CB">
              <w:rPr>
                <w:rFonts w:ascii="Times New Roman" w:eastAsia="MS Mincho" w:hAnsi="Times New Roman" w:cs="Times New Roman"/>
                <w:lang w:val="en-GB" w:eastAsia="ja-JP"/>
              </w:rPr>
              <w:t xml:space="preserve">irst one is to define the UE behaviour for this case, such as </w:t>
            </w:r>
          </w:p>
          <w:p w14:paraId="2F1616E1" w14:textId="731797BC" w:rsidR="000053CB" w:rsidRPr="000053CB" w:rsidRDefault="000053CB" w:rsidP="000053CB">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0053CB">
              <w:rPr>
                <w:rFonts w:ascii="Times New Roman" w:hAnsi="Times New Roman" w:cs="Times New Roman"/>
                <w:color w:val="FF0000"/>
                <w:lang w:val="en-GB"/>
              </w:rPr>
              <w:t>The actual</w:t>
            </w:r>
            <w:r w:rsidRPr="000053CB">
              <w:rPr>
                <w:rFonts w:ascii="Times New Roman" w:hAnsi="Times New Roman" w:cs="Times New Roman" w:hint="eastAsia"/>
                <w:color w:val="FF0000"/>
                <w:lang w:val="en-GB"/>
              </w:rPr>
              <w:t xml:space="preserve"> </w:t>
            </w:r>
            <w:r w:rsidRPr="000053CB">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008E115E">
              <w:rPr>
                <w:rFonts w:ascii="Times New Roman" w:hAnsi="Times New Roman" w:cs="Times New Roman"/>
                <w:color w:val="FF0000"/>
                <w:lang w:val="en-GB"/>
              </w:rPr>
              <w:t>After that new actual TDW is created.</w:t>
            </w:r>
          </w:p>
          <w:p w14:paraId="033C0C0C" w14:textId="6F3272B8" w:rsidR="008E115E" w:rsidRDefault="008E115E" w:rsidP="008E115E">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5F0AEC78" w14:textId="411E9D46" w:rsidR="008E115E" w:rsidRDefault="008E115E" w:rsidP="008E115E">
            <w:pPr>
              <w:widowControl/>
              <w:spacing w:after="0" w:line="240" w:lineRule="auto"/>
              <w:jc w:val="left"/>
              <w:rPr>
                <w:rFonts w:ascii="Times New Roman" w:eastAsia="MS Mincho" w:hAnsi="Times New Roman" w:cs="Times New Roman"/>
                <w:lang w:val="en-GB" w:eastAsia="ja-JP"/>
              </w:rPr>
            </w:pPr>
          </w:p>
          <w:p w14:paraId="447A0AC0" w14:textId="77777777" w:rsidR="008E115E" w:rsidRDefault="008E115E" w:rsidP="008E115E">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FB4ACF" w14:textId="77777777" w:rsidR="008E115E" w:rsidRPr="00B35CF6" w:rsidRDefault="008E115E" w:rsidP="008E115E">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B35CF6">
              <w:rPr>
                <w:rFonts w:ascii="Times New Roman" w:hAnsi="Times New Roman" w:cs="Times New Roman"/>
                <w:color w:val="FF0000"/>
                <w:lang w:val="en-GB"/>
              </w:rPr>
              <w:t>The actual</w:t>
            </w:r>
            <w:r w:rsidRPr="00B35CF6">
              <w:rPr>
                <w:rFonts w:ascii="Times New Roman" w:hAnsi="Times New Roman" w:cs="Times New Roman" w:hint="eastAsia"/>
                <w:color w:val="FF0000"/>
                <w:lang w:val="en-GB"/>
              </w:rPr>
              <w:t xml:space="preserve"> </w:t>
            </w:r>
            <w:r w:rsidRPr="00B35CF6">
              <w:rPr>
                <w:rFonts w:ascii="Times New Roman" w:hAnsi="Times New Roman" w:cs="Times New Roman"/>
                <w:color w:val="FF0000"/>
                <w:lang w:val="en-GB"/>
              </w:rPr>
              <w:t>TDW reaches the maximum duration</w:t>
            </w:r>
          </w:p>
          <w:p w14:paraId="7B719F9E" w14:textId="77777777" w:rsidR="008E115E" w:rsidRDefault="008E115E" w:rsidP="008E115E">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w:t>
            </w:r>
            <w:r w:rsidRPr="00B35CF6">
              <w:rPr>
                <w:rFonts w:ascii="Times New Roman" w:hAnsi="Times New Roman" w:cs="Times New Roman"/>
                <w:lang w:val="en-GB"/>
              </w:rPr>
              <w:t>events</w:t>
            </w:r>
            <w:r>
              <w:rPr>
                <w:rFonts w:ascii="Times New Roman" w:hAnsi="Times New Roman" w:cs="Times New Roman"/>
                <w:lang w:val="en-GB"/>
              </w:rPr>
              <w:t xml:space="preserve">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4A911760" w14:textId="27AF9226" w:rsidR="000053CB" w:rsidRPr="000053CB" w:rsidRDefault="008E115E" w:rsidP="008E115E">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4F186B" w14:paraId="192C538C" w14:textId="77777777">
        <w:trPr>
          <w:trHeight w:val="409"/>
          <w:jc w:val="center"/>
        </w:trPr>
        <w:tc>
          <w:tcPr>
            <w:tcW w:w="1380" w:type="dxa"/>
            <w:shd w:val="clear" w:color="auto" w:fill="auto"/>
            <w:vAlign w:val="center"/>
          </w:tcPr>
          <w:p w14:paraId="6B1C907A" w14:textId="345DD9CA" w:rsidR="004F186B" w:rsidRDefault="004F186B">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Huawei, HiSilicon</w:t>
            </w:r>
          </w:p>
        </w:tc>
        <w:tc>
          <w:tcPr>
            <w:tcW w:w="1167" w:type="dxa"/>
          </w:tcPr>
          <w:p w14:paraId="41DF8BB6" w14:textId="0F78F5E0" w:rsidR="004F186B" w:rsidRDefault="004F186B">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37FF9478" w14:textId="2E7D3D89" w:rsidR="004F186B" w:rsidRDefault="004F186B">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D04DDD6" w14:textId="656B6B2A" w:rsidR="004F186B" w:rsidRDefault="004F186B" w:rsidP="00E6698B">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3D58D5DD" w14:textId="77777777" w:rsidR="004F186B" w:rsidRPr="004F186B" w:rsidRDefault="004F186B" w:rsidP="004F186B">
            <w:pPr>
              <w:widowControl/>
              <w:spacing w:after="0" w:line="240" w:lineRule="auto"/>
              <w:jc w:val="left"/>
              <w:rPr>
                <w:rFonts w:ascii="Times New Roman" w:eastAsia="Batang" w:hAnsi="Times New Roman" w:cs="Times New Roman"/>
                <w:kern w:val="0"/>
                <w:sz w:val="20"/>
                <w:szCs w:val="20"/>
                <w:lang w:eastAsia="en-US"/>
              </w:rPr>
            </w:pPr>
            <w:r w:rsidRPr="004F186B">
              <w:rPr>
                <w:rFonts w:ascii="Times" w:eastAsia="Batang" w:hAnsi="Times" w:cs="Times New Roman"/>
                <w:kern w:val="0"/>
                <w:sz w:val="20"/>
                <w:szCs w:val="20"/>
                <w:highlight w:val="green"/>
                <w:lang w:val="en-GB" w:eastAsia="en-US"/>
              </w:rPr>
              <w:t>Agreements:</w:t>
            </w:r>
          </w:p>
          <w:p w14:paraId="14116557" w14:textId="77777777" w:rsidR="004F186B" w:rsidRPr="004F186B" w:rsidRDefault="004F186B" w:rsidP="004F186B">
            <w:pPr>
              <w:widowControl/>
              <w:numPr>
                <w:ilvl w:val="0"/>
                <w:numId w:val="82"/>
              </w:numPr>
              <w:spacing w:after="0" w:line="252" w:lineRule="auto"/>
              <w:contextualSpacing/>
              <w:jc w:val="left"/>
              <w:rPr>
                <w:rFonts w:ascii="Gulim" w:eastAsia="Batang" w:hAnsi="Gulim" w:cs="Calibri"/>
                <w:kern w:val="0"/>
                <w:sz w:val="20"/>
                <w:szCs w:val="20"/>
                <w:lang w:val="en-GB" w:eastAsia="x-none"/>
              </w:rPr>
            </w:pPr>
            <w:r w:rsidRPr="004F186B">
              <w:rPr>
                <w:rFonts w:ascii="Times" w:eastAsia="Batang" w:hAnsi="Times" w:cs="Times New Roman"/>
                <w:kern w:val="0"/>
                <w:sz w:val="20"/>
                <w:szCs w:val="20"/>
                <w:lang w:val="en-GB" w:eastAsia="x-none"/>
              </w:rPr>
              <w:t>C</w:t>
            </w:r>
            <w:r w:rsidRPr="004F186B">
              <w:rPr>
                <w:rFonts w:ascii="Times" w:eastAsia="Batang" w:hAnsi="Times" w:cs="Times New Roman" w:hint="eastAsia"/>
                <w:kern w:val="0"/>
                <w:sz w:val="20"/>
                <w:szCs w:val="20"/>
                <w:lang w:val="en-GB" w:eastAsia="x-none"/>
              </w:rPr>
              <w:t xml:space="preserve">onsecutive physical slots for UL transmission can be used for TBoMS for unpaired spectrum </w:t>
            </w:r>
          </w:p>
          <w:p w14:paraId="7A697D37" w14:textId="77777777" w:rsidR="004F186B" w:rsidRPr="004F186B" w:rsidRDefault="004F186B" w:rsidP="004F186B">
            <w:pPr>
              <w:widowControl/>
              <w:numPr>
                <w:ilvl w:val="1"/>
                <w:numId w:val="82"/>
              </w:numPr>
              <w:spacing w:after="0" w:line="252" w:lineRule="auto"/>
              <w:contextualSpacing/>
              <w:jc w:val="left"/>
              <w:rPr>
                <w:rFonts w:ascii="Times" w:eastAsia="Batang" w:hAnsi="Times" w:cs="Times New Roman"/>
                <w:color w:val="FF0000"/>
                <w:kern w:val="0"/>
                <w:sz w:val="20"/>
                <w:szCs w:val="20"/>
                <w:lang w:val="en-GB" w:eastAsia="x-none"/>
              </w:rPr>
            </w:pPr>
            <w:r w:rsidRPr="004F186B">
              <w:rPr>
                <w:rFonts w:ascii="Times" w:eastAsia="Batang" w:hAnsi="Times" w:cs="Times New Roman"/>
                <w:kern w:val="0"/>
                <w:sz w:val="20"/>
                <w:szCs w:val="20"/>
                <w:lang w:val="en-GB" w:eastAsia="x-none"/>
              </w:rPr>
              <w:t xml:space="preserve">To resolve in RAN1#104b-e whether to support non-consecutive </w:t>
            </w:r>
            <w:r w:rsidRPr="004F186B">
              <w:rPr>
                <w:rFonts w:ascii="Times" w:eastAsia="Batang" w:hAnsi="Times" w:cs="Times New Roman" w:hint="eastAsia"/>
                <w:kern w:val="0"/>
                <w:sz w:val="20"/>
                <w:szCs w:val="20"/>
                <w:lang w:val="en-GB" w:eastAsia="x-none"/>
              </w:rPr>
              <w:t>physical slots for UL transmission for TBoMS for unpaired spectrum</w:t>
            </w:r>
            <w:r w:rsidRPr="004F186B">
              <w:rPr>
                <w:rFonts w:ascii="Times" w:eastAsia="Batang" w:hAnsi="Times" w:cs="Times New Roman"/>
                <w:kern w:val="0"/>
                <w:sz w:val="20"/>
                <w:szCs w:val="20"/>
                <w:lang w:val="en-GB" w:eastAsia="x-none"/>
              </w:rPr>
              <w:t xml:space="preserve"> </w:t>
            </w:r>
          </w:p>
          <w:p w14:paraId="3BF5932D" w14:textId="77777777" w:rsidR="004F186B" w:rsidRPr="004F186B" w:rsidRDefault="004F186B" w:rsidP="004F186B">
            <w:pPr>
              <w:widowControl/>
              <w:numPr>
                <w:ilvl w:val="0"/>
                <w:numId w:val="82"/>
              </w:numPr>
              <w:spacing w:after="0" w:line="252" w:lineRule="auto"/>
              <w:contextualSpacing/>
              <w:jc w:val="left"/>
              <w:rPr>
                <w:rFonts w:ascii="Times" w:eastAsia="Batang" w:hAnsi="Times" w:cs="Times New Roman"/>
                <w:kern w:val="0"/>
                <w:sz w:val="20"/>
                <w:szCs w:val="20"/>
                <w:lang w:val="en-GB" w:eastAsia="x-none"/>
              </w:rPr>
            </w:pPr>
            <w:r w:rsidRPr="004F186B">
              <w:rPr>
                <w:rFonts w:ascii="Times" w:eastAsia="Batang" w:hAnsi="Times" w:cs="Times New Roman" w:hint="eastAsia"/>
                <w:kern w:val="0"/>
                <w:sz w:val="20"/>
                <w:szCs w:val="20"/>
                <w:lang w:val="en-GB" w:eastAsia="x-none"/>
              </w:rPr>
              <w:t xml:space="preserve">Consecutive physical slots for UL transmission can be used for TBoMS for paired spectrum </w:t>
            </w:r>
            <w:r w:rsidRPr="004F186B">
              <w:rPr>
                <w:rFonts w:ascii="Times" w:eastAsia="Batang" w:hAnsi="Times" w:cs="Times New Roman" w:hint="eastAsia"/>
                <w:color w:val="FF0000"/>
                <w:kern w:val="0"/>
                <w:sz w:val="20"/>
                <w:szCs w:val="20"/>
                <w:lang w:val="en-GB" w:eastAsia="x-none"/>
              </w:rPr>
              <w:t>and the SUL band</w:t>
            </w:r>
            <w:r w:rsidRPr="004F186B">
              <w:rPr>
                <w:rFonts w:ascii="Times" w:eastAsia="Batang" w:hAnsi="Times" w:cs="Times New Roman" w:hint="eastAsia"/>
                <w:kern w:val="0"/>
                <w:sz w:val="20"/>
                <w:szCs w:val="20"/>
                <w:lang w:val="en-GB" w:eastAsia="x-none"/>
              </w:rPr>
              <w:t xml:space="preserve"> </w:t>
            </w:r>
          </w:p>
          <w:p w14:paraId="571C0A46" w14:textId="77777777" w:rsidR="004F186B" w:rsidRPr="004F186B" w:rsidRDefault="004F186B" w:rsidP="004F186B">
            <w:pPr>
              <w:widowControl/>
              <w:numPr>
                <w:ilvl w:val="1"/>
                <w:numId w:val="82"/>
              </w:numPr>
              <w:spacing w:after="0" w:line="252" w:lineRule="auto"/>
              <w:contextualSpacing/>
              <w:jc w:val="left"/>
              <w:rPr>
                <w:rFonts w:ascii="Times" w:eastAsia="Batang" w:hAnsi="Times" w:cs="Times New Roman"/>
                <w:kern w:val="0"/>
                <w:sz w:val="20"/>
                <w:szCs w:val="20"/>
                <w:lang w:val="en-GB" w:eastAsia="x-none"/>
              </w:rPr>
            </w:pPr>
            <w:r w:rsidRPr="004F186B">
              <w:rPr>
                <w:rFonts w:ascii="Times" w:eastAsia="Batang" w:hAnsi="Times" w:cs="Times New Roman" w:hint="eastAsia"/>
                <w:kern w:val="0"/>
                <w:sz w:val="20"/>
                <w:szCs w:val="20"/>
                <w:lang w:val="en-GB" w:eastAsia="x-none"/>
              </w:rPr>
              <w:t xml:space="preserve">FFS if non-consecutive physical slots for UL transmission are also supported for paired spectrum </w:t>
            </w:r>
            <w:r w:rsidRPr="004F186B">
              <w:rPr>
                <w:rFonts w:ascii="Times" w:eastAsia="Batang" w:hAnsi="Times" w:cs="Times New Roman" w:hint="eastAsia"/>
                <w:color w:val="FF0000"/>
                <w:kern w:val="0"/>
                <w:sz w:val="20"/>
                <w:szCs w:val="20"/>
                <w:lang w:val="en-GB" w:eastAsia="x-none"/>
              </w:rPr>
              <w:t>and the SUL band</w:t>
            </w:r>
          </w:p>
          <w:p w14:paraId="64FB1F12" w14:textId="77777777" w:rsidR="004F186B" w:rsidRDefault="004F186B" w:rsidP="00E6698B">
            <w:pPr>
              <w:widowControl/>
              <w:spacing w:after="0" w:line="240" w:lineRule="auto"/>
              <w:jc w:val="left"/>
              <w:rPr>
                <w:rFonts w:ascii="Times New Roman" w:eastAsia="MS Mincho" w:hAnsi="Times New Roman" w:cs="Times New Roman"/>
                <w:lang w:val="en-GB" w:eastAsia="ja-JP"/>
              </w:rPr>
            </w:pPr>
          </w:p>
          <w:p w14:paraId="62EF80C8" w14:textId="46854D07" w:rsidR="0043261C" w:rsidRPr="004F186B" w:rsidRDefault="004F186B" w:rsidP="0043261C">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Therefore, we don’t feel ZTE’s comment is </w:t>
            </w:r>
            <w:r w:rsidR="0043261C">
              <w:rPr>
                <w:rFonts w:ascii="Times New Roman" w:eastAsia="MS Mincho" w:hAnsi="Times New Roman" w:cs="Times New Roman"/>
                <w:lang w:val="en-GB" w:eastAsia="ja-JP"/>
              </w:rPr>
              <w:t>reasonable or technical</w:t>
            </w:r>
            <w:r>
              <w:rPr>
                <w:rFonts w:ascii="Times New Roman" w:eastAsia="MS Mincho" w:hAnsi="Times New Roman" w:cs="Times New Roman"/>
                <w:lang w:val="en-GB" w:eastAsia="ja-JP"/>
              </w:rPr>
              <w:t>. Remov</w:t>
            </w:r>
            <w:r w:rsidR="00923000">
              <w:rPr>
                <w:rFonts w:ascii="Times New Roman" w:eastAsia="MS Mincho" w:hAnsi="Times New Roman" w:cs="Times New Roman"/>
                <w:lang w:val="en-GB" w:eastAsia="ja-JP"/>
              </w:rPr>
              <w:t>ing SUL band or taking SUL as FFS is unacceptable.</w:t>
            </w:r>
            <w:r w:rsidR="0043261C">
              <w:rPr>
                <w:rFonts w:ascii="Times New Roman" w:eastAsia="MS Mincho" w:hAnsi="Times New Roman" w:cs="Times New Roman"/>
                <w:lang w:val="en-GB" w:eastAsia="ja-JP"/>
              </w:rPr>
              <w:t xml:space="preserve"> We prefer the FL proposal.</w:t>
            </w:r>
            <w:bookmarkStart w:id="19" w:name="_GoBack"/>
            <w:bookmarkEnd w:id="19"/>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or not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等线"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等线"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r>
        <w:rPr>
          <w:sz w:val="21"/>
          <w:szCs w:val="21"/>
        </w:rPr>
        <w:t>TBoMS,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r>
        <w:rPr>
          <w:sz w:val="21"/>
          <w:szCs w:val="21"/>
        </w:rPr>
        <w:t>TBoMS,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宋体"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0"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3"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4"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25"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6"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hint="eastAsia"/>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6"/>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R1-2106497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Huawei, HiSilicon</w:t>
      </w:r>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R1-2106613</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R1-2106657</w:t>
      </w:r>
      <w:r>
        <w:rPr>
          <w:rStyle w:val="Hyperlink"/>
          <w:rFonts w:ascii="Times New Roman" w:eastAsia="宋体" w:hAnsi="Times New Roman" w:cs="Times New Roman"/>
          <w:color w:val="auto"/>
          <w:kern w:val="0"/>
          <w:sz w:val="20"/>
          <w:szCs w:val="20"/>
          <w:u w:val="none"/>
          <w:lang w:eastAsia="en-US"/>
        </w:rPr>
        <w:tab/>
        <w:t>Joint channel estimation for PUSCH coverage enhancements</w:t>
      </w:r>
      <w:r>
        <w:rPr>
          <w:rStyle w:val="Hyperlink"/>
          <w:rFonts w:ascii="Times New Roman" w:eastAsia="宋体"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R1-2106711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Spreadtrum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R1-2106741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R1-2106817</w:t>
      </w:r>
      <w:r>
        <w:rPr>
          <w:rStyle w:val="Hyperlink"/>
          <w:rFonts w:ascii="Times New Roman" w:eastAsia="宋体" w:hAnsi="Times New Roman" w:cs="Times New Roman"/>
          <w:color w:val="auto"/>
          <w:kern w:val="0"/>
          <w:sz w:val="20"/>
          <w:szCs w:val="20"/>
          <w:u w:val="none"/>
          <w:lang w:eastAsia="en-US"/>
        </w:rPr>
        <w:tab/>
        <w:t>On joint channel estimation for PUSCH</w:t>
      </w:r>
      <w:r>
        <w:rPr>
          <w:rStyle w:val="Hyperlink"/>
          <w:rFonts w:ascii="Times New Roman" w:eastAsia="宋体"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R1-2106904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R1-2106990</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R1-2107125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R1-2107192</w:t>
      </w:r>
      <w:r>
        <w:rPr>
          <w:rStyle w:val="Hyperlink"/>
          <w:rFonts w:ascii="Times New Roman" w:eastAsia="宋体" w:hAnsi="Times New Roman" w:cs="Times New Roman"/>
          <w:color w:val="auto"/>
          <w:kern w:val="0"/>
          <w:sz w:val="20"/>
          <w:szCs w:val="20"/>
          <w:u w:val="none"/>
          <w:lang w:eastAsia="en-US"/>
        </w:rPr>
        <w:tab/>
        <w:t>Enhancements for joint channel estimation for multiple PUSCH</w:t>
      </w:r>
      <w:r>
        <w:rPr>
          <w:rStyle w:val="Hyperlink"/>
          <w:rFonts w:ascii="Times New Roman" w:eastAsia="宋体"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R1-2107258</w:t>
      </w:r>
      <w:r>
        <w:rPr>
          <w:rStyle w:val="Hyperlink"/>
          <w:rFonts w:ascii="Times New Roman" w:eastAsia="宋体" w:hAnsi="Times New Roman" w:cs="Times New Roman"/>
          <w:color w:val="auto"/>
          <w:kern w:val="0"/>
          <w:sz w:val="20"/>
          <w:szCs w:val="20"/>
          <w:u w:val="none"/>
          <w:lang w:eastAsia="en-US"/>
        </w:rPr>
        <w:tab/>
        <w:t>Consideration on Joint channel estimation for PUSCH</w:t>
      </w:r>
      <w:r>
        <w:rPr>
          <w:rStyle w:val="Hyperlink"/>
          <w:rFonts w:ascii="Times New Roman" w:eastAsia="宋体"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R1-2107361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R1-2107419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R1-2107524</w:t>
      </w:r>
      <w:r>
        <w:rPr>
          <w:rStyle w:val="Hyperlink"/>
          <w:rFonts w:ascii="Times New Roman" w:eastAsia="宋体" w:hAnsi="Times New Roman" w:cs="Times New Roman"/>
          <w:color w:val="auto"/>
          <w:kern w:val="0"/>
          <w:sz w:val="20"/>
          <w:szCs w:val="20"/>
          <w:u w:val="none"/>
          <w:lang w:eastAsia="en-US"/>
        </w:rPr>
        <w:tab/>
        <w:t>Discussion on Joint channel estimation over multi-slot PUSCH</w:t>
      </w:r>
      <w:r>
        <w:rPr>
          <w:rStyle w:val="Hyperlink"/>
          <w:rFonts w:ascii="Times New Roman" w:eastAsia="宋体"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R1-2107550</w:t>
      </w:r>
      <w:r>
        <w:rPr>
          <w:rStyle w:val="Hyperlink"/>
          <w:rFonts w:ascii="Times New Roman" w:eastAsia="宋体" w:hAnsi="Times New Roman" w:cs="Times New Roman"/>
          <w:color w:val="auto"/>
          <w:kern w:val="0"/>
          <w:sz w:val="20"/>
          <w:szCs w:val="20"/>
          <w:u w:val="none"/>
          <w:lang w:eastAsia="en-US"/>
        </w:rPr>
        <w:tab/>
        <w:t>Discussions on joint channel estimation for PUSCH</w:t>
      </w:r>
      <w:r>
        <w:rPr>
          <w:rStyle w:val="Hyperlink"/>
          <w:rFonts w:ascii="Times New Roman" w:eastAsia="宋体"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R1-2107604</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R1-2107633</w:t>
      </w:r>
      <w:r>
        <w:rPr>
          <w:rStyle w:val="Hyperlink"/>
          <w:rFonts w:ascii="Times New Roman" w:eastAsia="宋体" w:hAnsi="Times New Roman" w:cs="Times New Roman"/>
          <w:color w:val="auto"/>
          <w:kern w:val="0"/>
          <w:sz w:val="20"/>
          <w:szCs w:val="20"/>
          <w:u w:val="none"/>
          <w:lang w:eastAsia="en-US"/>
        </w:rPr>
        <w:tab/>
        <w:t>Design Considerations for Joint channel estimation for PUSCH</w:t>
      </w:r>
      <w:r>
        <w:rPr>
          <w:rStyle w:val="Hyperlink"/>
          <w:rFonts w:ascii="Times New Roman" w:eastAsia="宋体"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R1-2107652</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InterDigital,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R1-2107755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R1-2107801</w:t>
      </w:r>
      <w:r>
        <w:rPr>
          <w:rStyle w:val="Hyperlink"/>
          <w:rFonts w:ascii="Times New Roman" w:eastAsia="宋体" w:hAnsi="Times New Roman" w:cs="Times New Roman"/>
          <w:color w:val="auto"/>
          <w:kern w:val="0"/>
          <w:sz w:val="20"/>
          <w:szCs w:val="20"/>
          <w:u w:val="none"/>
          <w:lang w:eastAsia="en-US"/>
        </w:rPr>
        <w:tab/>
        <w:t>Joint channel estimation for multiple PUSCH transmission</w:t>
      </w:r>
      <w:r>
        <w:rPr>
          <w:rStyle w:val="Hyperlink"/>
          <w:rFonts w:ascii="Times New Roman" w:eastAsia="宋体"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R1-2107832</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R1-2107874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R1-2107937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R1-2108159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4D6EF" w14:textId="77777777" w:rsidR="00931A4F" w:rsidRDefault="00931A4F" w:rsidP="004F186B">
      <w:pPr>
        <w:spacing w:after="0" w:line="240" w:lineRule="auto"/>
      </w:pPr>
      <w:r>
        <w:separator/>
      </w:r>
    </w:p>
  </w:endnote>
  <w:endnote w:type="continuationSeparator" w:id="0">
    <w:p w14:paraId="6078ACF2" w14:textId="77777777" w:rsidR="00931A4F" w:rsidRDefault="00931A4F" w:rsidP="004F1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F4D11" w14:textId="77777777" w:rsidR="00931A4F" w:rsidRDefault="00931A4F" w:rsidP="004F186B">
      <w:pPr>
        <w:spacing w:after="0" w:line="240" w:lineRule="auto"/>
      </w:pPr>
      <w:r>
        <w:separator/>
      </w:r>
    </w:p>
  </w:footnote>
  <w:footnote w:type="continuationSeparator" w:id="0">
    <w:p w14:paraId="01F2FF9B" w14:textId="77777777" w:rsidR="00931A4F" w:rsidRDefault="00931A4F" w:rsidP="004F18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hybridMultilevel"/>
    <w:tmpl w:val="E60C0E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584C6F2"/>
    <w:multiLevelType w:val="singleLevel"/>
    <w:tmpl w:val="5584C6F2"/>
    <w:lvl w:ilvl="0">
      <w:start w:val="1"/>
      <w:numFmt w:val="decimal"/>
      <w:suff w:val="space"/>
      <w:lvlText w:val="%1)"/>
      <w:lvlJc w:val="left"/>
    </w:lvl>
  </w:abstractNum>
  <w:abstractNum w:abstractNumId="6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6"/>
  </w:num>
  <w:num w:numId="4">
    <w:abstractNumId w:val="74"/>
  </w:num>
  <w:num w:numId="5">
    <w:abstractNumId w:val="42"/>
  </w:num>
  <w:num w:numId="6">
    <w:abstractNumId w:val="38"/>
  </w:num>
  <w:num w:numId="7">
    <w:abstractNumId w:val="27"/>
  </w:num>
  <w:num w:numId="8">
    <w:abstractNumId w:val="79"/>
  </w:num>
  <w:num w:numId="9">
    <w:abstractNumId w:val="17"/>
  </w:num>
  <w:num w:numId="10">
    <w:abstractNumId w:val="67"/>
  </w:num>
  <w:num w:numId="11">
    <w:abstractNumId w:val="70"/>
  </w:num>
  <w:num w:numId="12">
    <w:abstractNumId w:val="77"/>
  </w:num>
  <w:num w:numId="13">
    <w:abstractNumId w:val="50"/>
  </w:num>
  <w:num w:numId="14">
    <w:abstractNumId w:val="78"/>
  </w:num>
  <w:num w:numId="15">
    <w:abstractNumId w:val="52"/>
  </w:num>
  <w:num w:numId="16">
    <w:abstractNumId w:val="73"/>
  </w:num>
  <w:num w:numId="17">
    <w:abstractNumId w:val="7"/>
  </w:num>
  <w:num w:numId="18">
    <w:abstractNumId w:val="62"/>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1"/>
  </w:num>
  <w:num w:numId="26">
    <w:abstractNumId w:val="14"/>
  </w:num>
  <w:num w:numId="27">
    <w:abstractNumId w:val="65"/>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69"/>
  </w:num>
  <w:num w:numId="35">
    <w:abstractNumId w:val="64"/>
  </w:num>
  <w:num w:numId="36">
    <w:abstractNumId w:val="53"/>
  </w:num>
  <w:num w:numId="37">
    <w:abstractNumId w:val="10"/>
  </w:num>
  <w:num w:numId="38">
    <w:abstractNumId w:val="36"/>
  </w:num>
  <w:num w:numId="39">
    <w:abstractNumId w:val="11"/>
  </w:num>
  <w:num w:numId="40">
    <w:abstractNumId w:val="21"/>
  </w:num>
  <w:num w:numId="41">
    <w:abstractNumId w:val="81"/>
  </w:num>
  <w:num w:numId="42">
    <w:abstractNumId w:val="28"/>
  </w:num>
  <w:num w:numId="43">
    <w:abstractNumId w:val="12"/>
  </w:num>
  <w:num w:numId="44">
    <w:abstractNumId w:val="63"/>
  </w:num>
  <w:num w:numId="45">
    <w:abstractNumId w:val="25"/>
  </w:num>
  <w:num w:numId="46">
    <w:abstractNumId w:val="59"/>
  </w:num>
  <w:num w:numId="47">
    <w:abstractNumId w:val="24"/>
  </w:num>
  <w:num w:numId="48">
    <w:abstractNumId w:val="49"/>
  </w:num>
  <w:num w:numId="49">
    <w:abstractNumId w:val="76"/>
  </w:num>
  <w:num w:numId="50">
    <w:abstractNumId w:val="80"/>
  </w:num>
  <w:num w:numId="51">
    <w:abstractNumId w:val="66"/>
  </w:num>
  <w:num w:numId="52">
    <w:abstractNumId w:val="4"/>
  </w:num>
  <w:num w:numId="53">
    <w:abstractNumId w:val="5"/>
  </w:num>
  <w:num w:numId="54">
    <w:abstractNumId w:val="6"/>
  </w:num>
  <w:num w:numId="55">
    <w:abstractNumId w:val="26"/>
  </w:num>
  <w:num w:numId="56">
    <w:abstractNumId w:val="68"/>
  </w:num>
  <w:num w:numId="57">
    <w:abstractNumId w:val="18"/>
  </w:num>
  <w:num w:numId="58">
    <w:abstractNumId w:val="19"/>
  </w:num>
  <w:num w:numId="59">
    <w:abstractNumId w:val="58"/>
  </w:num>
  <w:num w:numId="60">
    <w:abstractNumId w:val="43"/>
  </w:num>
  <w:num w:numId="61">
    <w:abstractNumId w:val="48"/>
  </w:num>
  <w:num w:numId="62">
    <w:abstractNumId w:val="72"/>
  </w:num>
  <w:num w:numId="63">
    <w:abstractNumId w:val="54"/>
  </w:num>
  <w:num w:numId="64">
    <w:abstractNumId w:val="8"/>
  </w:num>
  <w:num w:numId="65">
    <w:abstractNumId w:val="57"/>
  </w:num>
  <w:num w:numId="66">
    <w:abstractNumId w:val="75"/>
  </w:num>
  <w:num w:numId="67">
    <w:abstractNumId w:val="61"/>
  </w:num>
  <w:num w:numId="68">
    <w:abstractNumId w:val="55"/>
  </w:num>
  <w:num w:numId="69">
    <w:abstractNumId w:val="34"/>
  </w:num>
  <w:num w:numId="70">
    <w:abstractNumId w:val="60"/>
  </w:num>
  <w:num w:numId="71">
    <w:abstractNumId w:val="44"/>
  </w:num>
  <w:num w:numId="72">
    <w:abstractNumId w:val="37"/>
  </w:num>
  <w:num w:numId="73">
    <w:abstractNumId w:val="51"/>
  </w:num>
  <w:num w:numId="74">
    <w:abstractNumId w:val="41"/>
  </w:num>
  <w:num w:numId="75">
    <w:abstractNumId w:val="15"/>
  </w:num>
  <w:num w:numId="76">
    <w:abstractNumId w:val="45"/>
  </w:num>
  <w:num w:numId="77">
    <w:abstractNumId w:val="40"/>
  </w:num>
  <w:num w:numId="78">
    <w:abstractNumId w:val="47"/>
  </w:num>
  <w:num w:numId="79">
    <w:abstractNumId w:val="9"/>
  </w:num>
  <w:num w:numId="80">
    <w:abstractNumId w:val="22"/>
  </w:num>
  <w:num w:numId="81">
    <w:abstractNumId w:val="16"/>
  </w:num>
  <w:num w:numId="82">
    <w:abstractNumId w:val="31"/>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61C"/>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86B"/>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000"/>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A4F"/>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894316">
      <w:bodyDiv w:val="1"/>
      <w:marLeft w:val="0"/>
      <w:marRight w:val="0"/>
      <w:marTop w:val="0"/>
      <w:marBottom w:val="0"/>
      <w:divBdr>
        <w:top w:val="none" w:sz="0" w:space="0" w:color="auto"/>
        <w:left w:val="none" w:sz="0" w:space="0" w:color="auto"/>
        <w:bottom w:val="none" w:sz="0" w:space="0" w:color="auto"/>
        <w:right w:val="none" w:sz="0" w:space="0" w:color="auto"/>
      </w:divBdr>
      <w:divsChild>
        <w:div w:id="12409401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3.vsd"/><Relationship Id="rId34" Type="http://schemas.openxmlformats.org/officeDocument/2006/relationships/image" Target="media/image16.png"/><Relationship Id="rId42" Type="http://schemas.openxmlformats.org/officeDocument/2006/relationships/oleObject" Target="embeddings/Microsoft_Visio_2003-2010_Drawing67.vsd"/><Relationship Id="rId47" Type="http://schemas.openxmlformats.org/officeDocument/2006/relationships/package" Target="embeddings/Microsoft_Visio_Drawing34.vsdx"/><Relationship Id="rId50" Type="http://schemas.openxmlformats.org/officeDocument/2006/relationships/image" Target="media/image26.emf"/><Relationship Id="rId55" Type="http://schemas.openxmlformats.org/officeDocument/2006/relationships/oleObject" Target="embeddings/Microsoft_Visio_2003-2010_Drawing1213.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6.vsd"/><Relationship Id="rId45" Type="http://schemas.openxmlformats.org/officeDocument/2006/relationships/image" Target="media/image23.png"/><Relationship Id="rId53" Type="http://schemas.openxmlformats.org/officeDocument/2006/relationships/oleObject" Target="embeddings/Microsoft_Visio_2003-2010_Drawing1011.vsd"/><Relationship Id="rId58" Type="http://schemas.openxmlformats.org/officeDocument/2006/relationships/oleObject" Target="embeddings/Microsoft_Visio_2003-2010_Drawing1415.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2.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14.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10.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16.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12.vsd"/><Relationship Id="rId62"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package" Target="embeddings/Microsoft_Visio_Drawing23.vsdx"/><Relationship Id="rId49" Type="http://schemas.openxmlformats.org/officeDocument/2006/relationships/oleObject" Target="embeddings/Microsoft_Visio_2003-2010_Drawing89.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8.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EC3D040-BC90-4710-9020-1B73C5B6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174</Pages>
  <Words>57906</Words>
  <Characters>330066</Characters>
  <Application>Microsoft Office Word</Application>
  <DocSecurity>0</DocSecurity>
  <Lines>2750</Lines>
  <Paragraphs>774</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Frank</cp:lastModifiedBy>
  <cp:revision>10</cp:revision>
  <cp:lastPrinted>2021-04-15T03:16:00Z</cp:lastPrinted>
  <dcterms:created xsi:type="dcterms:W3CDTF">2021-08-30T09:20:00Z</dcterms:created>
  <dcterms:modified xsi:type="dcterms:W3CDTF">2021-08-30T11:32:00Z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