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9pt;height:60.3pt;mso-width-percent:0;mso-height-percent:0;mso-width-percent:0;mso-height-percent:0" o:ole="">
            <v:imagedata r:id="rId16" o:title=""/>
          </v:shape>
          <o:OLEObject Type="Embed" ProgID="Visio.Drawing.11" ShapeID="_x0000_i1025" DrawAspect="Content" ObjectID="_1691495400"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9pt;height:94.55pt;mso-width-percent:0;mso-height-percent:0;mso-width-percent:0;mso-height-percent:0" o:ole="">
            <v:imagedata r:id="rId18" o:title=""/>
          </v:shape>
          <o:OLEObject Type="Embed" ProgID="Visio.Drawing.11" ShapeID="_x0000_i1026" DrawAspect="Content" ObjectID="_1691495401"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9pt;height:60.3pt;mso-width-percent:0;mso-height-percent:0;mso-width-percent:0;mso-height-percent:0" o:ole="">
            <v:imagedata r:id="rId20" o:title=""/>
          </v:shape>
          <o:OLEObject Type="Embed" ProgID="Visio.Drawing.11" ShapeID="_x0000_i1027" DrawAspect="Content" ObjectID="_1691495402"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9pt;height:60.3pt;mso-width-percent:0;mso-height-percent:0;mso-width-percent:0;mso-height-percent:0" o:ole="">
            <v:imagedata r:id="rId22" o:title=""/>
          </v:shape>
          <o:OLEObject Type="Embed" ProgID="Visio.Drawing.11" ShapeID="_x0000_i1028" DrawAspect="Content" ObjectID="_1691495403"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9pt;height:94.55pt;mso-width-percent:0;mso-height-percent:0;mso-width-percent:0;mso-height-percent:0" o:ole="">
            <v:imagedata r:id="rId24" o:title=""/>
          </v:shape>
          <o:OLEObject Type="Embed" ProgID="Visio.Drawing.11" ShapeID="_x0000_i1029" DrawAspect="Content" ObjectID="_1691495404"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1pt;height:95.85pt;mso-width-percent:0;mso-height-percent:0;mso-width-percent:0;mso-height-percent:0" o:ole="">
            <v:imagedata r:id="rId29" o:title=""/>
          </v:shape>
          <o:OLEObject Type="Embed" ProgID="Visio.Drawing.15" ShapeID="_x0000_i1030" DrawAspect="Content" ObjectID="_1691495405"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75pt;height:100.2pt;mso-width-percent:0;mso-height-percent:0;mso-width-percent:0;mso-height-percent:0" o:ole="">
            <v:imagedata r:id="rId32" o:title=""/>
          </v:shape>
          <o:OLEObject Type="Embed" ProgID="Visio.Drawing.15" ShapeID="_x0000_i1031" DrawAspect="Content" ObjectID="_1691495406"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pt;height:148.35pt;mso-width-percent:0;mso-height-percent:0;mso-width-percent:0;mso-height-percent:0" o:ole="">
            <v:imagedata r:id="rId35" o:title=""/>
          </v:shape>
          <o:OLEObject Type="Embed" ProgID="Visio.Drawing.15" ShapeID="_x0000_i1032" DrawAspect="Content" ObjectID="_1691495407"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35pt;height:278pt;mso-width-percent:0;mso-height-percent:0;mso-width-percent:0;mso-height-percent:0" o:ole="">
            <v:imagedata r:id="rId39" o:title=""/>
          </v:shape>
          <o:OLEObject Type="Embed" ProgID="Visio.Drawing.11" ShapeID="_x0000_i1033" DrawAspect="Content" ObjectID="_1691495408" r:id="rId40"/>
        </w:object>
      </w:r>
    </w:p>
    <w:p w14:paraId="3137F324" w14:textId="77777777" w:rsidR="00AA3E2F" w:rsidRDefault="003D50F8">
      <w:pPr>
        <w:jc w:val="center"/>
      </w:pPr>
      <w:r>
        <w:rPr>
          <w:noProof/>
        </w:rPr>
        <w:object w:dxaOrig="6867" w:dyaOrig="6301" w14:anchorId="3137F9FB">
          <v:shape id="_x0000_i1034" type="#_x0000_t75" alt="" style="width:343.1pt;height:315.75pt;mso-width-percent:0;mso-height-percent:0;mso-width-percent:0;mso-height-percent:0" o:ole="">
            <v:imagedata r:id="rId41" o:title=""/>
          </v:shape>
          <o:OLEObject Type="Embed" ProgID="Visio.Drawing.11" ShapeID="_x0000_i1034" DrawAspect="Content" ObjectID="_1691495409" r:id="rId42"/>
        </w:object>
      </w:r>
    </w:p>
    <w:p w14:paraId="3137F325" w14:textId="77777777" w:rsidR="00AA3E2F" w:rsidRDefault="003D50F8">
      <w:pPr>
        <w:jc w:val="center"/>
      </w:pPr>
      <w:r>
        <w:rPr>
          <w:noProof/>
        </w:rPr>
        <w:object w:dxaOrig="6992" w:dyaOrig="5161" w14:anchorId="3137F9FC">
          <v:shape id="_x0000_i1035" type="#_x0000_t75" alt="" style="width:351.35pt;height:257.2pt;mso-width-percent:0;mso-height-percent:0;mso-width-percent:0;mso-height-percent:0" o:ole="">
            <v:imagedata r:id="rId43" o:title=""/>
          </v:shape>
          <o:OLEObject Type="Embed" ProgID="Visio.Drawing.11" ShapeID="_x0000_i1035" DrawAspect="Content" ObjectID="_1691495410"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3.15pt;height:116.65pt;mso-width-percent:0;mso-height-percent:0;mso-width-percent:0;mso-height-percent:0" o:ole="">
                  <v:imagedata r:id="rId46" o:title=""/>
                </v:shape>
                <o:OLEObject Type="Embed" ProgID="Visio.Drawing.15" ShapeID="_x0000_i1036" DrawAspect="Content" ObjectID="_1691495411"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65pt;height:295.35pt;mso-width-percent:0;mso-height-percent:0;mso-width-percent:0;mso-height-percent:0" o:ole="">
                  <v:imagedata r:id="rId48" o:title=""/>
                </v:shape>
                <o:OLEObject Type="Embed" ProgID="Visio.Drawing.11" ShapeID="_x0000_i1037" DrawAspect="Content" ObjectID="_1691495412"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65pt;height:334.4pt;mso-width-percent:0;mso-height-percent:0;mso-width-percent:0;mso-height-percent:0" o:ole="">
                  <v:imagedata r:id="rId50" o:title=""/>
                </v:shape>
                <o:OLEObject Type="Embed" ProgID="Visio.Drawing.11" ShapeID="_x0000_i1038" DrawAspect="Content" ObjectID="_1691495413"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35pt;height:281.05pt;mso-width-percent:0;mso-height-percent:0;mso-width-percent:0;mso-height-percent:0" o:ole="">
                  <v:imagedata r:id="rId52" o:title=""/>
                </v:shape>
                <o:OLEObject Type="Embed" ProgID="Visio.Drawing.11" ShapeID="_x0000_i1039" DrawAspect="Content" ObjectID="_1691495414"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65pt;height:295.35pt;mso-width-percent:0;mso-height-percent:0;mso-width-percent:0;mso-height-percent:0" o:ole="">
            <v:imagedata r:id="rId48" o:title=""/>
          </v:shape>
          <o:OLEObject Type="Embed" ProgID="Visio.Drawing.11" ShapeID="_x0000_i1040" DrawAspect="Content" ObjectID="_1691495415"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65pt;height:334.4pt;mso-width-percent:0;mso-height-percent:0;mso-width-percent:0;mso-height-percent:0" o:ole="">
            <v:imagedata r:id="rId50" o:title=""/>
          </v:shape>
          <o:OLEObject Type="Embed" ProgID="Visio.Drawing.11" ShapeID="_x0000_i1041" DrawAspect="Content" ObjectID="_1691495416"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35pt;height:281.05pt;mso-width-percent:0;mso-height-percent:0;mso-width-percent:0;mso-height-percent:0" o:ole="">
            <v:imagedata r:id="rId52" o:title=""/>
          </v:shape>
          <o:OLEObject Type="Embed" ProgID="Visio.Drawing.11" ShapeID="_x0000_i1042" DrawAspect="Content" ObjectID="_1691495417"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2pt;height:338.75pt;mso-width-percent:0;mso-height-percent:0;mso-width-percent:0;mso-height-percent:0" o:ole="">
                  <v:imagedata r:id="rId57" o:title=""/>
                </v:shape>
                <o:OLEObject Type="Embed" ProgID="Visio.Drawing.11" ShapeID="_x0000_i1043" DrawAspect="Content" ObjectID="_1691495418"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2pt;height:341.35pt;mso-width-percent:0;mso-height-percent:0;mso-width-percent:0;mso-height-percent:0" o:ole="">
                  <v:imagedata r:id="rId57" o:title=""/>
                </v:shape>
                <o:OLEObject Type="Embed" ProgID="Visio.Drawing.11" ShapeID="_x0000_i1044" DrawAspect="Content" ObjectID="_1691495419"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lastRenderedPageBreak/>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Heading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w:t>
            </w:r>
            <w:r>
              <w:rPr>
                <w:rFonts w:ascii="Times New Roman" w:hAnsi="Times New Roman" w:cs="Times New Roman"/>
                <w:b/>
                <w:szCs w:val="21"/>
                <w:lang w:val="en-GB"/>
              </w:rPr>
              <w:lastRenderedPageBreak/>
              <w:t xml:space="preserve">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lastRenderedPageBreak/>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 xml:space="preserve">So in conclusion, when L&gt;Md, the UE does not resume DMRS bundling when the configured time window exceeds the maximum duration but the UE starts a new DMRS </w:t>
            </w:r>
            <w:r>
              <w:rPr>
                <w:rFonts w:ascii="Times New Roman" w:hAnsi="Times New Roman" w:cs="Times New Roman"/>
                <w:bCs/>
              </w:rPr>
              <w:lastRenderedPageBreak/>
              <w:t>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lastRenderedPageBreak/>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lastRenderedPageBreak/>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w:t>
            </w:r>
            <w:r>
              <w:rPr>
                <w:rFonts w:ascii="Times New Roman" w:eastAsia="MS Mincho" w:hAnsi="Times New Roman" w:cs="Times New Roman"/>
                <w:lang w:eastAsia="ja-JP"/>
              </w:rPr>
              <w:lastRenderedPageBreak/>
              <w:t>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lastRenderedPageBreak/>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w:t>
            </w:r>
            <w:r>
              <w:rPr>
                <w:rFonts w:ascii="Times New Roman" w:hAnsi="Times New Roman" w:cs="Times New Roman" w:hint="eastAsia"/>
                <w:bCs/>
                <w:lang w:val="en-GB"/>
              </w:rPr>
              <w:lastRenderedPageBreak/>
              <w:t xml:space="preserve">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 xml:space="preserve">Even if we want to introduce additional implicit rules, they should be all semi-statically </w:t>
            </w:r>
            <w:r>
              <w:rPr>
                <w:rFonts w:ascii="Times New Roman" w:hAnsi="Times New Roman" w:cs="Times New Roman" w:hint="eastAsia"/>
              </w:rPr>
              <w:lastRenderedPageBreak/>
              <w:t>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lastRenderedPageBreak/>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 xml:space="preserve">@LG: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t>
            </w:r>
            <w:r w:rsidRPr="00DF1978">
              <w:rPr>
                <w:sz w:val="21"/>
                <w:szCs w:val="21"/>
              </w:rPr>
              <w:lastRenderedPageBreak/>
              <w:t>“Within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 xml:space="preserve">he start of the </w:t>
            </w:r>
            <w:r>
              <w:rPr>
                <w:rFonts w:ascii="Times New Roman" w:hAnsi="Times New Roman" w:cs="Times New Roman"/>
                <w:color w:val="FF0000"/>
              </w:rPr>
              <w:lastRenderedPageBreak/>
              <w:t>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lastRenderedPageBreak/>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45pt;height:189.55pt;mso-width-percent:0;mso-height-percent:0;mso-width-percent:0;mso-height-percent:0" o:ole="">
                  <v:imagedata r:id="rId61" o:title=""/>
                </v:shape>
                <o:OLEObject Type="Embed" ProgID="Visio.Drawing.15" ShapeID="_x0000_i1045" DrawAspect="Content" ObjectID="_1691495420"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With the new wording, almost all of the events which are used for “actual TDWs” determination within a “configured TDW” can then be used for determining the “configured TDWs” under the form of “semi-static configuration signaling”, then the Alt. </w:t>
            </w:r>
            <w:r>
              <w:rPr>
                <w:rFonts w:ascii="Times New Roman" w:hAnsi="Times New Roman" w:cs="Times New Roman"/>
              </w:rPr>
              <w:lastRenderedPageBreak/>
              <w:t>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lastRenderedPageBreak/>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ListParagraph"/>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ListParagraph"/>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lastRenderedPageBreak/>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ListBullet"/>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ListBullet"/>
              <w:numPr>
                <w:ilvl w:val="0"/>
                <w:numId w:val="0"/>
              </w:numPr>
              <w:spacing w:after="0"/>
            </w:pPr>
          </w:p>
          <w:p w14:paraId="2AFA104E" w14:textId="70EA4926" w:rsidR="008A64D7" w:rsidRDefault="008A64D7" w:rsidP="008A64D7">
            <w:pPr>
              <w:pStyle w:val="ListBullet"/>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ListParagraph"/>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ListBullet"/>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w:t>
            </w:r>
            <w:r>
              <w:rPr>
                <w:rFonts w:ascii="Times New Roman" w:hAnsi="Times New Roman" w:cs="Times New Roman"/>
                <w:bCs/>
              </w:rPr>
              <w:lastRenderedPageBreak/>
              <w:t xml:space="preserve">to PUSCH repetition type A only, given that joint channel estimation is also applied for repetition type B based on the agreements. </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w:t>
            </w:r>
            <w:r>
              <w:rPr>
                <w:rFonts w:ascii="Times New Roman" w:hAnsi="Times New Roman" w:cs="Times New Roman"/>
                <w:bCs/>
                <w:lang w:val="en-GB"/>
              </w:rPr>
              <w:lastRenderedPageBreak/>
              <w:t xml:space="preserve">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lastRenderedPageBreak/>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98F29" w14:textId="77777777" w:rsidR="00270015" w:rsidRDefault="00270015" w:rsidP="009D2AD8">
      <w:pPr>
        <w:spacing w:after="0" w:line="240" w:lineRule="auto"/>
      </w:pPr>
      <w:r>
        <w:separator/>
      </w:r>
    </w:p>
  </w:endnote>
  <w:endnote w:type="continuationSeparator" w:id="0">
    <w:p w14:paraId="5591EC55" w14:textId="77777777" w:rsidR="00270015" w:rsidRDefault="00270015"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B4EAF" w14:textId="77777777" w:rsidR="00270015" w:rsidRDefault="00270015" w:rsidP="009D2AD8">
      <w:pPr>
        <w:spacing w:after="0" w:line="240" w:lineRule="auto"/>
      </w:pPr>
      <w:r>
        <w:separator/>
      </w:r>
    </w:p>
  </w:footnote>
  <w:footnote w:type="continuationSeparator" w:id="0">
    <w:p w14:paraId="282575EF" w14:textId="77777777" w:rsidR="00270015" w:rsidRDefault="00270015"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163</Pages>
  <Words>54038</Words>
  <Characters>308021</Characters>
  <Application>Microsoft Office Word</Application>
  <DocSecurity>0</DocSecurity>
  <Lines>2566</Lines>
  <Paragraphs>722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361337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5</cp:revision>
  <cp:lastPrinted>2021-04-15T03:16:00Z</cp:lastPrinted>
  <dcterms:created xsi:type="dcterms:W3CDTF">2021-08-26T21:38:00Z</dcterms:created>
  <dcterms:modified xsi:type="dcterms:W3CDTF">2021-08-26T22:01:00Z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