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75pt;height:60.1pt;mso-width-percent:0;mso-height-percent:0;mso-width-percent:0;mso-height-percent:0" o:ole="">
            <v:imagedata r:id="rId16" o:title=""/>
          </v:shape>
          <o:OLEObject Type="Embed" ProgID="Visio.Drawing.11" ShapeID="_x0000_i1025" DrawAspect="Content" ObjectID="_1691495525"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75pt;height:94.55pt;mso-width-percent:0;mso-height-percent:0;mso-width-percent:0;mso-height-percent:0" o:ole="">
            <v:imagedata r:id="rId18" o:title=""/>
          </v:shape>
          <o:OLEObject Type="Embed" ProgID="Visio.Drawing.11" ShapeID="_x0000_i1026" DrawAspect="Content" ObjectID="_1691495526"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75pt;height:60.1pt;mso-width-percent:0;mso-height-percent:0;mso-width-percent:0;mso-height-percent:0" o:ole="">
            <v:imagedata r:id="rId20" o:title=""/>
          </v:shape>
          <o:OLEObject Type="Embed" ProgID="Visio.Drawing.11" ShapeID="_x0000_i1027" DrawAspect="Content" ObjectID="_1691495527"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75pt;height:60.1pt;mso-width-percent:0;mso-height-percent:0;mso-width-percent:0;mso-height-percent:0" o:ole="">
            <v:imagedata r:id="rId22" o:title=""/>
          </v:shape>
          <o:OLEObject Type="Embed" ProgID="Visio.Drawing.11" ShapeID="_x0000_i1028" DrawAspect="Content" ObjectID="_1691495528"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75pt;height:94.55pt;mso-width-percent:0;mso-height-percent:0;mso-width-percent:0;mso-height-percent:0" o:ole="">
            <v:imagedata r:id="rId24" o:title=""/>
          </v:shape>
          <o:OLEObject Type="Embed" ProgID="Visio.Drawing.11" ShapeID="_x0000_i1029" DrawAspect="Content" ObjectID="_1691495529"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5pt;height:95.8pt;mso-width-percent:0;mso-height-percent:0;mso-width-percent:0;mso-height-percent:0" o:ole="">
            <v:imagedata r:id="rId29" o:title=""/>
          </v:shape>
          <o:OLEObject Type="Embed" ProgID="Visio.Drawing.15" ShapeID="_x0000_i1030" DrawAspect="Content" ObjectID="_1691495530"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4pt;height:100.15pt;mso-width-percent:0;mso-height-percent:0;mso-width-percent:0;mso-height-percent:0" o:ole="">
            <v:imagedata r:id="rId32" o:title=""/>
          </v:shape>
          <o:OLEObject Type="Embed" ProgID="Visio.Drawing.15" ShapeID="_x0000_i1031" DrawAspect="Content" ObjectID="_1691495531"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3pt;height:148.4pt;mso-width-percent:0;mso-height-percent:0;mso-width-percent:0;mso-height-percent:0" o:ole="">
            <v:imagedata r:id="rId35" o:title=""/>
          </v:shape>
          <o:OLEObject Type="Embed" ProgID="Visio.Drawing.15" ShapeID="_x0000_i1032" DrawAspect="Content" ObjectID="_1691495532"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2pt;height:278pt;mso-width-percent:0;mso-height-percent:0;mso-width-percent:0;mso-height-percent:0" o:ole="">
            <v:imagedata r:id="rId39" o:title=""/>
          </v:shape>
          <o:OLEObject Type="Embed" ProgID="Visio.Drawing.11" ShapeID="_x0000_i1033" DrawAspect="Content" ObjectID="_1691495533" r:id="rId40"/>
        </w:object>
      </w:r>
    </w:p>
    <w:p w14:paraId="3137F324" w14:textId="77777777" w:rsidR="00AA3E2F" w:rsidRDefault="003D50F8">
      <w:pPr>
        <w:jc w:val="center"/>
      </w:pPr>
      <w:r>
        <w:rPr>
          <w:noProof/>
        </w:rPr>
        <w:object w:dxaOrig="6867" w:dyaOrig="6301" w14:anchorId="3137F9FB">
          <v:shape id="_x0000_i1034" type="#_x0000_t75" alt="" style="width:343.1pt;height:315.55pt;mso-width-percent:0;mso-height-percent:0;mso-width-percent:0;mso-height-percent:0" o:ole="">
            <v:imagedata r:id="rId41" o:title=""/>
          </v:shape>
          <o:OLEObject Type="Embed" ProgID="Visio.Drawing.11" ShapeID="_x0000_i1034" DrawAspect="Content" ObjectID="_1691495534" r:id="rId42"/>
        </w:object>
      </w:r>
    </w:p>
    <w:p w14:paraId="3137F325" w14:textId="77777777" w:rsidR="00AA3E2F" w:rsidRDefault="003D50F8">
      <w:pPr>
        <w:jc w:val="center"/>
      </w:pPr>
      <w:r>
        <w:rPr>
          <w:noProof/>
        </w:rPr>
        <w:object w:dxaOrig="6992" w:dyaOrig="5161" w14:anchorId="3137F9FC">
          <v:shape id="_x0000_i1035" type="#_x0000_t75" alt="" style="width:351.25pt;height:257.3pt;mso-width-percent:0;mso-height-percent:0;mso-width-percent:0;mso-height-percent:0" o:ole="">
            <v:imagedata r:id="rId43" o:title=""/>
          </v:shape>
          <o:OLEObject Type="Embed" ProgID="Visio.Drawing.11" ShapeID="_x0000_i1035" DrawAspect="Content" ObjectID="_1691495535"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05pt;height:116.45pt;mso-width-percent:0;mso-height-percent:0;mso-width-percent:0;mso-height-percent:0" o:ole="">
                  <v:imagedata r:id="rId46" o:title=""/>
                </v:shape>
                <o:OLEObject Type="Embed" ProgID="Visio.Drawing.15" ShapeID="_x0000_i1036" DrawAspect="Content" ObjectID="_1691495536"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45pt;height:295.5pt;mso-width-percent:0;mso-height-percent:0;mso-width-percent:0;mso-height-percent:0" o:ole="">
                  <v:imagedata r:id="rId48" o:title=""/>
                </v:shape>
                <o:OLEObject Type="Embed" ProgID="Visio.Drawing.11" ShapeID="_x0000_i1037" DrawAspect="Content" ObjectID="_1691495537"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45pt;height:334.35pt;mso-width-percent:0;mso-height-percent:0;mso-width-percent:0;mso-height-percent:0" o:ole="">
                  <v:imagedata r:id="rId50" o:title=""/>
                </v:shape>
                <o:OLEObject Type="Embed" ProgID="Visio.Drawing.11" ShapeID="_x0000_i1038" DrawAspect="Content" ObjectID="_1691495538"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25pt;height:281.1pt;mso-width-percent:0;mso-height-percent:0;mso-width-percent:0;mso-height-percent:0" o:ole="">
                  <v:imagedata r:id="rId52" o:title=""/>
                </v:shape>
                <o:OLEObject Type="Embed" ProgID="Visio.Drawing.11" ShapeID="_x0000_i1039" DrawAspect="Content" ObjectID="_1691495539"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45pt;height:295.5pt;mso-width-percent:0;mso-height-percent:0;mso-width-percent:0;mso-height-percent:0" o:ole="">
            <v:imagedata r:id="rId48" o:title=""/>
          </v:shape>
          <o:OLEObject Type="Embed" ProgID="Visio.Drawing.11" ShapeID="_x0000_i1040" DrawAspect="Content" ObjectID="_1691495540"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45pt;height:334.35pt;mso-width-percent:0;mso-height-percent:0;mso-width-percent:0;mso-height-percent:0" o:ole="">
            <v:imagedata r:id="rId50" o:title=""/>
          </v:shape>
          <o:OLEObject Type="Embed" ProgID="Visio.Drawing.11" ShapeID="_x0000_i1041" DrawAspect="Content" ObjectID="_1691495541"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25pt;height:281.1pt;mso-width-percent:0;mso-height-percent:0;mso-width-percent:0;mso-height-percent:0" o:ole="">
            <v:imagedata r:id="rId52" o:title=""/>
          </v:shape>
          <o:OLEObject Type="Embed" ProgID="Visio.Drawing.11" ShapeID="_x0000_i1042" DrawAspect="Content" ObjectID="_1691495542"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3pt;height:338.7pt;mso-width-percent:0;mso-height-percent:0;mso-width-percent:0;mso-height-percent:0" o:ole="">
                  <v:imagedata r:id="rId57" o:title=""/>
                </v:shape>
                <o:OLEObject Type="Embed" ProgID="Visio.Drawing.11" ShapeID="_x0000_i1043" DrawAspect="Content" ObjectID="_1691495543"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3pt;height:341.2pt;mso-width-percent:0;mso-height-percent:0;mso-width-percent:0;mso-height-percent:0" o:ole="">
                  <v:imagedata r:id="rId57" o:title=""/>
                </v:shape>
                <o:OLEObject Type="Embed" ProgID="Visio.Drawing.11" ShapeID="_x0000_i1044" DrawAspect="Content" ObjectID="_1691495544"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lastRenderedPageBreak/>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w:t>
            </w:r>
            <w:r>
              <w:rPr>
                <w:rFonts w:ascii="Times New Roman" w:hAnsi="Times New Roman" w:cs="Times New Roman"/>
                <w:b/>
                <w:szCs w:val="21"/>
                <w:lang w:val="en-GB"/>
              </w:rPr>
              <w:lastRenderedPageBreak/>
              <w:t xml:space="preserve">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 xml:space="preserve">So in conclusion, when L&gt;Md, the UE does not resume DMRS bundling when the configured time window exceeds the maximum duration but the UE starts a new DMRS </w:t>
            </w:r>
            <w:r>
              <w:rPr>
                <w:rFonts w:ascii="Times New Roman" w:hAnsi="Times New Roman" w:cs="Times New Roman"/>
                <w:bCs/>
              </w:rPr>
              <w:lastRenderedPageBreak/>
              <w:t>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lastRenderedPageBreak/>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lastRenderedPageBreak/>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w:t>
            </w:r>
            <w:r>
              <w:rPr>
                <w:rFonts w:ascii="Times New Roman" w:eastAsia="MS Mincho" w:hAnsi="Times New Roman" w:cs="Times New Roman"/>
                <w:lang w:eastAsia="ja-JP"/>
              </w:rPr>
              <w:lastRenderedPageBreak/>
              <w:t>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w:t>
            </w:r>
            <w:r>
              <w:rPr>
                <w:rFonts w:ascii="Times New Roman" w:hAnsi="Times New Roman" w:cs="Times New Roman" w:hint="eastAsia"/>
                <w:bCs/>
                <w:lang w:val="en-GB"/>
              </w:rPr>
              <w:lastRenderedPageBreak/>
              <w:t xml:space="preserve">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 xml:space="preserve">Even if we want to introduce additional implicit rules, they should be all semi-statically </w:t>
            </w:r>
            <w:r>
              <w:rPr>
                <w:rFonts w:ascii="Times New Roman" w:hAnsi="Times New Roman" w:cs="Times New Roman" w:hint="eastAsia"/>
              </w:rPr>
              <w:lastRenderedPageBreak/>
              <w:t>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t>
            </w:r>
            <w:r w:rsidRPr="00DF1978">
              <w:rPr>
                <w:sz w:val="21"/>
                <w:szCs w:val="21"/>
              </w:rPr>
              <w:lastRenderedPageBreak/>
              <w:t>“Within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 xml:space="preserve">he start of the </w:t>
            </w:r>
            <w:r>
              <w:rPr>
                <w:rFonts w:ascii="Times New Roman" w:hAnsi="Times New Roman" w:cs="Times New Roman"/>
                <w:color w:val="FF0000"/>
              </w:rPr>
              <w:lastRenderedPageBreak/>
              <w:t>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4pt;height:189.5pt;mso-width-percent:0;mso-height-percent:0;mso-width-percent:0;mso-height-percent:0" o:ole="">
                  <v:imagedata r:id="rId61" o:title=""/>
                </v:shape>
                <o:OLEObject Type="Embed" ProgID="Visio.Drawing.15" ShapeID="_x0000_i1045" DrawAspect="Content" ObjectID="_1691495545"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all of the events which are used for “actual TDWs” determination within a “configured TDW” can then be used for determining the “configured TDWs” under the form of “semi-static configuration signaling”, then the Alt. </w:t>
            </w:r>
            <w:r>
              <w:rPr>
                <w:rFonts w:ascii="Times New Roman" w:hAnsi="Times New Roman" w:cs="Times New Roman"/>
              </w:rPr>
              <w:lastRenderedPageBreak/>
              <w:t>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 xml:space="preserve">10 </w:t>
            </w:r>
            <w:proofErr w:type="spellStart"/>
            <w:r w:rsidRPr="00D43421">
              <w:rPr>
                <w:rFonts w:ascii="Times New Roman" w:hAnsi="Times New Roman" w:cs="Times New Roman"/>
                <w:color w:val="00B050"/>
                <w:highlight w:val="lightGray"/>
              </w:rPr>
              <w:t>ms.</w:t>
            </w:r>
            <w:proofErr w:type="spellEnd"/>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lastRenderedPageBreak/>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w:t>
            </w:r>
            <w:r>
              <w:rPr>
                <w:rFonts w:ascii="Times New Roman" w:hAnsi="Times New Roman" w:cs="Times New Roman"/>
              </w:rPr>
              <w:t xml:space="preserve"> (see QCT above)</w:t>
            </w:r>
            <w:r>
              <w:rPr>
                <w:rFonts w:ascii="Times New Roman" w:hAnsi="Times New Roman" w:cs="Times New Roman"/>
              </w:rPr>
              <w:t xml:space="preser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t>
            </w:r>
            <w:r w:rsidRPr="003B792A">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lastRenderedPageBreak/>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826D" w14:textId="77777777" w:rsidR="00EF5D24" w:rsidRDefault="00EF5D24" w:rsidP="009D2AD8">
      <w:pPr>
        <w:spacing w:after="0" w:line="240" w:lineRule="auto"/>
      </w:pPr>
      <w:r>
        <w:separator/>
      </w:r>
    </w:p>
  </w:endnote>
  <w:endnote w:type="continuationSeparator" w:id="0">
    <w:p w14:paraId="7D593155" w14:textId="77777777" w:rsidR="00EF5D24" w:rsidRDefault="00EF5D24"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1BF5" w14:textId="77777777" w:rsidR="00EF5D24" w:rsidRDefault="00EF5D24" w:rsidP="009D2AD8">
      <w:pPr>
        <w:spacing w:after="0" w:line="240" w:lineRule="auto"/>
      </w:pPr>
      <w:r>
        <w:separator/>
      </w:r>
    </w:p>
  </w:footnote>
  <w:footnote w:type="continuationSeparator" w:id="0">
    <w:p w14:paraId="2CD6E309" w14:textId="77777777" w:rsidR="00EF5D24" w:rsidRDefault="00EF5D24"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163</Pages>
  <Words>53939</Words>
  <Characters>307456</Characters>
  <Application>Microsoft Office Word</Application>
  <DocSecurity>0</DocSecurity>
  <Lines>2562</Lines>
  <Paragraphs>721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360674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Gus</cp:lastModifiedBy>
  <cp:revision>4</cp:revision>
  <cp:lastPrinted>2021-04-15T03:16:00Z</cp:lastPrinted>
  <dcterms:created xsi:type="dcterms:W3CDTF">2021-08-26T21:38:00Z</dcterms:created>
  <dcterms:modified xsi:type="dcterms:W3CDTF">2021-08-26T21:41:00Z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