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6pt;height:60pt;mso-width-percent:0;mso-height-percent:0;mso-width-percent:0;mso-height-percent:0" o:ole="">
            <v:imagedata r:id="rId16" o:title=""/>
          </v:shape>
          <o:OLEObject Type="Embed" ProgID="Visio.Drawing.11" ShapeID="_x0000_i1025" DrawAspect="Content" ObjectID="_1691493763"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1.6pt;height:94.8pt;mso-width-percent:0;mso-height-percent:0;mso-width-percent:0;mso-height-percent:0" o:ole="">
            <v:imagedata r:id="rId18" o:title=""/>
          </v:shape>
          <o:OLEObject Type="Embed" ProgID="Visio.Drawing.11" ShapeID="_x0000_i1026" DrawAspect="Content" ObjectID="_1691493764"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1.6pt;height:60pt;mso-width-percent:0;mso-height-percent:0;mso-width-percent:0;mso-height-percent:0" o:ole="">
            <v:imagedata r:id="rId20" o:title=""/>
          </v:shape>
          <o:OLEObject Type="Embed" ProgID="Visio.Drawing.11" ShapeID="_x0000_i1027" DrawAspect="Content" ObjectID="_1691493765"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1.6pt;height:60pt;mso-width-percent:0;mso-height-percent:0;mso-width-percent:0;mso-height-percent:0" o:ole="">
            <v:imagedata r:id="rId22" o:title=""/>
          </v:shape>
          <o:OLEObject Type="Embed" ProgID="Visio.Drawing.11" ShapeID="_x0000_i1028" DrawAspect="Content" ObjectID="_1691493766"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1.6pt;height:94.8pt;mso-width-percent:0;mso-height-percent:0;mso-width-percent:0;mso-height-percent:0" o:ole="">
            <v:imagedata r:id="rId24" o:title=""/>
          </v:shape>
          <o:OLEObject Type="Embed" ProgID="Visio.Drawing.11" ShapeID="_x0000_i1029" DrawAspect="Content" ObjectID="_1691493767"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2pt;height:96pt;mso-width-percent:0;mso-height-percent:0;mso-width-percent:0;mso-height-percent:0" o:ole="">
            <v:imagedata r:id="rId29" o:title=""/>
          </v:shape>
          <o:OLEObject Type="Embed" ProgID="Visio.Drawing.15" ShapeID="_x0000_i1030" DrawAspect="Content" ObjectID="_1691493768"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2pt;height:100.2pt;mso-width-percent:0;mso-height-percent:0;mso-width-percent:0;mso-height-percent:0" o:ole="">
            <v:imagedata r:id="rId32" o:title=""/>
          </v:shape>
          <o:OLEObject Type="Embed" ProgID="Visio.Drawing.15" ShapeID="_x0000_i1031" DrawAspect="Content" ObjectID="_1691493769"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4pt;height:148.2pt;mso-width-percent:0;mso-height-percent:0;mso-width-percent:0;mso-height-percent:0" o:ole="">
            <v:imagedata r:id="rId35" o:title=""/>
          </v:shape>
          <o:OLEObject Type="Embed" ProgID="Visio.Drawing.15" ShapeID="_x0000_i1032" DrawAspect="Content" ObjectID="_1691493770"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3137EBA2" w14:textId="77777777" w:rsidR="00AA3E2F" w:rsidRDefault="002C12B3">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 xml:space="preserve">does not update the CLPC adjustment state to maintain the power consistency and the phase continuity. The UE can accumulate TPC commands, update the CLPC adjustment state and apply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are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proofErr w:type="gramStart"/>
            <w:r>
              <w:rPr>
                <w:rFonts w:ascii="Times New Roman" w:eastAsia="MS Mincho" w:hAnsi="Times New Roman" w:cs="Times New Roman"/>
                <w:bCs/>
                <w:lang w:val="en-GB" w:eastAsia="ja-JP"/>
              </w:rPr>
              <w:t>TDW..</w:t>
            </w:r>
            <w:proofErr w:type="gramEnd"/>
            <w:r>
              <w:rPr>
                <w:rFonts w:ascii="Times New Roman" w:eastAsia="MS Mincho" w:hAnsi="Times New Roman" w:cs="Times New Roman"/>
                <w:bCs/>
                <w:lang w:val="en-GB" w:eastAsia="ja-JP"/>
              </w:rPr>
              <w:t>”</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proofErr w:type="gramStart"/>
            <w:r>
              <w:rPr>
                <w:rFonts w:ascii="Times New Roman" w:eastAsia="MS Mincho" w:hAnsi="Times New Roman" w:cs="Times New Roman"/>
                <w:bCs/>
                <w:lang w:val="en-GB" w:eastAsia="ja-JP"/>
              </w:rPr>
              <w:t>TDW..</w:t>
            </w:r>
            <w:proofErr w:type="gramEnd"/>
            <w:r>
              <w:rPr>
                <w:rFonts w:ascii="Times New Roman" w:eastAsia="MS Mincho" w:hAnsi="Times New Roman" w:cs="Times New Roman"/>
                <w:bCs/>
                <w:lang w:val="en-GB" w:eastAsia="ja-JP"/>
              </w:rPr>
              <w:t>”</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4pt;height:277.8pt;mso-width-percent:0;mso-height-percent:0;mso-width-percent:0;mso-height-percent:0" o:ole="">
            <v:imagedata r:id="rId39" o:title=""/>
          </v:shape>
          <o:OLEObject Type="Embed" ProgID="Visio.Drawing.11" ShapeID="_x0000_i1033" DrawAspect="Content" ObjectID="_1691493771" r:id="rId40"/>
        </w:object>
      </w:r>
    </w:p>
    <w:p w14:paraId="3137F324" w14:textId="77777777" w:rsidR="00AA3E2F" w:rsidRDefault="003D50F8">
      <w:pPr>
        <w:jc w:val="center"/>
      </w:pPr>
      <w:r>
        <w:rPr>
          <w:noProof/>
        </w:rPr>
        <w:object w:dxaOrig="6867" w:dyaOrig="6301" w14:anchorId="3137F9FB">
          <v:shape id="_x0000_i1034" type="#_x0000_t75" alt="" style="width:343.2pt;height:315.6pt;mso-width-percent:0;mso-height-percent:0;mso-width-percent:0;mso-height-percent:0" o:ole="">
            <v:imagedata r:id="rId41" o:title=""/>
          </v:shape>
          <o:OLEObject Type="Embed" ProgID="Visio.Drawing.11" ShapeID="_x0000_i1034" DrawAspect="Content" ObjectID="_1691493772" r:id="rId42"/>
        </w:object>
      </w:r>
    </w:p>
    <w:p w14:paraId="3137F325" w14:textId="77777777" w:rsidR="00AA3E2F" w:rsidRDefault="003D50F8">
      <w:pPr>
        <w:jc w:val="center"/>
      </w:pPr>
      <w:r>
        <w:rPr>
          <w:noProof/>
        </w:rPr>
        <w:object w:dxaOrig="6992" w:dyaOrig="5161" w14:anchorId="3137F9FC">
          <v:shape id="_x0000_i1035" type="#_x0000_t75" alt="" style="width:351pt;height:257.4pt;mso-width-percent:0;mso-height-percent:0;mso-width-percent:0;mso-height-percent:0" o:ole="">
            <v:imagedata r:id="rId43" o:title=""/>
          </v:shape>
          <o:OLEObject Type="Embed" ProgID="Visio.Drawing.11" ShapeID="_x0000_i1035" DrawAspect="Content" ObjectID="_1691493773"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w:t>
            </w:r>
            <w:proofErr w:type="gramStart"/>
            <w:r>
              <w:rPr>
                <w:rFonts w:ascii="Times New Roman" w:hAnsi="Times New Roman" w:cs="Times New Roman" w:hint="eastAsia"/>
                <w:bCs/>
              </w:rPr>
              <w:t>down-select</w:t>
            </w:r>
            <w:proofErr w:type="gramEnd"/>
            <w:r>
              <w:rPr>
                <w:rFonts w:ascii="Times New Roman" w:hAnsi="Times New Roman" w:cs="Times New Roman" w:hint="eastAsia"/>
                <w:bCs/>
              </w:rPr>
              <w:t xml:space="preserve">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8pt;height:116.4pt;mso-width-percent:0;mso-height-percent:0;mso-width-percent:0;mso-height-percent:0" o:ole="">
                  <v:imagedata r:id="rId46" o:title=""/>
                </v:shape>
                <o:OLEObject Type="Embed" ProgID="Visio.Drawing.15" ShapeID="_x0000_i1036" DrawAspect="Content" ObjectID="_1691493774"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6pt;height:295.8pt;mso-width-percent:0;mso-height-percent:0;mso-width-percent:0;mso-height-percent:0" o:ole="">
                  <v:imagedata r:id="rId48" o:title=""/>
                </v:shape>
                <o:OLEObject Type="Embed" ProgID="Visio.Drawing.11" ShapeID="_x0000_i1037" DrawAspect="Content" ObjectID="_1691493775"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6pt;height:334.2pt;mso-width-percent:0;mso-height-percent:0;mso-width-percent:0;mso-height-percent:0" o:ole="">
                  <v:imagedata r:id="rId50" o:title=""/>
                </v:shape>
                <o:OLEObject Type="Embed" ProgID="Visio.Drawing.11" ShapeID="_x0000_i1038" DrawAspect="Content" ObjectID="_1691493776"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pt;height:281.4pt;mso-width-percent:0;mso-height-percent:0;mso-width-percent:0;mso-height-percent:0" o:ole="">
                  <v:imagedata r:id="rId52" o:title=""/>
                </v:shape>
                <o:OLEObject Type="Embed" ProgID="Visio.Drawing.11" ShapeID="_x0000_i1039" DrawAspect="Content" ObjectID="_1691493777"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6pt;height:295.8pt;mso-width-percent:0;mso-height-percent:0;mso-width-percent:0;mso-height-percent:0" o:ole="">
            <v:imagedata r:id="rId48" o:title=""/>
          </v:shape>
          <o:OLEObject Type="Embed" ProgID="Visio.Drawing.11" ShapeID="_x0000_i1040" DrawAspect="Content" ObjectID="_1691493778"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6pt;height:334.2pt;mso-width-percent:0;mso-height-percent:0;mso-width-percent:0;mso-height-percent:0" o:ole="">
            <v:imagedata r:id="rId50" o:title=""/>
          </v:shape>
          <o:OLEObject Type="Embed" ProgID="Visio.Drawing.11" ShapeID="_x0000_i1041" DrawAspect="Content" ObjectID="_1691493779"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pt;height:281.4pt;mso-width-percent:0;mso-height-percent:0;mso-width-percent:0;mso-height-percent:0" o:ole="">
            <v:imagedata r:id="rId52" o:title=""/>
          </v:shape>
          <o:OLEObject Type="Embed" ProgID="Visio.Drawing.11" ShapeID="_x0000_i1042" DrawAspect="Content" ObjectID="_1691493780"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4pt;height:339pt;mso-width-percent:0;mso-height-percent:0;mso-width-percent:0;mso-height-percent:0" o:ole="">
                  <v:imagedata r:id="rId57" o:title=""/>
                </v:shape>
                <o:OLEObject Type="Embed" ProgID="Visio.Drawing.11" ShapeID="_x0000_i1043" DrawAspect="Content" ObjectID="_1691493781"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 xml:space="preserve">Note 1: The term “time domain window” may need to be revised </w:t>
            </w:r>
            <w:proofErr w:type="gramStart"/>
            <w:r>
              <w:rPr>
                <w:rFonts w:ascii="Times New Roman" w:hAnsi="Times New Roman" w:cs="Times New Roman"/>
                <w:bCs/>
                <w:lang w:val="en-GB"/>
              </w:rPr>
              <w:t>taking into account</w:t>
            </w:r>
            <w:proofErr w:type="gramEnd"/>
            <w:r>
              <w:rPr>
                <w:rFonts w:ascii="Times New Roman" w:hAnsi="Times New Roman" w:cs="Times New Roman"/>
                <w:bCs/>
                <w:lang w:val="en-GB"/>
              </w:rPr>
              <w:t xml:space="preserve">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4pt;height:340.8pt;mso-width-percent:0;mso-height-percent:0;mso-width-percent:0;mso-height-percent:0" o:ole="">
                  <v:imagedata r:id="rId57" o:title=""/>
                </v:shape>
                <o:OLEObject Type="Embed" ProgID="Visio.Drawing.11" ShapeID="_x0000_i1044" DrawAspect="Content" ObjectID="_1691493782"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 xml:space="preserve">@CMCC, From FL understanding, for Alt 2-B, since all the windows are implicitly determined, the length of each window depends on the start and end position, the end position is related to the events, where UE capability of maximum duration </w:t>
            </w:r>
            <w:proofErr w:type="gramStart"/>
            <w:r>
              <w:rPr>
                <w:rFonts w:ascii="Times New Roman" w:hAnsi="Times New Roman" w:cs="Times New Roman"/>
              </w:rPr>
              <w:t>can be seen as</w:t>
            </w:r>
            <w:proofErr w:type="gramEnd"/>
            <w:r>
              <w:rPr>
                <w:rFonts w:ascii="Times New Roman" w:hAnsi="Times New Roman" w:cs="Times New Roman"/>
              </w:rPr>
              <w:t xml:space="preserve">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w:t>
            </w:r>
            <w:proofErr w:type="gramStart"/>
            <w:r>
              <w:rPr>
                <w:rFonts w:ascii="Times New Roman" w:hAnsi="Times New Roman" w:cs="Times New Roman"/>
                <w:lang w:val="en-GB"/>
              </w:rPr>
              <w:t>, Actually, Alt</w:t>
            </w:r>
            <w:proofErr w:type="gramEnd"/>
            <w:r>
              <w:rPr>
                <w:rFonts w:ascii="Times New Roman" w:hAnsi="Times New Roman" w:cs="Times New Roman"/>
                <w:lang w:val="en-GB"/>
              </w:rPr>
              <w:t xml:space="preserve">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w:t>
      </w:r>
      <w:proofErr w:type="gramStart"/>
      <w:r>
        <w:rPr>
          <w:rFonts w:ascii="Times New Roman" w:hAnsi="Times New Roman" w:cs="Times New Roman"/>
          <w:color w:val="0070C0"/>
          <w:kern w:val="0"/>
          <w:szCs w:val="21"/>
          <w:lang w:val="en-GB"/>
        </w:rPr>
        <w:t>include e.g.,</w:t>
      </w:r>
      <w:proofErr w:type="gramEnd"/>
      <w:r>
        <w:rPr>
          <w:rFonts w:ascii="Times New Roman" w:hAnsi="Times New Roman" w:cs="Times New Roman"/>
          <w:color w:val="0070C0"/>
          <w:kern w:val="0"/>
          <w:szCs w:val="21"/>
          <w:lang w:val="en-GB"/>
        </w:rPr>
        <w:t xml:space="preserve">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“UE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 xml:space="preserve">‘DMRS bundling’ is probably </w:t>
            </w:r>
            <w:proofErr w:type="gramStart"/>
            <w:r w:rsidR="004266B0">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lastRenderedPageBreak/>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proofErr w:type="spellStart"/>
            <w:r w:rsidRPr="007301D4">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exactly the same</w:t>
            </w:r>
            <w:proofErr w:type="gramEnd"/>
            <w:r>
              <w:rPr>
                <w:rFonts w:ascii="Times New Roman" w:hAnsi="Times New Roman" w:cs="Times New Roman"/>
                <w:b/>
                <w:szCs w:val="21"/>
                <w:lang w:val="en-GB"/>
              </w:rPr>
              <w:t xml:space="preserve"> wording as for Alt. 2-B in the previous round </w:t>
            </w:r>
            <w:r>
              <w:rPr>
                <w:rFonts w:ascii="Times New Roman" w:hAnsi="Times New Roman" w:cs="Times New Roman"/>
                <w:b/>
                <w:szCs w:val="21"/>
                <w:lang w:val="en-GB"/>
              </w:rPr>
              <w:lastRenderedPageBreak/>
              <w:t xml:space="preserve">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w:t>
            </w:r>
            <w:proofErr w:type="gramStart"/>
            <w:r>
              <w:rPr>
                <w:rFonts w:ascii="Times New Roman" w:eastAsia="Batang" w:hAnsi="Times New Roman" w:cs="Times New Roman"/>
                <w:strike/>
                <w:color w:val="000000" w:themeColor="text1"/>
                <w:kern w:val="0"/>
                <w:szCs w:val="21"/>
                <w:highlight w:val="yellow"/>
                <w:lang w:val="en-GB"/>
              </w:rPr>
              <w:t>include e.g.,</w:t>
            </w:r>
            <w:proofErr w:type="gramEnd"/>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lastRenderedPageBreak/>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w:t>
            </w:r>
            <w:r>
              <w:rPr>
                <w:rFonts w:ascii="Times New Roman" w:hAnsi="Times New Roman" w:cs="Times New Roman"/>
                <w:bCs/>
              </w:rPr>
              <w:lastRenderedPageBreak/>
              <w:t>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lastRenderedPageBreak/>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t>FFS:whether</w:t>
              </w:r>
              <w:proofErr w:type="spellEnd"/>
              <w:r>
                <w:rPr>
                  <w:rFonts w:ascii="Times New Roman" w:eastAsia="Batang" w:hAnsi="Times New Roman" w:cs="Times New Roman"/>
                  <w:color w:val="000000" w:themeColor="text1"/>
                  <w:kern w:val="0"/>
                  <w:szCs w:val="21"/>
                  <w:lang w:val="en-GB"/>
                </w:rPr>
                <w:t xml:space="preserve">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lastRenderedPageBreak/>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w:t>
            </w:r>
            <w:r>
              <w:rPr>
                <w:rFonts w:ascii="Times New Roman" w:eastAsia="MS Mincho" w:hAnsi="Times New Roman" w:cs="Times New Roman"/>
                <w:lang w:eastAsia="ja-JP"/>
              </w:rPr>
              <w:lastRenderedPageBreak/>
              <w:t>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w:t>
            </w:r>
            <w:r>
              <w:rPr>
                <w:rFonts w:ascii="Times New Roman" w:hAnsi="Times New Roman" w:cs="Times New Roman" w:hint="eastAsia"/>
                <w:bCs/>
                <w:lang w:val="en-GB"/>
              </w:rPr>
              <w:lastRenderedPageBreak/>
              <w:t xml:space="preserve">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w:t>
            </w:r>
            <w:proofErr w:type="gramStart"/>
            <w:r>
              <w:rPr>
                <w:rFonts w:ascii="Times New Roman" w:eastAsia="SimSun"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 xml:space="preserve">Even if we want to introduce additional implicit rules, they should be all semi-statically </w:t>
            </w:r>
            <w:r>
              <w:rPr>
                <w:rFonts w:ascii="Times New Roman" w:hAnsi="Times New Roman" w:cs="Times New Roman" w:hint="eastAsia"/>
              </w:rPr>
              <w:lastRenderedPageBreak/>
              <w:t>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proofErr w:type="gramStart"/>
            <w:r w:rsidRPr="00DF1978">
              <w:rPr>
                <w:sz w:val="21"/>
                <w:szCs w:val="21"/>
              </w:rPr>
              <w:t>Last but not least</w:t>
            </w:r>
            <w:proofErr w:type="gramEnd"/>
            <w:r w:rsidRPr="00DF1978">
              <w:rPr>
                <w:sz w:val="21"/>
                <w:szCs w:val="21"/>
              </w:rPr>
              <w: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 xml:space="preserve">Answer to (c): </w:t>
            </w:r>
            <w:proofErr w:type="gramStart"/>
            <w:r w:rsidRPr="00DF1978">
              <w:rPr>
                <w:sz w:val="21"/>
                <w:szCs w:val="21"/>
              </w:rPr>
              <w:t>Similar to</w:t>
            </w:r>
            <w:proofErr w:type="gramEnd"/>
            <w:r w:rsidRPr="00DF1978">
              <w:rPr>
                <w:sz w:val="21"/>
                <w:szCs w:val="21"/>
              </w:rPr>
              <w:t xml:space="preserve">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 xml:space="preserve">@CATT, FL: I think CATT has a point here on changing “configured TDW” to “actual TDW” in the FFS. </w:t>
            </w:r>
            <w:proofErr w:type="gramStart"/>
            <w:r w:rsidRPr="00DF1978">
              <w:rPr>
                <w:sz w:val="21"/>
                <w:szCs w:val="21"/>
              </w:rPr>
              <w:t>Because,</w:t>
            </w:r>
            <w:proofErr w:type="gramEnd"/>
            <w:r w:rsidRPr="00DF1978">
              <w:rPr>
                <w:sz w:val="21"/>
                <w:szCs w:val="21"/>
              </w:rPr>
              <w:t xml:space="preserv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w:t>
            </w:r>
            <w:proofErr w:type="gramStart"/>
            <w:r w:rsidRPr="00DF1978">
              <w:rPr>
                <w:sz w:val="21"/>
                <w:szCs w:val="21"/>
              </w:rPr>
              <w:t>”,  because</w:t>
            </w:r>
            <w:proofErr w:type="gramEnd"/>
            <w:r w:rsidRPr="00DF1978">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sidRPr="00DF1978">
              <w:rPr>
                <w:sz w:val="21"/>
                <w:szCs w:val="21"/>
              </w:rPr>
              <w:t>configured,…</w:t>
            </w:r>
            <w:proofErr w:type="gramEnd"/>
            <w:r w:rsidRPr="00DF1978">
              <w:rPr>
                <w:sz w:val="21"/>
                <w:szCs w:val="21"/>
              </w:rPr>
              <w:t xml:space="preserve">”, all TDWs are “configured TDWs”. Under the bullet on </w:t>
            </w:r>
            <w:r w:rsidRPr="00DF1978">
              <w:rPr>
                <w:sz w:val="21"/>
                <w:szCs w:val="21"/>
              </w:rPr>
              <w:lastRenderedPageBreak/>
              <w:t>“Within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proofErr w:type="gramStart"/>
            <w:r w:rsidR="00CE3EBB">
              <w:rPr>
                <w:rFonts w:ascii="Times New Roman" w:eastAsia="Malgun Gothic" w:hAnsi="Times New Roman" w:cs="Times New Roman"/>
                <w:lang w:eastAsia="ko-KR"/>
              </w:rPr>
              <w:t>whether or not</w:t>
            </w:r>
            <w:proofErr w:type="gramEnd"/>
            <w:r w:rsidR="00CE3EBB">
              <w:rPr>
                <w:rFonts w:ascii="Times New Roman" w:eastAsia="Malgun Gothic" w:hAnsi="Times New Roman" w:cs="Times New Roman"/>
                <w:lang w:eastAsia="ko-KR"/>
              </w:rPr>
              <w:t xml:space="preserve">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w:t>
            </w:r>
            <w:proofErr w:type="gramStart"/>
            <w:r>
              <w:rPr>
                <w:rFonts w:ascii="Times New Roman" w:eastAsia="Malgun Gothic" w:hAnsi="Times New Roman" w:cs="Times New Roman"/>
                <w:lang w:eastAsia="ko-KR"/>
              </w:rPr>
              <w:t>discussion, and</w:t>
            </w:r>
            <w:proofErr w:type="gramEnd"/>
            <w:r>
              <w:rPr>
                <w:rFonts w:ascii="Times New Roman" w:eastAsia="Malgun Gothic" w:hAnsi="Times New Roman" w:cs="Times New Roman"/>
                <w:lang w:eastAsia="ko-KR"/>
              </w:rPr>
              <w:t xml:space="preserve">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 xml:space="preserve">Regarding the ‘actual TDWs’, we suggest </w:t>
            </w:r>
            <w:proofErr w:type="gramStart"/>
            <w:r>
              <w:rPr>
                <w:rFonts w:ascii="Times New Roman" w:eastAsia="Malgun Gothic" w:hAnsi="Times New Roman" w:cs="Times New Roman"/>
                <w:lang w:val="en-GB" w:eastAsia="ko-KR"/>
              </w:rPr>
              <w:t>to add</w:t>
            </w:r>
            <w:proofErr w:type="gramEnd"/>
            <w:r>
              <w:rPr>
                <w:rFonts w:ascii="Times New Roman" w:eastAsia="Malgun Gothic" w:hAnsi="Times New Roman" w:cs="Times New Roman"/>
                <w:lang w:val="en-GB" w:eastAsia="ko-KR"/>
              </w:rPr>
              <w:t xml:space="preserve">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proofErr w:type="gramStart"/>
            <w:r w:rsidR="00F73E0C" w:rsidRPr="00C968ED">
              <w:rPr>
                <w:rFonts w:ascii="Times New Roman" w:hAnsi="Times New Roman" w:cs="Times New Roman"/>
                <w:color w:val="FF0000"/>
                <w:highlight w:val="lightGray"/>
                <w:lang w:val="en-GB"/>
              </w:rPr>
              <w:t>The</w:t>
            </w:r>
            <w:proofErr w:type="gramEnd"/>
            <w:r w:rsidR="00F73E0C" w:rsidRPr="00C968ED">
              <w:rPr>
                <w:rFonts w:ascii="Times New Roman" w:hAnsi="Times New Roman" w:cs="Times New Roman"/>
                <w:color w:val="FF0000"/>
                <w:highlight w:val="lightGray"/>
                <w:lang w:val="en-GB"/>
              </w:rPr>
              <w:t xml:space="preserv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proofErr w:type="gramStart"/>
            <w:r w:rsidR="00E02889">
              <w:rPr>
                <w:rFonts w:ascii="Times New Roman" w:eastAsia="Malgun Gothic" w:hAnsi="Times New Roman" w:cs="Times New Roman"/>
                <w:lang w:eastAsia="ko-KR"/>
              </w:rPr>
              <w:t>taking into account</w:t>
            </w:r>
            <w:proofErr w:type="gramEnd"/>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 xml:space="preserve">he start of the </w:t>
            </w:r>
            <w:r>
              <w:rPr>
                <w:rFonts w:ascii="Times New Roman" w:hAnsi="Times New Roman" w:cs="Times New Roman"/>
                <w:color w:val="FF0000"/>
              </w:rPr>
              <w:lastRenderedPageBreak/>
              <w:t>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w:t>
            </w:r>
            <w:proofErr w:type="gramStart"/>
            <w:r w:rsidRPr="00791CD5">
              <w:rPr>
                <w:rFonts w:ascii="Times New Roman" w:hAnsi="Times New Roman" w:cs="Times New Roman"/>
                <w:lang w:val="en-GB"/>
              </w:rPr>
              <w:t>include e.g.,</w:t>
            </w:r>
            <w:proofErr w:type="gramEnd"/>
            <w:r w:rsidRPr="00791CD5">
              <w:rPr>
                <w:rFonts w:ascii="Times New Roman" w:hAnsi="Times New Roman" w:cs="Times New Roman"/>
                <w:lang w:val="en-GB"/>
              </w:rPr>
              <w:t xml:space="preserve">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lastRenderedPageBreak/>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 xml:space="preserve">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6pt;height:189.6pt;mso-width-percent:0;mso-height-percent:0;mso-width-percent:0;mso-height-percent:0" o:ole="">
                  <v:imagedata r:id="rId61" o:title=""/>
                </v:shape>
                <o:OLEObject Type="Embed" ProgID="Visio.Drawing.15" ShapeID="_x0000_i1045" DrawAspect="Content" ObjectID="_1691493783"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 xml:space="preserve">FFS: UE with the capability of restarting DM-RS </w:t>
            </w:r>
            <w:proofErr w:type="gramStart"/>
            <w:r w:rsidRPr="00D935B5">
              <w:rPr>
                <w:rFonts w:ascii="Times New Roman" w:hAnsi="Times New Roman" w:cs="Times New Roman"/>
                <w:color w:val="FF0000"/>
              </w:rPr>
              <w:t>bundling, or</w:t>
            </w:r>
            <w:proofErr w:type="gramEnd"/>
            <w:r w:rsidRPr="00D935B5">
              <w:rPr>
                <w:rFonts w:ascii="Times New Roman" w:hAnsi="Times New Roman" w:cs="Times New Roman"/>
                <w:color w:val="FF0000"/>
              </w:rPr>
              <w:t xml:space="preserve">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w:t>
            </w:r>
            <w:proofErr w:type="gramStart"/>
            <w:r w:rsidRPr="00D935B5">
              <w:rPr>
                <w:rFonts w:ascii="Times New Roman" w:hAnsi="Times New Roman" w:cs="Times New Roman"/>
                <w:i/>
                <w:iCs/>
                <w:lang w:val="en-GB"/>
              </w:rPr>
              <w:t>include e.g.,</w:t>
            </w:r>
            <w:proofErr w:type="gramEnd"/>
            <w:r w:rsidRPr="00D935B5">
              <w:rPr>
                <w:rFonts w:ascii="Times New Roman" w:hAnsi="Times New Roman" w:cs="Times New Roman"/>
                <w:i/>
                <w:iCs/>
                <w:lang w:val="en-GB"/>
              </w:rPr>
              <w:t xml:space="preserve">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w:t>
            </w:r>
            <w:proofErr w:type="gramStart"/>
            <w:r>
              <w:rPr>
                <w:rFonts w:ascii="Times New Roman" w:hAnsi="Times New Roman" w:cs="Times New Roman"/>
              </w:rPr>
              <w:t>all of</w:t>
            </w:r>
            <w:proofErr w:type="gramEnd"/>
            <w:r>
              <w:rPr>
                <w:rFonts w:ascii="Times New Roman" w:hAnsi="Times New Roman" w:cs="Times New Roman"/>
              </w:rPr>
              <w:t xml:space="preserve"> the events which are used for “actual TDWs” determination within a “configured TDW” can then be used for determining the “configured TDWs” under the form of “semi-static configuration signaling”, then the Alt. </w:t>
            </w:r>
            <w:r>
              <w:rPr>
                <w:rFonts w:ascii="Times New Roman" w:hAnsi="Times New Roman" w:cs="Times New Roman"/>
              </w:rPr>
              <w:lastRenderedPageBreak/>
              <w:t>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w:t>
            </w:r>
            <w:proofErr w:type="gramStart"/>
            <w:r>
              <w:rPr>
                <w:rFonts w:ascii="Times New Roman" w:hAnsi="Times New Roman" w:cs="Times New Roman"/>
              </w:rPr>
              <w:t>), if</w:t>
            </w:r>
            <w:proofErr w:type="gramEnd"/>
            <w:r>
              <w:rPr>
                <w:rFonts w:ascii="Times New Roman" w:hAnsi="Times New Roman" w:cs="Times New Roman"/>
              </w:rPr>
              <w:t xml:space="preserve">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w:t>
            </w:r>
            <w:proofErr w:type="gramStart"/>
            <w:r>
              <w:rPr>
                <w:rFonts w:ascii="Times New Roman" w:hAnsi="Times New Roman" w:cs="Times New Roman"/>
              </w:rPr>
              <w:t>that,</w:t>
            </w:r>
            <w:proofErr w:type="gramEnd"/>
            <w:r>
              <w:rPr>
                <w:rFonts w:ascii="Times New Roman" w:hAnsi="Times New Roman" w:cs="Times New Roman"/>
              </w:rPr>
              <w:t xml:space="preserve">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w:t>
            </w:r>
            <w:proofErr w:type="gramStart"/>
            <w:r>
              <w:rPr>
                <w:rFonts w:ascii="Times New Roman" w:hAnsi="Times New Roman" w:cs="Times New Roman"/>
              </w:rPr>
              <w:t>that,</w:t>
            </w:r>
            <w:proofErr w:type="gramEnd"/>
            <w:r>
              <w:rPr>
                <w:rFonts w:ascii="Times New Roman" w:hAnsi="Times New Roman" w:cs="Times New Roman"/>
              </w:rPr>
              <w:t xml:space="preserve">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proofErr w:type="spellStart"/>
            <w:r w:rsidRPr="00CA6B4A">
              <w:rPr>
                <w:rFonts w:ascii="Times New Roman" w:hAnsi="Times New Roman" w:cs="Times New Roman"/>
                <w:bCs/>
              </w:rPr>
              <w:lastRenderedPageBreak/>
              <w:t>InterDigital</w:t>
            </w:r>
            <w:proofErr w:type="spellEnd"/>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We can be OK with proposal 7-</w:t>
            </w:r>
            <w:proofErr w:type="gramStart"/>
            <w:r>
              <w:rPr>
                <w:rFonts w:ascii="Times New Roman" w:hAnsi="Times New Roman" w:cs="Times New Roman"/>
              </w:rPr>
              <w:t>v3, but</w:t>
            </w:r>
            <w:proofErr w:type="gramEnd"/>
            <w:r>
              <w:rPr>
                <w:rFonts w:ascii="Times New Roman" w:hAnsi="Times New Roman" w:cs="Times New Roman"/>
              </w:rPr>
              <w:t xml:space="preserve">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It is up to the network how much power margin is kept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w:t>
            </w:r>
            <w:proofErr w:type="gramStart"/>
            <w:r>
              <w:rPr>
                <w:rFonts w:ascii="Times New Roman" w:hAnsi="Times New Roman" w:cs="Times New Roman" w:hint="eastAsia"/>
                <w:bCs/>
              </w:rPr>
              <w:t>actually one</w:t>
            </w:r>
            <w:proofErr w:type="gramEnd"/>
            <w:r>
              <w:rPr>
                <w:rFonts w:ascii="Times New Roman" w:hAnsi="Times New Roman" w:cs="Times New Roman" w:hint="eastAsia"/>
                <w:bCs/>
              </w:rPr>
              <w:t xml:space="preserv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 xml:space="preserve">at lease DC scenario should be </w:t>
            </w:r>
            <w:proofErr w:type="gramStart"/>
            <w:r w:rsidRPr="00F94F4F">
              <w:rPr>
                <w:rFonts w:ascii="Times New Roman" w:eastAsia="Malgun Gothic" w:hAnsi="Times New Roman" w:cs="Times New Roman"/>
                <w:bCs/>
                <w:lang w:eastAsia="ko-KR"/>
              </w:rPr>
              <w:t>taken into account</w:t>
            </w:r>
            <w:proofErr w:type="gramEnd"/>
            <w:r w:rsidRPr="00F94F4F">
              <w:rPr>
                <w:rFonts w:ascii="Times New Roman" w:eastAsia="Malgun Gothic" w:hAnsi="Times New Roman" w:cs="Times New Roman"/>
                <w:bCs/>
                <w:lang w:eastAsia="ko-KR"/>
              </w:rPr>
              <w:t xml:space="preserve">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w:t>
            </w:r>
            <w:proofErr w:type="gramStart"/>
            <w:r w:rsidRPr="00F94F4F">
              <w:rPr>
                <w:rFonts w:ascii="Times New Roman" w:eastAsia="Malgun Gothic" w:hAnsi="Times New Roman" w:cs="Times New Roman"/>
                <w:bCs/>
                <w:lang w:eastAsia="ko-KR"/>
              </w:rPr>
              <w:t>expected</w:t>
            </w:r>
            <w:proofErr w:type="gramEnd"/>
            <w:r w:rsidRPr="00F94F4F">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w:t>
            </w:r>
            <w:r>
              <w:rPr>
                <w:rFonts w:ascii="Times New Roman" w:hAnsi="Times New Roman" w:cs="Times New Roman"/>
                <w:bCs/>
              </w:rPr>
              <w:lastRenderedPageBreak/>
              <w:t xml:space="preserve">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proofErr w:type="gramStart"/>
            <w:r>
              <w:rPr>
                <w:rFonts w:ascii="Times New Roman" w:hAnsi="Times New Roman" w:cs="Times New Roman"/>
                <w:bCs/>
              </w:rPr>
              <w:t>Similar to</w:t>
            </w:r>
            <w:proofErr w:type="gramEnd"/>
            <w:r>
              <w:rPr>
                <w:rFonts w:ascii="Times New Roman" w:hAnsi="Times New Roman" w:cs="Times New Roman"/>
                <w:bCs/>
              </w:rPr>
              <w:t xml:space="preserve">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 xml:space="preserve">For the FFS point, it kind of conflicts with the definition of TDW which needs to maintain the power consistency. If there is some scenario that the TPC is so important that UE </w:t>
            </w:r>
            <w:proofErr w:type="gramStart"/>
            <w:r>
              <w:rPr>
                <w:rFonts w:ascii="Times New Roman" w:hAnsi="Times New Roman" w:cs="Times New Roman"/>
                <w:bCs/>
              </w:rPr>
              <w:t>have to</w:t>
            </w:r>
            <w:proofErr w:type="gramEnd"/>
            <w:r>
              <w:rPr>
                <w:rFonts w:ascii="Times New Roman" w:hAnsi="Times New Roman" w:cs="Times New Roman"/>
                <w:bCs/>
              </w:rPr>
              <w:t xml:space="preserve">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hint="eastAsia"/>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lastRenderedPageBreak/>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87980" w14:textId="77777777" w:rsidR="009433BB" w:rsidRDefault="009433BB" w:rsidP="009D2AD8">
      <w:pPr>
        <w:spacing w:after="0" w:line="240" w:lineRule="auto"/>
      </w:pPr>
      <w:r>
        <w:separator/>
      </w:r>
    </w:p>
  </w:endnote>
  <w:endnote w:type="continuationSeparator" w:id="0">
    <w:p w14:paraId="6C8ACA98" w14:textId="77777777" w:rsidR="009433BB" w:rsidRDefault="009433BB"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689E0" w14:textId="77777777" w:rsidR="009433BB" w:rsidRDefault="009433BB" w:rsidP="009D2AD8">
      <w:pPr>
        <w:spacing w:after="0" w:line="240" w:lineRule="auto"/>
      </w:pPr>
      <w:r>
        <w:separator/>
      </w:r>
    </w:p>
  </w:footnote>
  <w:footnote w:type="continuationSeparator" w:id="0">
    <w:p w14:paraId="0A457235" w14:textId="77777777" w:rsidR="009433BB" w:rsidRDefault="009433BB"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162</Pages>
  <Words>53482</Words>
  <Characters>304851</Characters>
  <Application>Microsoft Office Word</Application>
  <DocSecurity>0</DocSecurity>
  <Lines>2540</Lines>
  <Paragraphs>715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357618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Mark Harrison</cp:lastModifiedBy>
  <cp:revision>11</cp:revision>
  <cp:lastPrinted>2021-04-15T03:16:00Z</cp:lastPrinted>
  <dcterms:created xsi:type="dcterms:W3CDTF">2021-08-26T18:22:00Z</dcterms:created>
  <dcterms:modified xsi:type="dcterms:W3CDTF">2021-08-26T19:24:00Z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