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ＭＳ 明朝" w:hAnsi="Arial" w:cs="Arial"/>
          <w:b/>
          <w:bCs/>
          <w:kern w:val="0"/>
          <w:sz w:val="24"/>
          <w:szCs w:val="24"/>
          <w:lang w:val="en-GB" w:eastAsia="ja-JP"/>
        </w:rPr>
        <w:t>e-Meeting, August 16</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27</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7"/>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7"/>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7"/>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7"/>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7"/>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7"/>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7"/>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7"/>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7"/>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7"/>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7"/>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3"/>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af7"/>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3"/>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7"/>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7"/>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7"/>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3"/>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7"/>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7"/>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7"/>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3"/>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3"/>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0pt" o:ole="">
            <v:imagedata r:id="rId16" o:title=""/>
          </v:shape>
          <o:OLEObject Type="Embed" ProgID="Visio.Drawing.11" ShapeID="_x0000_i1025" DrawAspect="Content" ObjectID="_1691404915"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pt;height:94.15pt" o:ole="">
            <v:imagedata r:id="rId18" o:title=""/>
          </v:shape>
          <o:OLEObject Type="Embed" ProgID="Visio.Drawing.11" ShapeID="_x0000_i1026" DrawAspect="Content" ObjectID="_1691404916"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pt;height:60pt" o:ole="">
            <v:imagedata r:id="rId20" o:title=""/>
          </v:shape>
          <o:OLEObject Type="Embed" ProgID="Visio.Drawing.11" ShapeID="_x0000_i1027" DrawAspect="Content" ObjectID="_1691404917"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pt;height:60pt" o:ole="">
            <v:imagedata r:id="rId22" o:title=""/>
          </v:shape>
          <o:OLEObject Type="Embed" ProgID="Visio.Drawing.11" ShapeID="_x0000_i1028" DrawAspect="Content" ObjectID="_1691404918"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7"/>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7"/>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7"/>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pt;height:94.15pt" o:ole="">
            <v:imagedata r:id="rId24" o:title=""/>
          </v:shape>
          <o:OLEObject Type="Embed" ProgID="Visio.Drawing.11" ShapeID="_x0000_i1029" DrawAspect="Content" ObjectID="_1691404919"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7"/>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游明朝"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游明朝"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游明朝" w:hAnsi="Times New Roman" w:cs="Times New Roman"/>
          <w:szCs w:val="21"/>
        </w:rPr>
      </w:pPr>
      <w:r>
        <w:rPr>
          <w:rFonts w:ascii="Times New Roman" w:eastAsia="游明朝" w:hAnsi="Times New Roman" w:cs="Times New Roman"/>
          <w:szCs w:val="21"/>
        </w:rPr>
        <w:lastRenderedPageBreak/>
        <w:t>In case TDW is defined for any PUSCH transmissions,</w:t>
      </w:r>
      <w:r>
        <w:rPr>
          <w:rFonts w:ascii="Times New Roman" w:eastAsia="游明朝" w:hAnsi="Times New Roman" w:cs="Times New Roman" w:hint="eastAsia"/>
          <w:szCs w:val="21"/>
        </w:rPr>
        <w:t xml:space="preserve"> </w:t>
      </w:r>
      <w:r>
        <w:rPr>
          <w:rFonts w:ascii="Times New Roman" w:eastAsia="游明朝"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游明朝" w:hAnsi="Times New Roman" w:cs="Times New Roman" w:hint="eastAsia"/>
          <w:szCs w:val="21"/>
        </w:rPr>
        <w:t>.</w:t>
      </w:r>
    </w:p>
    <w:p w14:paraId="6845EC53" w14:textId="77777777" w:rsidR="0003425A" w:rsidRDefault="00186778">
      <w:pPr>
        <w:spacing w:after="120" w:line="240" w:lineRule="auto"/>
        <w:rPr>
          <w:rFonts w:ascii="Times New Roman" w:eastAsia="游明朝" w:hAnsi="Times New Roman" w:cs="Times New Roman"/>
          <w:szCs w:val="21"/>
        </w:rPr>
      </w:pPr>
      <w:r>
        <w:rPr>
          <w:rFonts w:ascii="Times New Roman" w:hAnsi="Times New Roman" w:cs="Times New Roman"/>
          <w:b/>
          <w:szCs w:val="21"/>
        </w:rPr>
        <w:t>Samsung</w:t>
      </w:r>
      <w:r>
        <w:rPr>
          <w:rFonts w:ascii="Times New Roman" w:eastAsia="游明朝" w:hAnsi="Times New Roman" w:cs="Times New Roman"/>
          <w:b/>
          <w:szCs w:val="21"/>
        </w:rPr>
        <w:t>:</w:t>
      </w:r>
      <w:r>
        <w:rPr>
          <w:rFonts w:ascii="Times New Roman" w:eastAsia="游明朝"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游明朝" w:hAnsi="Times New Roman" w:cs="Times New Roman"/>
          <w:szCs w:val="21"/>
        </w:rPr>
        <w:t>Time domain window size should be determined dynamically according to the channel quality</w:t>
      </w:r>
      <w:r>
        <w:rPr>
          <w:rFonts w:ascii="Times New Roman" w:eastAsia="游明朝"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7"/>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7"/>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af7"/>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7"/>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7"/>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f3"/>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7"/>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7"/>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7"/>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7"/>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7"/>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7"/>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7"/>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7"/>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7"/>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7"/>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7"/>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7"/>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7"/>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7"/>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7"/>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7"/>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7"/>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7"/>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7"/>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7"/>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ＭＳ 明朝" w:hAnsi="Times New Roman"/>
          <w:kern w:val="0"/>
          <w:szCs w:val="21"/>
          <w:lang w:eastAsia="en-US"/>
        </w:rPr>
      </w:pPr>
      <w:r>
        <w:rPr>
          <w:rFonts w:ascii="Times New Roman" w:eastAsia="ＭＳ 明朝" w:hAnsi="Times New Roman"/>
          <w:b/>
          <w:kern w:val="0"/>
          <w:szCs w:val="21"/>
          <w:lang w:eastAsia="en-US"/>
        </w:rPr>
        <w:t xml:space="preserve">WILUS: </w:t>
      </w:r>
      <w:r>
        <w:rPr>
          <w:rFonts w:ascii="Times New Roman" w:eastAsia="ＭＳ 明朝"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ＭＳ 明朝" w:hAnsi="Times New Roman"/>
          <w:b/>
          <w:kern w:val="0"/>
          <w:szCs w:val="21"/>
          <w:lang w:eastAsia="en-US"/>
        </w:rPr>
        <w:t xml:space="preserve">Nokia/NSB: </w:t>
      </w:r>
      <w:r>
        <w:rPr>
          <w:rFonts w:ascii="Times New Roman" w:eastAsia="ＭＳ 明朝"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“maximum capable duration” is exceeded.</w:t>
      </w:r>
    </w:p>
    <w:p w14:paraId="630F1DF5"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“maximum unscheduled gap” between two successive PUSCHs is exceeded.</w:t>
      </w:r>
    </w:p>
    <w:p w14:paraId="55FD192B"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UE is expected to monitor/receive a DL reception occasion.</w:t>
      </w:r>
    </w:p>
    <w:p w14:paraId="69BB664D" w14:textId="77777777" w:rsidR="0003425A" w:rsidRDefault="00186778">
      <w:pPr>
        <w:pStyle w:val="af7"/>
        <w:numPr>
          <w:ilvl w:val="0"/>
          <w:numId w:val="16"/>
        </w:numPr>
        <w:spacing w:line="240" w:lineRule="auto"/>
        <w:ind w:firstLineChars="0"/>
        <w:rPr>
          <w:rFonts w:eastAsia="ＭＳ 明朝"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7"/>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7"/>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15pt;height:96.75pt" o:ole="">
            <v:imagedata r:id="rId29" o:title=""/>
          </v:shape>
          <o:OLEObject Type="Embed" ProgID="Visio.Drawing.15" ShapeID="_x0000_i1030" DrawAspect="Content" ObjectID="_1691404920"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af7"/>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7"/>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7"/>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7"/>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7"/>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3"/>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6.9pt;height:100.15pt" o:ole="">
            <v:imagedata r:id="rId32" o:title=""/>
          </v:shape>
          <o:OLEObject Type="Embed" ProgID="Visio.Drawing.15" ShapeID="_x0000_i1031" DrawAspect="Content" ObjectID="_1691404921"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5pt;height:148.9pt" o:ole="">
            <v:imagedata r:id="rId35" o:title=""/>
          </v:shape>
          <o:OLEObject Type="Embed" ProgID="Visio.Drawing.15" ShapeID="_x0000_i1032" DrawAspect="Content" ObjectID="_1691404922"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ＭＳ 明朝"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ＭＳ 明朝"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ＭＳ 明朝"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ＭＳ 明朝"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7"/>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7"/>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7"/>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7"/>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7"/>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7"/>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7"/>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7"/>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7"/>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7"/>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7"/>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7"/>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ＭＳ 明朝"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ＭＳ 明朝"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ＭＳ 明朝"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Alt.2 as it keeps the power consistency and phase continuity</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7"/>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7"/>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ＭＳ 明朝"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af7"/>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ＭＳ 明朝"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ＭＳ 明朝"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ＭＳ 明朝"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7"/>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ＭＳ 明朝" w:hAnsi="Times New Roman" w:cs="Times New Roman" w:hint="eastAsia"/>
                <w:bCs/>
                <w:sz w:val="20"/>
                <w:szCs w:val="20"/>
                <w:lang w:val="en-GB" w:eastAsia="ja-JP"/>
              </w:rPr>
              <w:t xml:space="preserve"> </w:t>
            </w:r>
            <w:r>
              <w:rPr>
                <w:rFonts w:ascii="Times New Roman" w:eastAsia="ＭＳ 明朝"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ＭＳ 明朝"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af7"/>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af7"/>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7"/>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af7"/>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ＭＳ 明朝"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ＭＳ 明朝"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ＭＳ 明朝"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7"/>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7"/>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7"/>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7"/>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ＭＳ 明朝" w:hAnsi="Times New Roman" w:cs="Times New Roman"/>
                <w:bCs/>
                <w:lang w:val="en-GB" w:eastAsia="ja-JP"/>
              </w:rPr>
              <w:t xml:space="preserve">. However, these factors are not problem if time domain window is not too long. For this reason, selecting appropriate </w:t>
            </w:r>
            <w:r>
              <w:rPr>
                <w:rFonts w:ascii="Times New Roman" w:eastAsia="ＭＳ 明朝"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ＭＳ 明朝"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ＭＳ 明朝"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7"/>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ＭＳ 明朝"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7"/>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7"/>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ＭＳ 明朝"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ＭＳ 明朝"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ＭＳ 明朝"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ＭＳ 明朝"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ＭＳ 明朝"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7"/>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the need to down select at this meeting.</w:t>
            </w:r>
          </w:p>
          <w:p w14:paraId="7CC1C9E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ＭＳ 明朝"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7"/>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ＭＳ 明朝"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3"/>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ＭＳ 明朝" w:hAnsi="Times New Roman" w:cs="Times New Roman" w:hint="eastAsia"/>
                <w:bCs/>
                <w:lang w:val="en-GB" w:eastAsia="ja-JP"/>
              </w:rPr>
              <w:t>The end of the last TDW is the end of the last PUSCH transmission</w:t>
            </w:r>
            <w:r>
              <w:rPr>
                <w:rFonts w:ascii="Times New Roman" w:eastAsia="ＭＳ 明朝"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ＭＳ 明朝"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ＭＳ 明朝" w:hAnsi="Times New Roman" w:cs="Times New Roman" w:hint="eastAsia"/>
                <w:szCs w:val="21"/>
                <w:lang w:val="en-GB" w:eastAsia="ja-JP"/>
              </w:rPr>
              <w:t>W</w:t>
            </w:r>
            <w:r>
              <w:rPr>
                <w:rFonts w:ascii="Times New Roman" w:eastAsia="ＭＳ 明朝" w:hAnsi="Times New Roman" w:cs="Times New Roman"/>
                <w:szCs w:val="21"/>
                <w:lang w:val="en-GB" w:eastAsia="ja-JP"/>
              </w:rPr>
              <w:t xml:space="preserve">e also </w:t>
            </w:r>
            <w:r>
              <w:rPr>
                <w:rFonts w:ascii="Times New Roman" w:eastAsia="ＭＳ 明朝" w:hAnsi="Times New Roman" w:cs="Times New Roman" w:hint="eastAsia"/>
                <w:szCs w:val="21"/>
                <w:lang w:val="en-GB" w:eastAsia="ja-JP"/>
              </w:rPr>
              <w:t>f</w:t>
            </w:r>
            <w:r>
              <w:rPr>
                <w:rFonts w:ascii="Times New Roman" w:eastAsia="ＭＳ 明朝"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ＭＳ 明朝"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7"/>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7"/>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7"/>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could either add that note here again or reword the proposal something like:</w:t>
            </w:r>
          </w:p>
          <w:p w14:paraId="6D951D2A" w14:textId="77777777" w:rsidR="0003425A" w:rsidRDefault="00186778">
            <w:pPr>
              <w:pStyle w:val="af7"/>
              <w:numPr>
                <w:ilvl w:val="0"/>
                <w:numId w:val="18"/>
              </w:numPr>
              <w:spacing w:line="256" w:lineRule="auto"/>
              <w:ind w:firstLineChars="0"/>
              <w:rPr>
                <w:rFonts w:eastAsia="ＭＳ 明朝"/>
                <w:bCs/>
                <w:kern w:val="2"/>
                <w:sz w:val="21"/>
                <w:lang w:val="en-GB" w:eastAsia="ja-JP"/>
              </w:rPr>
            </w:pPr>
            <w:r>
              <w:rPr>
                <w:rFonts w:eastAsia="ＭＳ 明朝"/>
                <w:bCs/>
                <w:color w:val="FF0000"/>
                <w:kern w:val="2"/>
                <w:sz w:val="21"/>
                <w:u w:val="single"/>
                <w:lang w:val="en-GB" w:eastAsia="ja-JP"/>
              </w:rPr>
              <w:t>DMRS bundling for</w:t>
            </w:r>
            <w:r>
              <w:rPr>
                <w:rFonts w:eastAsia="ＭＳ 明朝"/>
                <w:bCs/>
                <w:color w:val="FF0000"/>
                <w:kern w:val="2"/>
                <w:sz w:val="21"/>
                <w:lang w:val="en-GB" w:eastAsia="ja-JP"/>
              </w:rPr>
              <w:t xml:space="preserve"> </w:t>
            </w:r>
            <w:r>
              <w:rPr>
                <w:rFonts w:eastAsia="ＭＳ 明朝"/>
                <w:bCs/>
                <w:kern w:val="2"/>
                <w:sz w:val="21"/>
                <w:lang w:val="en-GB" w:eastAsia="ja-JP"/>
              </w:rPr>
              <w:t xml:space="preserve">Joint channel estimation </w:t>
            </w:r>
            <w:r>
              <w:rPr>
                <w:rFonts w:eastAsia="ＭＳ 明朝"/>
                <w:bCs/>
                <w:strike/>
                <w:kern w:val="2"/>
                <w:sz w:val="21"/>
                <w:lang w:val="en-GB" w:eastAsia="ja-JP"/>
              </w:rPr>
              <w:t>for</w:t>
            </w:r>
            <w:r>
              <w:rPr>
                <w:rFonts w:eastAsia="ＭＳ 明朝"/>
                <w:bCs/>
                <w:kern w:val="2"/>
                <w:sz w:val="21"/>
                <w:lang w:val="en-GB" w:eastAsia="ja-JP"/>
              </w:rPr>
              <w:t xml:space="preserve"> </w:t>
            </w:r>
            <w:r>
              <w:rPr>
                <w:rFonts w:eastAsia="ＭＳ 明朝"/>
                <w:bCs/>
                <w:color w:val="FF0000"/>
                <w:kern w:val="2"/>
                <w:sz w:val="21"/>
                <w:u w:val="single"/>
                <w:lang w:val="en-GB" w:eastAsia="ja-JP"/>
              </w:rPr>
              <w:t>of</w:t>
            </w:r>
            <w:r>
              <w:rPr>
                <w:rFonts w:eastAsia="ＭＳ 明朝"/>
                <w:bCs/>
                <w:color w:val="FF0000"/>
                <w:kern w:val="2"/>
                <w:sz w:val="21"/>
                <w:lang w:val="en-GB" w:eastAsia="ja-JP"/>
              </w:rPr>
              <w:t xml:space="preserve"> </w:t>
            </w:r>
            <w:r>
              <w:rPr>
                <w:rFonts w:eastAsia="ＭＳ 明朝"/>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ＭＳ 明朝"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7"/>
              <w:numPr>
                <w:ilvl w:val="0"/>
                <w:numId w:val="42"/>
              </w:numPr>
              <w:ind w:firstLineChars="0"/>
              <w:rPr>
                <w:rFonts w:eastAsia="ＭＳ 明朝"/>
                <w:bCs/>
                <w:lang w:val="en-GB" w:eastAsia="ja-JP"/>
              </w:rPr>
            </w:pPr>
            <w:r>
              <w:rPr>
                <w:rFonts w:eastAsia="ＭＳ 明朝"/>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7"/>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3"/>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S</w:t>
            </w:r>
            <w:r>
              <w:rPr>
                <w:rFonts w:ascii="Times New Roman" w:eastAsia="ＭＳ 明朝"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ＭＳ 明朝"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ＭＳ 明朝"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ＭＳ 明朝"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7"/>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3"/>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7"/>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7"/>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7"/>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ＭＳ 明朝"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ＭＳ 明朝"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2pt;height:277.9pt" o:ole="">
            <v:imagedata r:id="rId39" o:title=""/>
          </v:shape>
          <o:OLEObject Type="Embed" ProgID="Visio.Drawing.11" ShapeID="_x0000_i1033" DrawAspect="Content" ObjectID="_1691404923" r:id="rId40"/>
        </w:object>
      </w:r>
    </w:p>
    <w:p w14:paraId="206624D9" w14:textId="77777777" w:rsidR="0003425A" w:rsidRDefault="00186778">
      <w:pPr>
        <w:jc w:val="center"/>
      </w:pPr>
      <w:r>
        <w:object w:dxaOrig="6870" w:dyaOrig="6280" w14:anchorId="13B6B744">
          <v:shape id="_x0000_i1034" type="#_x0000_t75" style="width:343.5pt;height:314.25pt" o:ole="">
            <v:imagedata r:id="rId41" o:title=""/>
          </v:shape>
          <o:OLEObject Type="Embed" ProgID="Visio.Drawing.11" ShapeID="_x0000_i1034" DrawAspect="Content" ObjectID="_1691404924" r:id="rId42"/>
        </w:object>
      </w:r>
    </w:p>
    <w:p w14:paraId="09A0560D" w14:textId="77777777" w:rsidR="0003425A" w:rsidRDefault="00186778">
      <w:pPr>
        <w:jc w:val="center"/>
      </w:pPr>
      <w:r>
        <w:object w:dxaOrig="6970" w:dyaOrig="5160" w14:anchorId="63A1719D">
          <v:shape id="_x0000_i1035" type="#_x0000_t75" style="width:348.4pt;height:258pt" o:ole="">
            <v:imagedata r:id="rId43" o:title=""/>
          </v:shape>
          <o:OLEObject Type="Embed" ProgID="Visio.Drawing.11" ShapeID="_x0000_i1035" DrawAspect="Content" ObjectID="_1691404925"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ＭＳ 明朝" w:hAnsi="Times New Roman" w:cs="Times New Roman"/>
                <w:lang w:eastAsia="ja-JP"/>
              </w:rPr>
            </w:pPr>
            <w:r>
              <w:rPr>
                <w:rFonts w:ascii="Times New Roman" w:eastAsia="ＭＳ 明朝"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(a)</w:t>
            </w:r>
            <w:r>
              <w:rPr>
                <w:rFonts w:ascii="Times New Roman" w:eastAsia="ＭＳ 明朝"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ＭＳ 明朝" w:hAnsi="Times New Roman" w:cs="Times New Roman"/>
                <w:bCs/>
                <w:lang w:val="en-GB" w:eastAsia="ja-JP"/>
              </w:rPr>
              <w:t>(b)</w:t>
            </w:r>
            <w:r>
              <w:rPr>
                <w:rFonts w:ascii="Times New Roman" w:eastAsia="ＭＳ 明朝"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7"/>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7"/>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7"/>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7"/>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7"/>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7"/>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7"/>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7"/>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3"/>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7"/>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7"/>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7"/>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7"/>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7"/>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pt;height:117pt" o:ole="">
                  <v:imagedata r:id="rId46" o:title=""/>
                </v:shape>
                <o:OLEObject Type="Embed" ProgID="Visio.Drawing.15" ShapeID="_x0000_i1036" DrawAspect="Content" ObjectID="_1691404926"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ＭＳ 明朝" w:hAnsi="Times New Roman" w:cs="Times New Roman"/>
                <w:bCs/>
                <w:sz w:val="22"/>
                <w:lang w:val="en-GB" w:eastAsia="ja-JP"/>
              </w:rPr>
            </w:pPr>
            <w:r>
              <w:rPr>
                <w:rFonts w:ascii="Times New Roman" w:eastAsia="ＭＳ 明朝" w:hAnsi="Times New Roman" w:cs="Times New Roman" w:hint="eastAsia"/>
                <w:bCs/>
                <w:sz w:val="22"/>
                <w:lang w:val="en-GB" w:eastAsia="ja-JP"/>
              </w:rPr>
              <w:t>W</w:t>
            </w:r>
            <w:r>
              <w:rPr>
                <w:rFonts w:ascii="Times New Roman" w:eastAsia="ＭＳ 明朝"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ＭＳ 明朝" w:hAnsi="Times New Roman" w:cs="Times New Roman" w:hint="eastAsia"/>
                <w:bCs/>
                <w:sz w:val="22"/>
                <w:lang w:val="en-GB" w:eastAsia="ja-JP"/>
              </w:rPr>
              <w:t>A</w:t>
            </w:r>
            <w:r>
              <w:rPr>
                <w:rFonts w:ascii="Times New Roman" w:eastAsia="ＭＳ 明朝"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ＭＳ 明朝" w:hAnsi="Times New Roman" w:cs="Times New Roman" w:hint="eastAsia"/>
                <w:bCs/>
                <w:sz w:val="22"/>
                <w:lang w:val="en-GB" w:eastAsia="ja-JP"/>
              </w:rPr>
              <w:t>6</w:t>
            </w:r>
            <w:r>
              <w:rPr>
                <w:rFonts w:ascii="Times New Roman" w:eastAsia="ＭＳ 明朝" w:hAnsi="Times New Roman" w:cs="Times New Roman"/>
                <w:bCs/>
                <w:sz w:val="22"/>
                <w:lang w:val="en-GB" w:eastAsia="ja-JP"/>
              </w:rPr>
              <w:t>th slot in Alt2-C’</w:t>
            </w:r>
            <w:r>
              <w:t xml:space="preserve"> </w:t>
            </w:r>
            <w:r>
              <w:rPr>
                <w:rFonts w:ascii="Times New Roman" w:eastAsia="ＭＳ 明朝"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7"/>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7"/>
              <w:ind w:firstLineChars="0" w:firstLine="0"/>
              <w:rPr>
                <w:bCs/>
                <w:sz w:val="20"/>
                <w:szCs w:val="20"/>
                <w:lang w:eastAsia="zh-CN"/>
              </w:rPr>
            </w:pPr>
          </w:p>
          <w:p w14:paraId="6211F5F6" w14:textId="77777777" w:rsidR="0003425A" w:rsidRDefault="00186778">
            <w:pPr>
              <w:pStyle w:val="af7"/>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7"/>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7"/>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7"/>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ＭＳ 明朝"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4pt;height:295.15pt" o:ole="">
                  <v:imagedata r:id="rId48" o:title=""/>
                </v:shape>
                <o:OLEObject Type="Embed" ProgID="Visio.Drawing.11" ShapeID="_x0000_i1037" DrawAspect="Content" ObjectID="_1691404927"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4pt;height:333.75pt" o:ole="">
                  <v:imagedata r:id="rId50" o:title=""/>
                </v:shape>
                <o:OLEObject Type="Embed" ProgID="Visio.Drawing.11" ShapeID="_x0000_i1038" DrawAspect="Content" ObjectID="_1691404928"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4pt;height:280.9pt" o:ole="">
                  <v:imagedata r:id="rId52" o:title=""/>
                </v:shape>
                <o:OLEObject Type="Embed" ProgID="Visio.Drawing.11" ShapeID="_x0000_i1039" DrawAspect="Content" ObjectID="_1691404929"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7"/>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I</w:t>
            </w:r>
            <w:r>
              <w:rPr>
                <w:rFonts w:ascii="Times New Roman" w:eastAsia="ＭＳ 明朝"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ＭＳ 明朝"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7"/>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7"/>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7"/>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4pt;height:295.15pt" o:ole="">
            <v:imagedata r:id="rId48" o:title=""/>
          </v:shape>
          <o:OLEObject Type="Embed" ProgID="Visio.Drawing.11" ShapeID="_x0000_i1040" DrawAspect="Content" ObjectID="_1691404930"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4pt;height:333.75pt" o:ole="">
            <v:imagedata r:id="rId50" o:title=""/>
          </v:shape>
          <o:OLEObject Type="Embed" ProgID="Visio.Drawing.11" ShapeID="_x0000_i1041" DrawAspect="Content" ObjectID="_1691404931"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4pt;height:280.9pt" o:ole="">
            <v:imagedata r:id="rId52" o:title=""/>
          </v:shape>
          <o:OLEObject Type="Embed" ProgID="Visio.Drawing.11" ShapeID="_x0000_i1042" DrawAspect="Content" ObjectID="_1691404932"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af3"/>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7"/>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ＭＳ 明朝" w:hAnsi="Times New Roman" w:cs="Times New Roman"/>
                <w:lang w:eastAsia="ja-JP"/>
              </w:rPr>
            </w:pPr>
            <w:r>
              <w:rPr>
                <w:rFonts w:ascii="Times New Roman" w:eastAsia="ＭＳ 明朝"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W</w:t>
            </w:r>
            <w:r>
              <w:rPr>
                <w:rFonts w:ascii="Times New Roman" w:eastAsia="ＭＳ 明朝"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ＭＳ 明朝" w:hAnsi="Times New Roman" w:cs="Times New Roman"/>
                <w:bCs/>
                <w:szCs w:val="21"/>
                <w:lang w:val="en-GB" w:eastAsia="ja-JP"/>
              </w:rPr>
            </w:pPr>
            <w:r>
              <w:rPr>
                <w:rFonts w:ascii="Times New Roman" w:eastAsia="ＭＳ 明朝"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7"/>
              <w:numPr>
                <w:ilvl w:val="0"/>
                <w:numId w:val="55"/>
              </w:numPr>
              <w:spacing w:after="0"/>
              <w:ind w:firstLineChars="0"/>
              <w:rPr>
                <w:rFonts w:eastAsia="ＭＳ 明朝"/>
                <w:bCs/>
                <w:sz w:val="21"/>
                <w:szCs w:val="21"/>
                <w:lang w:val="en-GB" w:eastAsia="ja-JP"/>
              </w:rPr>
            </w:pPr>
            <w:r>
              <w:rPr>
                <w:rFonts w:eastAsia="ＭＳ 明朝"/>
                <w:bCs/>
                <w:sz w:val="21"/>
                <w:szCs w:val="21"/>
                <w:lang w:val="en-GB" w:eastAsia="ja-JP"/>
              </w:rPr>
              <w:t>The 1</w:t>
            </w:r>
            <w:r>
              <w:rPr>
                <w:rFonts w:eastAsia="ＭＳ 明朝"/>
                <w:bCs/>
                <w:sz w:val="21"/>
                <w:szCs w:val="21"/>
                <w:vertAlign w:val="superscript"/>
                <w:lang w:val="en-GB" w:eastAsia="ja-JP"/>
              </w:rPr>
              <w:t>st</w:t>
            </w:r>
            <w:r>
              <w:rPr>
                <w:rFonts w:eastAsia="ＭＳ 明朝"/>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7"/>
              <w:numPr>
                <w:ilvl w:val="0"/>
                <w:numId w:val="55"/>
              </w:numPr>
              <w:spacing w:after="0"/>
              <w:ind w:firstLineChars="0"/>
              <w:rPr>
                <w:rFonts w:eastAsia="ＭＳ 明朝"/>
                <w:bCs/>
                <w:sz w:val="21"/>
                <w:szCs w:val="21"/>
                <w:lang w:val="en-GB" w:eastAsia="ja-JP"/>
              </w:rPr>
            </w:pPr>
            <w:r>
              <w:rPr>
                <w:rFonts w:eastAsia="ＭＳ 明朝"/>
                <w:bCs/>
                <w:sz w:val="21"/>
                <w:szCs w:val="21"/>
                <w:lang w:val="en-GB" w:eastAsia="ja-JP"/>
              </w:rPr>
              <w:t>The 2</w:t>
            </w:r>
            <w:r>
              <w:rPr>
                <w:rFonts w:eastAsia="ＭＳ 明朝"/>
                <w:bCs/>
                <w:sz w:val="21"/>
                <w:szCs w:val="21"/>
                <w:vertAlign w:val="superscript"/>
                <w:lang w:val="en-GB" w:eastAsia="ja-JP"/>
              </w:rPr>
              <w:t>nd</w:t>
            </w:r>
            <w:r>
              <w:rPr>
                <w:rFonts w:eastAsia="ＭＳ 明朝"/>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ＭＳ 明朝" w:hAnsi="Times New Roman" w:cs="Times New Roman"/>
                <w:bCs/>
                <w:szCs w:val="21"/>
                <w:lang w:val="en-GB" w:eastAsia="ja-JP"/>
              </w:rPr>
            </w:pPr>
            <w:r>
              <w:rPr>
                <w:rFonts w:ascii="Times New Roman" w:eastAsia="ＭＳ 明朝"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7"/>
              <w:numPr>
                <w:ilvl w:val="0"/>
                <w:numId w:val="56"/>
              </w:numPr>
              <w:spacing w:after="0"/>
              <w:ind w:firstLineChars="0"/>
              <w:rPr>
                <w:rFonts w:eastAsia="ＭＳ 明朝"/>
                <w:b/>
                <w:sz w:val="21"/>
                <w:szCs w:val="21"/>
                <w:lang w:val="en-GB" w:eastAsia="ja-JP"/>
              </w:rPr>
            </w:pPr>
            <w:r>
              <w:rPr>
                <w:rFonts w:eastAsia="ＭＳ 明朝"/>
                <w:b/>
                <w:sz w:val="21"/>
                <w:szCs w:val="21"/>
                <w:lang w:val="en-GB" w:eastAsia="ja-JP"/>
              </w:rPr>
              <w:t>Whether we introduce “the window length L” (not call it as TDW) or not</w:t>
            </w:r>
          </w:p>
          <w:p w14:paraId="01ED1BAD"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Moreover, this parameter can also be used for a purpose of disabling/enabling joint CE.</w:t>
            </w:r>
          </w:p>
          <w:p w14:paraId="5A85D7B2"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7"/>
              <w:numPr>
                <w:ilvl w:val="0"/>
                <w:numId w:val="56"/>
              </w:numPr>
              <w:spacing w:after="0"/>
              <w:ind w:firstLineChars="0"/>
              <w:rPr>
                <w:rFonts w:eastAsia="ＭＳ 明朝"/>
                <w:b/>
                <w:sz w:val="21"/>
                <w:szCs w:val="21"/>
                <w:lang w:val="en-GB" w:eastAsia="ja-JP"/>
              </w:rPr>
            </w:pPr>
            <w:r>
              <w:rPr>
                <w:rFonts w:eastAsia="ＭＳ 明朝"/>
                <w:b/>
                <w:sz w:val="21"/>
                <w:szCs w:val="21"/>
                <w:lang w:val="en-GB" w:eastAsia="ja-JP"/>
              </w:rPr>
              <w:t>Whether the remaining slots in the window length L forms new TDW or not after some events</w:t>
            </w:r>
          </w:p>
          <w:p w14:paraId="221104F6"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7"/>
              <w:numPr>
                <w:ilvl w:val="0"/>
                <w:numId w:val="57"/>
              </w:numPr>
              <w:spacing w:after="0"/>
              <w:ind w:firstLineChars="0"/>
              <w:rPr>
                <w:rFonts w:eastAsia="ＭＳ 明朝"/>
                <w:bCs/>
                <w:sz w:val="21"/>
                <w:szCs w:val="21"/>
                <w:lang w:val="en-GB" w:eastAsia="ja-JP"/>
              </w:rPr>
            </w:pPr>
            <w:r>
              <w:rPr>
                <w:rFonts w:eastAsia="ＭＳ 明朝"/>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ＭＳ 明朝"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ＭＳ 明朝"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pt;height:339.4pt" o:ole="">
                  <v:imagedata r:id="rId57" o:title=""/>
                </v:shape>
                <o:OLEObject Type="Embed" ProgID="Visio.Drawing.11" ShapeID="_x0000_i1043" DrawAspect="Content" ObjectID="_1691404933" r:id="rId58"/>
              </w:object>
            </w:r>
          </w:p>
          <w:p w14:paraId="3675EE5C"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3"/>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 xml:space="preserve">during one </w:t>
            </w:r>
            <w:r>
              <w:rPr>
                <w:rFonts w:ascii="Times New Roman" w:eastAsia="ＭＳ 明朝"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hint="eastAsia"/>
                <w:kern w:val="0"/>
                <w:szCs w:val="21"/>
                <w:lang w:eastAsia="ja-JP"/>
              </w:rPr>
              <w:t>@</w:t>
            </w:r>
            <w:r>
              <w:rPr>
                <w:rFonts w:ascii="Times New Roman" w:eastAsia="ＭＳ 明朝" w:hAnsi="Times New Roman" w:cs="Times New Roman"/>
                <w:kern w:val="0"/>
                <w:szCs w:val="21"/>
                <w:lang w:eastAsia="ja-JP"/>
              </w:rPr>
              <w:t xml:space="preserve">FL Thank you for providing good example. After reading your comment, we think the constraint that </w:t>
            </w:r>
            <w:r>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ＭＳ 明朝" w:hAnsi="Times New Roman" w:cs="Times New Roman"/>
                <w:kern w:val="0"/>
                <w:szCs w:val="21"/>
                <w:lang w:val="en-GB" w:eastAsia="ja-JP"/>
              </w:rPr>
            </w:pPr>
            <w:r>
              <w:rPr>
                <w:rFonts w:ascii="Times New Roman" w:eastAsia="ＭＳ 明朝" w:hAnsi="Times New Roman" w:cs="Times New Roman"/>
                <w:kern w:val="0"/>
                <w:szCs w:val="21"/>
                <w:lang w:eastAsia="ja-JP"/>
              </w:rPr>
              <w:t>Without this constraint, Alt2-B can be the same as Alt2-C’ if</w:t>
            </w:r>
            <w:r>
              <w:rPr>
                <w:rFonts w:ascii="Times New Roman" w:eastAsia="ＭＳ 明朝" w:hAnsi="Times New Roman" w:cs="Times New Roman"/>
                <w:i/>
                <w:iCs/>
                <w:kern w:val="0"/>
                <w:szCs w:val="21"/>
                <w:lang w:eastAsia="ja-JP"/>
              </w:rPr>
              <w:t xml:space="preserve"> L </w:t>
            </w:r>
            <w:r>
              <w:rPr>
                <w:rFonts w:ascii="Times New Roman" w:eastAsia="ＭＳ 明朝" w:hAnsi="Times New Roman" w:cs="Times New Roman"/>
                <w:kern w:val="0"/>
                <w:szCs w:val="21"/>
                <w:lang w:eastAsia="ja-JP"/>
              </w:rPr>
              <w:t xml:space="preserve">is equal to the number of all slots allocated for PUSCH. </w:t>
            </w:r>
            <w:r>
              <w:rPr>
                <w:rFonts w:ascii="Times New Roman" w:eastAsia="ＭＳ 明朝"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ＭＳ 明朝"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pt;height:340.9pt" o:ole="">
                  <v:imagedata r:id="rId57" o:title=""/>
                </v:shape>
                <o:OLEObject Type="Embed" ProgID="Visio.Drawing.11" ShapeID="_x0000_i1044" DrawAspect="Content" ObjectID="_1691404934"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ＭＳ 明朝"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7"/>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7"/>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7"/>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7"/>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7"/>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7"/>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ＭＳ 明朝"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5B6DE0">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15pt;height:88.1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3"/>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ＭＳ 明朝" w:hAnsi="Times New Roman" w:cs="Times New Roman"/>
                <w:kern w:val="0"/>
                <w:szCs w:val="21"/>
                <w:lang w:eastAsia="ja-JP"/>
              </w:rPr>
            </w:pPr>
          </w:p>
          <w:p w14:paraId="6B46B5C8" w14:textId="77777777" w:rsidR="0003425A" w:rsidRDefault="00186778">
            <w:pPr>
              <w:pStyle w:val="a"/>
              <w:rPr>
                <w:rFonts w:ascii="Times New Roman" w:eastAsia="ＭＳ 明朝"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ＭＳ 明朝"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ＭＳ 明朝"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ＭＳ 明朝"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ＭＳ 明朝" w:hAnsi="Times New Roman" w:cs="Times New Roman"/>
                <w:bCs/>
                <w:lang w:val="en-GB" w:eastAsia="ja-JP"/>
              </w:rPr>
              <w:t>DOCOMO</w:t>
            </w:r>
            <w:r>
              <w:rPr>
                <w:rFonts w:ascii="Times New Roman" w:eastAsia="ＭＳ 明朝"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ＭＳ 明朝"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ＭＳ 明朝"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893824">
        <w:trPr>
          <w:trHeight w:val="409"/>
          <w:jc w:val="center"/>
        </w:trPr>
        <w:tc>
          <w:tcPr>
            <w:tcW w:w="1733" w:type="dxa"/>
            <w:shd w:val="clear" w:color="auto" w:fill="auto"/>
            <w:vAlign w:val="center"/>
          </w:tcPr>
          <w:p w14:paraId="35C3C081"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893824">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893824">
        <w:trPr>
          <w:trHeight w:val="409"/>
          <w:jc w:val="center"/>
        </w:trPr>
        <w:tc>
          <w:tcPr>
            <w:tcW w:w="1733" w:type="dxa"/>
            <w:shd w:val="clear" w:color="auto" w:fill="auto"/>
            <w:vAlign w:val="center"/>
          </w:tcPr>
          <w:p w14:paraId="05546DA2" w14:textId="2B8A54C2" w:rsidR="008D6644" w:rsidRDefault="00880598" w:rsidP="00893824">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prefer </w:t>
            </w:r>
            <w:r w:rsidRPr="005B6DE0">
              <w:rPr>
                <w:rFonts w:ascii="Times New Roman" w:eastAsia="ＭＳ 明朝" w:hAnsi="Times New Roman" w:cs="Times New Roman"/>
                <w:bCs/>
                <w:lang w:val="en-GB" w:eastAsia="ja-JP"/>
              </w:rPr>
              <w:t>Alt 2-C’-v2</w:t>
            </w:r>
            <w:r>
              <w:rPr>
                <w:rFonts w:ascii="Times New Roman" w:eastAsia="ＭＳ 明朝" w:hAnsi="Times New Roman" w:cs="Times New Roman"/>
                <w:bCs/>
                <w:lang w:val="en-GB" w:eastAsia="ja-JP"/>
              </w:rPr>
              <w:t xml:space="preserve">. </w:t>
            </w:r>
            <w:r w:rsidRPr="005B6DE0">
              <w:rPr>
                <w:rFonts w:ascii="Times New Roman" w:eastAsia="ＭＳ 明朝" w:hAnsi="Times New Roman" w:cs="Times New Roman"/>
                <w:bCs/>
                <w:lang w:val="en-GB" w:eastAsia="ja-JP"/>
              </w:rPr>
              <w:t xml:space="preserve">UE is expected to maintain the power consistency and phase continuity during </w:t>
            </w:r>
            <w:r>
              <w:rPr>
                <w:rFonts w:ascii="Times New Roman" w:eastAsia="ＭＳ 明朝" w:hAnsi="Times New Roman" w:cs="Times New Roman"/>
                <w:bCs/>
                <w:lang w:val="en-GB" w:eastAsia="ja-JP"/>
              </w:rPr>
              <w:t xml:space="preserve">TDW not </w:t>
            </w:r>
            <w:r w:rsidRPr="005B6DE0">
              <w:rPr>
                <w:rFonts w:ascii="Times New Roman" w:eastAsia="ＭＳ 明朝"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bCs/>
                <w:lang w:val="en-GB" w:eastAsia="ja-JP"/>
              </w:rPr>
              <w:t xml:space="preserve">@FL Thank you for the comment. However, we do not buy </w:t>
            </w:r>
            <w:r w:rsidR="00402BCA">
              <w:rPr>
                <w:rFonts w:ascii="Times New Roman" w:eastAsia="ＭＳ 明朝" w:hAnsi="Times New Roman" w:cs="Times New Roman"/>
                <w:bCs/>
                <w:lang w:val="en-GB" w:eastAsia="ja-JP"/>
              </w:rPr>
              <w:t>it</w:t>
            </w:r>
            <w:r>
              <w:rPr>
                <w:rFonts w:ascii="Times New Roman" w:eastAsia="ＭＳ 明朝" w:hAnsi="Times New Roman" w:cs="Times New Roman"/>
                <w:bCs/>
                <w:lang w:val="en-GB" w:eastAsia="ja-JP"/>
              </w:rPr>
              <w:t xml:space="preserve">. Since </w:t>
            </w:r>
            <w:r w:rsidRPr="00DA5480">
              <w:rPr>
                <w:rFonts w:ascii="Times New Roman" w:eastAsia="ＭＳ 明朝" w:hAnsi="Times New Roman" w:cs="Times New Roman"/>
                <w:bCs/>
                <w:i/>
                <w:iCs/>
                <w:lang w:val="en-GB" w:eastAsia="ja-JP"/>
              </w:rPr>
              <w:t>L</w:t>
            </w:r>
            <w:r>
              <w:rPr>
                <w:rFonts w:ascii="Times New Roman" w:eastAsia="ＭＳ 明朝" w:hAnsi="Times New Roman" w:cs="Times New Roman"/>
                <w:bCs/>
                <w:lang w:val="en-GB" w:eastAsia="ja-JP"/>
              </w:rPr>
              <w:t xml:space="preserve"> is not the length of TDW but the length of </w:t>
            </w:r>
            <w:r w:rsidRPr="00DA5480">
              <w:rPr>
                <w:rFonts w:ascii="Times New Roman" w:eastAsia="ＭＳ 明朝" w:hAnsi="Times New Roman" w:cs="Times New Roman"/>
                <w:bCs/>
                <w:u w:val="single"/>
                <w:lang w:val="en-GB" w:eastAsia="ja-JP"/>
              </w:rPr>
              <w:t>configured</w:t>
            </w:r>
            <w:r>
              <w:rPr>
                <w:rFonts w:ascii="Times New Roman" w:eastAsia="ＭＳ 明朝" w:hAnsi="Times New Roman" w:cs="Times New Roman"/>
                <w:bCs/>
                <w:lang w:val="en-GB" w:eastAsia="ja-JP"/>
              </w:rPr>
              <w:t xml:space="preserve"> TDW, we think it is not against the agreement that TDW is longer than maximum duration</w:t>
            </w:r>
            <w:r w:rsidR="00402BCA">
              <w:rPr>
                <w:rFonts w:ascii="Times New Roman" w:eastAsia="ＭＳ 明朝" w:hAnsi="Times New Roman" w:cs="Times New Roman"/>
                <w:bCs/>
                <w:lang w:val="en-GB" w:eastAsia="ja-JP"/>
              </w:rPr>
              <w:t>. Regardless of the configured TDW, TDW cannot be longer than maximum duration, because reaching maximum duration is one event.</w:t>
            </w:r>
            <w:r>
              <w:rPr>
                <w:rFonts w:ascii="Times New Roman" w:eastAsia="ＭＳ 明朝" w:hAnsi="Times New Roman" w:cs="Times New Roman"/>
                <w:bCs/>
                <w:lang w:val="en-GB" w:eastAsia="ja-JP"/>
              </w:rPr>
              <w:t xml:space="preserve">If </w:t>
            </w:r>
            <w:r>
              <w:rPr>
                <w:rFonts w:ascii="Times New Roman" w:eastAsia="ＭＳ 明朝" w:hAnsi="Times New Roman" w:cs="Times New Roman"/>
                <w:kern w:val="0"/>
                <w:szCs w:val="21"/>
                <w:lang w:eastAsia="ja-JP"/>
              </w:rPr>
              <w:t xml:space="preserve">the constraint that </w:t>
            </w:r>
            <w:r>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is no longer than the maximum duration is taken away in the below sub-bullet Alt2-C’, Alt2-B can be viewed as one of Alt2-C</w:t>
            </w:r>
            <w:r w:rsidR="00402BCA">
              <w:rPr>
                <w:rFonts w:ascii="Times New Roman" w:eastAsia="ＭＳ 明朝" w:hAnsi="Times New Roman" w:cs="Times New Roman"/>
                <w:kern w:val="0"/>
                <w:szCs w:val="21"/>
                <w:lang w:eastAsia="ja-JP"/>
              </w:rPr>
              <w:t xml:space="preserve"> (L = the number of all allocated slots)</w:t>
            </w:r>
            <w:r>
              <w:rPr>
                <w:rFonts w:ascii="Times New Roman" w:eastAsia="ＭＳ 明朝"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893824">
            <w:pPr>
              <w:spacing w:after="0"/>
              <w:rPr>
                <w:rFonts w:ascii="Times New Roman" w:eastAsia="ＭＳ 明朝" w:hAnsi="Times New Roman" w:cs="Times New Roman"/>
                <w:bCs/>
                <w:lang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are also okay with </w:t>
            </w:r>
            <w:r w:rsidR="00402BCA">
              <w:rPr>
                <w:rFonts w:ascii="Times New Roman" w:eastAsia="ＭＳ 明朝"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ＭＳ 明朝" w:hAnsi="Times New Roman" w:cs="Times New Roman"/>
                <w:bCs/>
                <w:lang w:val="en-GB" w:eastAsia="ja-JP"/>
              </w:rPr>
              <w:t xml:space="preserve">-C or Alt2-C’ </w:t>
            </w:r>
            <w:r w:rsidR="00CF56FD">
              <w:rPr>
                <w:rFonts w:ascii="Times New Roman" w:eastAsia="ＭＳ 明朝" w:hAnsi="Times New Roman" w:cs="Times New Roman"/>
                <w:bCs/>
                <w:lang w:val="en-GB" w:eastAsia="ja-JP"/>
              </w:rPr>
              <w:t xml:space="preserve">can </w:t>
            </w:r>
            <w:r w:rsidR="00402BCA">
              <w:rPr>
                <w:rFonts w:ascii="Times New Roman" w:eastAsia="ＭＳ 明朝"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893824">
        <w:trPr>
          <w:trHeight w:val="419"/>
          <w:jc w:val="center"/>
        </w:trPr>
        <w:tc>
          <w:tcPr>
            <w:tcW w:w="1733" w:type="dxa"/>
            <w:shd w:val="clear" w:color="auto" w:fill="auto"/>
            <w:vAlign w:val="center"/>
          </w:tcPr>
          <w:p w14:paraId="20D92FE3" w14:textId="35319456" w:rsidR="008D6644" w:rsidRDefault="008D6644" w:rsidP="00893824">
            <w:pPr>
              <w:jc w:val="center"/>
              <w:rPr>
                <w:rFonts w:ascii="Times New Roman" w:hAnsi="Times New Roman" w:cs="Times New Roman"/>
                <w:bCs/>
                <w:lang w:val="en-GB"/>
              </w:rPr>
            </w:pPr>
          </w:p>
        </w:tc>
        <w:tc>
          <w:tcPr>
            <w:tcW w:w="7744" w:type="dxa"/>
            <w:shd w:val="clear" w:color="auto" w:fill="auto"/>
            <w:vAlign w:val="center"/>
          </w:tcPr>
          <w:p w14:paraId="470EE996" w14:textId="1B415A4A" w:rsidR="008D6644" w:rsidRDefault="008D6644" w:rsidP="00893824">
            <w:pPr>
              <w:rPr>
                <w:bCs/>
                <w:sz w:val="20"/>
                <w:szCs w:val="20"/>
                <w:lang w:val="en-GB"/>
              </w:rPr>
            </w:pPr>
          </w:p>
        </w:tc>
      </w:tr>
      <w:tr w:rsidR="008D6644" w14:paraId="1CA70A60" w14:textId="77777777" w:rsidTr="00893824">
        <w:trPr>
          <w:trHeight w:val="409"/>
          <w:jc w:val="center"/>
        </w:trPr>
        <w:tc>
          <w:tcPr>
            <w:tcW w:w="1733" w:type="dxa"/>
            <w:shd w:val="clear" w:color="auto" w:fill="auto"/>
            <w:vAlign w:val="center"/>
          </w:tcPr>
          <w:p w14:paraId="5993FE60" w14:textId="0F277A20" w:rsidR="008D6644" w:rsidRDefault="008D6644" w:rsidP="00893824">
            <w:pPr>
              <w:jc w:val="center"/>
              <w:rPr>
                <w:rFonts w:ascii="Times New Roman" w:hAnsi="Times New Roman" w:cs="Times New Roman"/>
                <w:bCs/>
                <w:lang w:val="en-GB"/>
              </w:rPr>
            </w:pPr>
          </w:p>
        </w:tc>
        <w:tc>
          <w:tcPr>
            <w:tcW w:w="7744" w:type="dxa"/>
            <w:shd w:val="clear" w:color="auto" w:fill="auto"/>
            <w:vAlign w:val="center"/>
          </w:tcPr>
          <w:p w14:paraId="1D929D3E" w14:textId="4A147DB6" w:rsidR="008D6644" w:rsidRDefault="008D6644" w:rsidP="00893824">
            <w:pPr>
              <w:rPr>
                <w:rFonts w:ascii="Times New Roman" w:hAnsi="Times New Roman" w:cs="Times New Roman"/>
                <w:bCs/>
              </w:rPr>
            </w:pPr>
          </w:p>
        </w:tc>
      </w:tr>
    </w:tbl>
    <w:p w14:paraId="13D4BF1E" w14:textId="77777777" w:rsidR="008D6644" w:rsidRPr="008D6644" w:rsidRDefault="008D6644">
      <w:pPr>
        <w:tabs>
          <w:tab w:val="left" w:pos="1701"/>
        </w:tabs>
        <w:spacing w:after="120" w:line="240" w:lineRule="auto"/>
        <w:jc w:val="left"/>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7"/>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7"/>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7"/>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7"/>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7"/>
        <w:numPr>
          <w:ilvl w:val="1"/>
          <w:numId w:val="43"/>
        </w:numPr>
        <w:ind w:firstLineChars="0"/>
        <w:rPr>
          <w:sz w:val="21"/>
          <w:szCs w:val="21"/>
        </w:rPr>
      </w:pPr>
      <w:r>
        <w:rPr>
          <w:bCs/>
          <w:sz w:val="21"/>
          <w:szCs w:val="21"/>
        </w:rPr>
        <w:t>autonomous timing adjustment</w:t>
      </w:r>
    </w:p>
    <w:p w14:paraId="5111CCB8" w14:textId="77777777" w:rsidR="0003425A" w:rsidRDefault="00186778">
      <w:pPr>
        <w:pStyle w:val="af7"/>
        <w:numPr>
          <w:ilvl w:val="1"/>
          <w:numId w:val="43"/>
        </w:numPr>
        <w:ind w:firstLineChars="0"/>
        <w:rPr>
          <w:sz w:val="21"/>
          <w:szCs w:val="21"/>
        </w:rPr>
      </w:pPr>
      <w:r>
        <w:rPr>
          <w:bCs/>
          <w:sz w:val="21"/>
          <w:szCs w:val="21"/>
        </w:rPr>
        <w:t>open loop power control</w:t>
      </w:r>
    </w:p>
    <w:p w14:paraId="32E7932D" w14:textId="77777777" w:rsidR="0003425A" w:rsidRDefault="00186778">
      <w:pPr>
        <w:pStyle w:val="af7"/>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ＭＳ 明朝" w:hAnsi="Times New Roman" w:cs="Times New Roman"/>
                <w:bCs/>
                <w:lang w:val="en-GB" w:eastAsia="ja-JP"/>
              </w:rPr>
              <w:t xml:space="preserve">Regarding </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UE operates fine timing tracking to adjust FFT boundary when UE receive DL signal</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autonomous timing adjustment</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and </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open loop power control</w:t>
            </w:r>
            <w:r w:rsidR="00A154D8">
              <w:rPr>
                <w:rFonts w:ascii="Times New Roman" w:eastAsia="ＭＳ 明朝" w:hAnsi="Times New Roman" w:cs="Times New Roman"/>
                <w:bCs/>
                <w:lang w:val="en-GB" w:eastAsia="ja-JP"/>
              </w:rPr>
              <w:t>”</w:t>
            </w:r>
            <w:r>
              <w:rPr>
                <w:rFonts w:ascii="Times New Roman" w:eastAsia="ＭＳ 明朝"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ＭＳ 明朝"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ＭＳ 明朝"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Lenovo, </w:t>
            </w:r>
            <w:r>
              <w:rPr>
                <w:rFonts w:ascii="Times New Roman" w:eastAsia="Malgun Gothic" w:hAnsi="Times New Roman" w:cs="Times New Roman"/>
                <w:bCs/>
                <w:lang w:val="en-GB" w:eastAsia="ko-KR"/>
              </w:rPr>
              <w:lastRenderedPageBreak/>
              <w:t>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7"/>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7"/>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7"/>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7"/>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we think these should not be done in a TDW, and agree with Panasonic that they should not be listed here.  </w:t>
            </w:r>
            <w:r>
              <w:rPr>
                <w:rFonts w:ascii="Times New Roman" w:eastAsia="Malgun Gothic" w:hAnsi="Times New Roman" w:cs="Times New Roman"/>
                <w:bCs/>
                <w:lang w:eastAsia="ko-KR"/>
              </w:rPr>
              <w:lastRenderedPageBreak/>
              <w:t>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7"/>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af7"/>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7"/>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7"/>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7"/>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7"/>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ＭＳ 明朝"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w:t>
            </w:r>
            <w:r>
              <w:rPr>
                <w:rFonts w:ascii="Times New Roman" w:eastAsia="Malgun Gothic" w:hAnsi="Times New Roman" w:cs="Times New Roman"/>
                <w:bCs/>
                <w:lang w:val="en-GB" w:eastAsia="ko-KR"/>
              </w:rPr>
              <w:lastRenderedPageBreak/>
              <w:t xml:space="preserve">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7"/>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7"/>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 xml:space="preserve">FL comments: From FL understanding, the intention of proposal 6 is to preclude the case that UE can perform TA adjustment during the time domain window. Regarding the comments by CATT and Intel, we can add </w:t>
      </w:r>
      <w:r>
        <w:rPr>
          <w:rFonts w:ascii="Times New Roman" w:eastAsia="SimSun" w:hAnsi="Times New Roman" w:cs="Times New Roman"/>
          <w:b/>
          <w:kern w:val="0"/>
          <w:szCs w:val="21"/>
          <w:highlight w:val="yellow"/>
          <w:lang w:eastAsia="en-US"/>
        </w:rPr>
        <w:lastRenderedPageBreak/>
        <w:t>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7"/>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7"/>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af7"/>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7"/>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ＭＳ 明朝"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ＭＳ 明朝"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77777777" w:rsidR="0003425A" w:rsidRDefault="0003425A">
      <w:pPr>
        <w:tabs>
          <w:tab w:val="left" w:pos="1701"/>
        </w:tabs>
        <w:spacing w:after="120" w:line="240" w:lineRule="auto"/>
        <w:jc w:val="left"/>
        <w:rPr>
          <w:lang w:val="en-GB"/>
        </w:rPr>
      </w:pPr>
    </w:p>
    <w:p w14:paraId="25CBE40D"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7"/>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7"/>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7"/>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7"/>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7"/>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7"/>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7"/>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7"/>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7"/>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7"/>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af7"/>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7"/>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7"/>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7"/>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7"/>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7"/>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7"/>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7"/>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7"/>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7"/>
        <w:numPr>
          <w:ilvl w:val="2"/>
          <w:numId w:val="23"/>
        </w:numPr>
        <w:adjustRightInd/>
        <w:spacing w:line="252" w:lineRule="auto"/>
        <w:ind w:firstLineChars="0"/>
        <w:rPr>
          <w:sz w:val="21"/>
          <w:szCs w:val="21"/>
        </w:rPr>
      </w:pPr>
      <w:r>
        <w:rPr>
          <w:sz w:val="21"/>
          <w:szCs w:val="21"/>
        </w:rPr>
        <w:lastRenderedPageBreak/>
        <w:t>Only for single layer transmissions</w:t>
      </w:r>
    </w:p>
    <w:p w14:paraId="04ACB608" w14:textId="77777777" w:rsidR="0003425A" w:rsidRDefault="00186778">
      <w:pPr>
        <w:pStyle w:val="af7"/>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7"/>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7"/>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7"/>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7"/>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7"/>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7"/>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7"/>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7"/>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7"/>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7"/>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7"/>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7"/>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7"/>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7"/>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7"/>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7"/>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7"/>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7"/>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7"/>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7"/>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7"/>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7"/>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7"/>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7"/>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7"/>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7"/>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7"/>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7"/>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7"/>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7"/>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7"/>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1"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a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4"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hAnsi="Times New Roman" w:cs="Times New Roman"/>
          <w:color w:val="auto"/>
          <w:szCs w:val="21"/>
          <w:u w:val="none"/>
          <w:lang w:val="en-US"/>
        </w:rPr>
      </w:pPr>
      <w:bookmarkStart w:id="15" w:name="_Ref70436752"/>
      <w:r>
        <w:rPr>
          <w:rStyle w:val="af5"/>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6"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hAnsi="Times New Roman" w:cs="Times New Roman"/>
          <w:color w:val="auto"/>
          <w:szCs w:val="21"/>
          <w:u w:val="none"/>
          <w:lang w:val="en-US"/>
        </w:rPr>
      </w:pPr>
      <w:bookmarkStart w:id="17" w:name="_Ref79670386"/>
      <w:r>
        <w:rPr>
          <w:rStyle w:val="af5"/>
          <w:rFonts w:ascii="Times New Roman" w:eastAsia="SimSun" w:hAnsi="Times New Roman" w:cs="Times New Roman"/>
          <w:color w:val="auto"/>
          <w:kern w:val="0"/>
          <w:sz w:val="20"/>
          <w:szCs w:val="20"/>
          <w:u w:val="none"/>
          <w:lang w:eastAsia="en-US"/>
        </w:rPr>
        <w:t xml:space="preserve">3GPP </w:t>
      </w:r>
      <w:r>
        <w:rPr>
          <w:rStyle w:val="af5"/>
          <w:rFonts w:ascii="Times New Roman" w:hAnsi="Times New Roman" w:cs="Times New Roman"/>
          <w:color w:val="auto"/>
          <w:szCs w:val="21"/>
          <w:u w:val="none"/>
          <w:lang w:val="en-US"/>
        </w:rPr>
        <w:t>R4-2107880</w:t>
      </w:r>
      <w:r>
        <w:rPr>
          <w:rStyle w:val="af5"/>
          <w:rFonts w:ascii="Times New Roman" w:hAnsi="Times New Roman" w:cs="Times New Roman" w:hint="eastAsia"/>
          <w:color w:val="auto"/>
          <w:szCs w:val="21"/>
          <w:u w:val="none"/>
          <w:lang w:val="en-US"/>
        </w:rPr>
        <w:t>,</w:t>
      </w:r>
      <w:r>
        <w:rPr>
          <w:rStyle w:val="af5"/>
          <w:rFonts w:ascii="Times New Roman" w:hAnsi="Times New Roman" w:cs="Times New Roman"/>
          <w:color w:val="auto"/>
          <w:szCs w:val="21"/>
          <w:u w:val="none"/>
          <w:lang w:val="en-US"/>
        </w:rPr>
        <w:t xml:space="preserve">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hint="eastAsia"/>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17"/>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R1-2106497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R1-2106613</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R1-2106657</w:t>
      </w:r>
      <w:r>
        <w:rPr>
          <w:rStyle w:val="af5"/>
          <w:rFonts w:ascii="Times New Roman" w:eastAsia="SimSun" w:hAnsi="Times New Roman" w:cs="Times New Roman"/>
          <w:color w:val="auto"/>
          <w:kern w:val="0"/>
          <w:sz w:val="20"/>
          <w:szCs w:val="20"/>
          <w:u w:val="none"/>
          <w:lang w:eastAsia="en-US"/>
        </w:rPr>
        <w:tab/>
        <w:t>Joint channel estimation for PUSCH coverage enhancements</w:t>
      </w:r>
      <w:r>
        <w:rPr>
          <w:rStyle w:val="af5"/>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R1-2106711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R1-2106741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R1-2106817</w:t>
      </w:r>
      <w:r>
        <w:rPr>
          <w:rStyle w:val="af5"/>
          <w:rFonts w:ascii="Times New Roman" w:eastAsia="SimSun" w:hAnsi="Times New Roman" w:cs="Times New Roman"/>
          <w:color w:val="auto"/>
          <w:kern w:val="0"/>
          <w:sz w:val="20"/>
          <w:szCs w:val="20"/>
          <w:u w:val="none"/>
          <w:lang w:eastAsia="en-US"/>
        </w:rPr>
        <w:tab/>
        <w:t>On joint channel estimation for PUSCH</w:t>
      </w:r>
      <w:r>
        <w:rPr>
          <w:rStyle w:val="af5"/>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R1-2106904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R1-2106990</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R1-2107125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R1-2107192</w:t>
      </w:r>
      <w:r>
        <w:rPr>
          <w:rStyle w:val="af5"/>
          <w:rFonts w:ascii="Times New Roman" w:eastAsia="SimSun" w:hAnsi="Times New Roman" w:cs="Times New Roman"/>
          <w:color w:val="auto"/>
          <w:kern w:val="0"/>
          <w:sz w:val="20"/>
          <w:szCs w:val="20"/>
          <w:u w:val="none"/>
          <w:lang w:eastAsia="en-US"/>
        </w:rPr>
        <w:tab/>
        <w:t>Enhancements for joint channel estimation for multiple PUSCH</w:t>
      </w:r>
      <w:r>
        <w:rPr>
          <w:rStyle w:val="af5"/>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R1-2107258</w:t>
      </w:r>
      <w:r>
        <w:rPr>
          <w:rStyle w:val="af5"/>
          <w:rFonts w:ascii="Times New Roman" w:eastAsia="SimSun" w:hAnsi="Times New Roman" w:cs="Times New Roman"/>
          <w:color w:val="auto"/>
          <w:kern w:val="0"/>
          <w:sz w:val="20"/>
          <w:szCs w:val="20"/>
          <w:u w:val="none"/>
          <w:lang w:eastAsia="en-US"/>
        </w:rPr>
        <w:tab/>
        <w:t>Consideration on Joint channel estimation for PUSCH</w:t>
      </w:r>
      <w:r>
        <w:rPr>
          <w:rStyle w:val="af5"/>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R1-2107361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R1-2107419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R1-2107524</w:t>
      </w:r>
      <w:r>
        <w:rPr>
          <w:rStyle w:val="af5"/>
          <w:rFonts w:ascii="Times New Roman" w:eastAsia="SimSun" w:hAnsi="Times New Roman" w:cs="Times New Roman"/>
          <w:color w:val="auto"/>
          <w:kern w:val="0"/>
          <w:sz w:val="20"/>
          <w:szCs w:val="20"/>
          <w:u w:val="none"/>
          <w:lang w:eastAsia="en-US"/>
        </w:rPr>
        <w:tab/>
        <w:t>Discussion on Joint channel estimation over multi-slot PUSCH</w:t>
      </w:r>
      <w:r>
        <w:rPr>
          <w:rStyle w:val="af5"/>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R1-2107550</w:t>
      </w:r>
      <w:r>
        <w:rPr>
          <w:rStyle w:val="af5"/>
          <w:rFonts w:ascii="Times New Roman" w:eastAsia="SimSun" w:hAnsi="Times New Roman" w:cs="Times New Roman"/>
          <w:color w:val="auto"/>
          <w:kern w:val="0"/>
          <w:sz w:val="20"/>
          <w:szCs w:val="20"/>
          <w:u w:val="none"/>
          <w:lang w:eastAsia="en-US"/>
        </w:rPr>
        <w:tab/>
        <w:t>Discussions on joint channel estimation for PUSCH</w:t>
      </w:r>
      <w:r>
        <w:rPr>
          <w:rStyle w:val="af5"/>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R1-2107604</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R1-2107633</w:t>
      </w:r>
      <w:r>
        <w:rPr>
          <w:rStyle w:val="af5"/>
          <w:rFonts w:ascii="Times New Roman" w:eastAsia="SimSun" w:hAnsi="Times New Roman" w:cs="Times New Roman"/>
          <w:color w:val="auto"/>
          <w:kern w:val="0"/>
          <w:sz w:val="20"/>
          <w:szCs w:val="20"/>
          <w:u w:val="none"/>
          <w:lang w:eastAsia="en-US"/>
        </w:rPr>
        <w:tab/>
        <w:t>Design Considerations for Joint channel estimation for PUSCH</w:t>
      </w:r>
      <w:r>
        <w:rPr>
          <w:rStyle w:val="af5"/>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R1-2107652</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R1-2107755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R1-2107801</w:t>
      </w:r>
      <w:r>
        <w:rPr>
          <w:rStyle w:val="af5"/>
          <w:rFonts w:ascii="Times New Roman" w:eastAsia="SimSun" w:hAnsi="Times New Roman" w:cs="Times New Roman"/>
          <w:color w:val="auto"/>
          <w:kern w:val="0"/>
          <w:sz w:val="20"/>
          <w:szCs w:val="20"/>
          <w:u w:val="none"/>
          <w:lang w:eastAsia="en-US"/>
        </w:rPr>
        <w:tab/>
        <w:t>Joint channel estimation for multiple PUSCH transmission</w:t>
      </w:r>
      <w:r>
        <w:rPr>
          <w:rStyle w:val="af5"/>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R1-2107832</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R1-2107874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R1-2107937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R1-2108159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2B60E" w14:textId="77777777" w:rsidR="008C5875" w:rsidRDefault="008C5875" w:rsidP="00186778">
      <w:pPr>
        <w:spacing w:after="0" w:line="240" w:lineRule="auto"/>
      </w:pPr>
      <w:r>
        <w:separator/>
      </w:r>
    </w:p>
  </w:endnote>
  <w:endnote w:type="continuationSeparator" w:id="0">
    <w:p w14:paraId="21DA9AE9" w14:textId="77777777" w:rsidR="008C5875" w:rsidRDefault="008C5875"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ED193" w14:textId="77777777" w:rsidR="008C5875" w:rsidRDefault="008C5875" w:rsidP="00186778">
      <w:pPr>
        <w:spacing w:after="0" w:line="240" w:lineRule="auto"/>
      </w:pPr>
      <w:r>
        <w:separator/>
      </w:r>
    </w:p>
  </w:footnote>
  <w:footnote w:type="continuationSeparator" w:id="0">
    <w:p w14:paraId="2A44F021" w14:textId="77777777" w:rsidR="008C5875" w:rsidRDefault="008C5875"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6"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7"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8"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3"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6"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6"/>
  </w:num>
  <w:num w:numId="5">
    <w:abstractNumId w:val="40"/>
  </w:num>
  <w:num w:numId="6">
    <w:abstractNumId w:val="36"/>
  </w:num>
  <w:num w:numId="7">
    <w:abstractNumId w:val="27"/>
  </w:num>
  <w:num w:numId="8">
    <w:abstractNumId w:val="70"/>
  </w:num>
  <w:num w:numId="9">
    <w:abstractNumId w:val="17"/>
  </w:num>
  <w:num w:numId="10">
    <w:abstractNumId w:val="59"/>
  </w:num>
  <w:num w:numId="11">
    <w:abstractNumId w:val="62"/>
  </w:num>
  <w:num w:numId="12">
    <w:abstractNumId w:val="68"/>
  </w:num>
  <w:num w:numId="13">
    <w:abstractNumId w:val="46"/>
  </w:num>
  <w:num w:numId="14">
    <w:abstractNumId w:val="69"/>
  </w:num>
  <w:num w:numId="15">
    <w:abstractNumId w:val="48"/>
  </w:num>
  <w:num w:numId="16">
    <w:abstractNumId w:val="65"/>
  </w:num>
  <w:num w:numId="17">
    <w:abstractNumId w:val="7"/>
  </w:num>
  <w:num w:numId="18">
    <w:abstractNumId w:val="54"/>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3"/>
  </w:num>
  <w:num w:numId="26">
    <w:abstractNumId w:val="14"/>
  </w:num>
  <w:num w:numId="27">
    <w:abstractNumId w:val="57"/>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1"/>
  </w:num>
  <w:num w:numId="35">
    <w:abstractNumId w:val="56"/>
  </w:num>
  <w:num w:numId="36">
    <w:abstractNumId w:val="49"/>
  </w:num>
  <w:num w:numId="37">
    <w:abstractNumId w:val="10"/>
  </w:num>
  <w:num w:numId="38">
    <w:abstractNumId w:val="34"/>
  </w:num>
  <w:num w:numId="39">
    <w:abstractNumId w:val="11"/>
  </w:num>
  <w:num w:numId="40">
    <w:abstractNumId w:val="21"/>
  </w:num>
  <w:num w:numId="41">
    <w:abstractNumId w:val="72"/>
  </w:num>
  <w:num w:numId="42">
    <w:abstractNumId w:val="28"/>
  </w:num>
  <w:num w:numId="43">
    <w:abstractNumId w:val="12"/>
  </w:num>
  <w:num w:numId="44">
    <w:abstractNumId w:val="55"/>
  </w:num>
  <w:num w:numId="45">
    <w:abstractNumId w:val="25"/>
  </w:num>
  <w:num w:numId="46">
    <w:abstractNumId w:val="53"/>
  </w:num>
  <w:num w:numId="47">
    <w:abstractNumId w:val="24"/>
  </w:num>
  <w:num w:numId="48">
    <w:abstractNumId w:val="45"/>
  </w:num>
  <w:num w:numId="49">
    <w:abstractNumId w:val="67"/>
  </w:num>
  <w:num w:numId="50">
    <w:abstractNumId w:val="71"/>
  </w:num>
  <w:num w:numId="51">
    <w:abstractNumId w:val="58"/>
  </w:num>
  <w:num w:numId="52">
    <w:abstractNumId w:val="4"/>
  </w:num>
  <w:num w:numId="53">
    <w:abstractNumId w:val="5"/>
  </w:num>
  <w:num w:numId="54">
    <w:abstractNumId w:val="6"/>
  </w:num>
  <w:num w:numId="55">
    <w:abstractNumId w:val="26"/>
  </w:num>
  <w:num w:numId="56">
    <w:abstractNumId w:val="60"/>
  </w:num>
  <w:num w:numId="57">
    <w:abstractNumId w:val="18"/>
  </w:num>
  <w:num w:numId="58">
    <w:abstractNumId w:val="19"/>
  </w:num>
  <w:num w:numId="59">
    <w:abstractNumId w:val="64"/>
  </w:num>
  <w:num w:numId="60">
    <w:abstractNumId w:val="50"/>
  </w:num>
  <w:num w:numId="61">
    <w:abstractNumId w:val="8"/>
  </w:num>
  <w:num w:numId="62">
    <w:abstractNumId w:val="41"/>
  </w:num>
  <w:num w:numId="63">
    <w:abstractNumId w:val="35"/>
  </w:num>
  <w:num w:numId="64">
    <w:abstractNumId w:val="47"/>
  </w:num>
  <w:num w:numId="65">
    <w:abstractNumId w:val="39"/>
  </w:num>
  <w:num w:numId="66">
    <w:abstractNumId w:val="15"/>
  </w:num>
  <w:num w:numId="67">
    <w:abstractNumId w:val="42"/>
  </w:num>
  <w:num w:numId="68">
    <w:abstractNumId w:val="38"/>
  </w:num>
  <w:num w:numId="69">
    <w:abstractNumId w:val="44"/>
  </w:num>
  <w:num w:numId="70">
    <w:abstractNumId w:val="9"/>
  </w:num>
  <w:num w:numId="71">
    <w:abstractNumId w:val="22"/>
  </w:num>
  <w:num w:numId="72">
    <w:abstractNumId w:val="16"/>
  </w:num>
  <w:num w:numId="73">
    <w:abstractNumId w:val="5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E0D323-990B-49FC-B221-C7328DCD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134</Pages>
  <Words>43917</Words>
  <Characters>250327</Characters>
  <Application>Microsoft Office Word</Application>
  <DocSecurity>0</DocSecurity>
  <Lines>2086</Lines>
  <Paragraphs>587</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293657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Haruhi Echigo</cp:lastModifiedBy>
  <cp:revision>5</cp:revision>
  <cp:lastPrinted>2021-04-15T03:16:00Z</cp:lastPrinted>
  <dcterms:created xsi:type="dcterms:W3CDTF">2021-08-25T04:47:00Z</dcterms:created>
  <dcterms:modified xsi:type="dcterms:W3CDTF">2021-08-25T04:51:00Z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