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3206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51DC87E6">
          <v:shape id="_x0000_i1026" type="#_x0000_t75" alt="" style="width:291pt;height:94.2pt;mso-width-percent:0;mso-height-percent:0;mso-width-percent:0;mso-height-percent:0" o:ole="">
            <v:imagedata r:id="rId18" o:title=""/>
          </v:shape>
          <o:OLEObject Type="Embed" ProgID="Visio.Drawing.11" ShapeID="_x0000_i1026" DrawAspect="Content" ObjectID="_169133206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3206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3207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73AC3267">
          <v:shape id="_x0000_i1029" type="#_x0000_t75" alt="" style="width:291pt;height:94.2pt;mso-width-percent:0;mso-height-percent:0;mso-width-percent:0;mso-height-percent:0" o:ole="">
            <v:imagedata r:id="rId24" o:title=""/>
          </v:shape>
          <o:OLEObject Type="Embed" ProgID="Visio.Drawing.11" ShapeID="_x0000_i1029" DrawAspect="Content" ObjectID="_169133207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8D5D1E">
      <w:pPr>
        <w:tabs>
          <w:tab w:val="left" w:pos="1701"/>
        </w:tabs>
        <w:spacing w:after="120" w:line="240" w:lineRule="auto"/>
        <w:rPr>
          <w:rFonts w:ascii="Times New Roman" w:hAnsi="Times New Roman" w:cs="Times New Roman"/>
          <w:b/>
          <w:u w:val="single"/>
        </w:rPr>
      </w:pPr>
      <w:r w:rsidRPr="008D5D1E">
        <w:rPr>
          <w:rFonts w:ascii="Times New Roman" w:eastAsia="Batang" w:hAnsi="Times New Roman" w:cs="Times New Roman"/>
          <w:noProof/>
          <w:kern w:val="0"/>
          <w:sz w:val="20"/>
          <w:szCs w:val="20"/>
          <w:lang w:eastAsia="ko-KR"/>
        </w:rPr>
        <w:object w:dxaOrig="9780" w:dyaOrig="1940" w14:anchorId="34EFF948">
          <v:shape id="_x0000_i1030" type="#_x0000_t75" alt="" style="width:490.2pt;height:97.2pt;mso-width-percent:0;mso-height-percent:0;mso-width-percent:0;mso-height-percent:0" o:ole="">
            <v:imagedata r:id="rId29" o:title=""/>
          </v:shape>
          <o:OLEObject Type="Embed" ProgID="Visio.Drawing.15" ShapeID="_x0000_i1030" DrawAspect="Content" ObjectID="_1691332072"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8D5D1E">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6.8pt;height:100.2pt;mso-width-percent:0;mso-height-percent:0;mso-width-percent:0;mso-height-percent:0" o:ole="">
            <v:imagedata r:id="rId32" o:title=""/>
          </v:shape>
          <o:OLEObject Type="Embed" ProgID="Visio.Drawing.15" ShapeID="_x0000_i1031" DrawAspect="Content" ObjectID="_169133207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8D5D1E">
      <w:pPr>
        <w:tabs>
          <w:tab w:val="left" w:pos="1701"/>
        </w:tabs>
        <w:spacing w:after="120" w:line="240" w:lineRule="auto"/>
        <w:jc w:val="center"/>
      </w:pPr>
      <w:r>
        <w:rPr>
          <w:noProof/>
        </w:rPr>
        <w:object w:dxaOrig="8010" w:dyaOrig="2970" w14:anchorId="1E7B2B58">
          <v:shape id="_x0000_i1032" type="#_x0000_t75" alt="" style="width:401.4pt;height:148.8pt;mso-width-percent:0;mso-height-percent:0;mso-width-percent:0;mso-height-percent:0" o:ole="">
            <v:imagedata r:id="rId35" o:title=""/>
          </v:shape>
          <o:OLEObject Type="Embed" ProgID="Visio.Drawing.15" ShapeID="_x0000_i1032" DrawAspect="Content" ObjectID="_169133207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8D5D1E">
      <w:pPr>
        <w:jc w:val="center"/>
      </w:pPr>
      <w:r>
        <w:rPr>
          <w:noProof/>
        </w:rPr>
        <w:object w:dxaOrig="6820" w:dyaOrig="5530" w14:anchorId="42B463F7">
          <v:shape id="_x0000_i1033" type="#_x0000_t75" alt="" style="width:341.4pt;height:277.8pt;mso-width-percent:0;mso-height-percent:0;mso-width-percent:0;mso-height-percent:0" o:ole="">
            <v:imagedata r:id="rId39" o:title=""/>
          </v:shape>
          <o:OLEObject Type="Embed" ProgID="Visio.Drawing.11" ShapeID="_x0000_i1033" DrawAspect="Content" ObjectID="_1691332075" r:id="rId40"/>
        </w:object>
      </w:r>
    </w:p>
    <w:p w14:paraId="041C73DD" w14:textId="77777777" w:rsidR="002D34FC" w:rsidRDefault="008D5D1E">
      <w:pPr>
        <w:jc w:val="center"/>
      </w:pPr>
      <w:r>
        <w:rPr>
          <w:noProof/>
        </w:rPr>
        <w:object w:dxaOrig="6860" w:dyaOrig="6290" w14:anchorId="1D6BD28D">
          <v:shape id="_x0000_i1034" type="#_x0000_t75" alt="" style="width:343.2pt;height:313.8pt;mso-width-percent:0;mso-height-percent:0;mso-width-percent:0;mso-height-percent:0" o:ole="">
            <v:imagedata r:id="rId41" o:title=""/>
          </v:shape>
          <o:OLEObject Type="Embed" ProgID="Visio.Drawing.11" ShapeID="_x0000_i1034" DrawAspect="Content" ObjectID="_1691332076" r:id="rId42"/>
        </w:object>
      </w:r>
    </w:p>
    <w:p w14:paraId="52959F5B" w14:textId="77777777" w:rsidR="002D34FC" w:rsidRDefault="008D5D1E">
      <w:pPr>
        <w:jc w:val="center"/>
      </w:pPr>
      <w:r>
        <w:rPr>
          <w:noProof/>
        </w:rPr>
        <w:object w:dxaOrig="6970" w:dyaOrig="5180" w14:anchorId="4C791A34">
          <v:shape id="_x0000_i1035" type="#_x0000_t75" alt="" style="width:348.6pt;height:258pt;mso-width-percent:0;mso-height-percent:0;mso-width-percent:0;mso-height-percent:0" o:ole="">
            <v:imagedata r:id="rId43" o:title=""/>
          </v:shape>
          <o:OLEObject Type="Embed" ProgID="Visio.Drawing.11" ShapeID="_x0000_i1035" DrawAspect="Content" ObjectID="_1691332077"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8D5D1E">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3207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w:t>
            </w:r>
            <w:proofErr w:type="gramStart"/>
            <w:r w:rsidRPr="00826234">
              <w:rPr>
                <w:rFonts w:ascii="Times New Roman" w:hAnsi="Times New Roman" w:cs="Times New Roman"/>
                <w:bCs/>
                <w:lang w:val="en-GB"/>
              </w:rPr>
              <w:t>The</w:t>
            </w:r>
            <w:proofErr w:type="gramEnd"/>
            <w:r w:rsidRPr="00826234">
              <w:rPr>
                <w:rFonts w:ascii="Times New Roman" w:hAnsi="Times New Roman" w:cs="Times New Roman"/>
                <w:bCs/>
                <w:lang w:val="en-GB"/>
              </w:rPr>
              <w:t xml:space="preserv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w:t>
            </w:r>
            <w:proofErr w:type="gramStart"/>
            <w:r w:rsidRPr="00826234">
              <w:rPr>
                <w:rFonts w:ascii="Times New Roman" w:hAnsi="Times New Roman" w:cs="Times New Roman"/>
              </w:rPr>
              <w:t>For</w:t>
            </w:r>
            <w:proofErr w:type="gramEnd"/>
            <w:r w:rsidRPr="00826234">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proofErr w:type="gramStart"/>
            <w:r w:rsidRPr="00826234">
              <w:rPr>
                <w:rFonts w:ascii="Times New Roman" w:eastAsia="Batang" w:hAnsi="Times New Roman" w:cs="Times New Roman"/>
                <w:kern w:val="0"/>
                <w:szCs w:val="21"/>
                <w:lang w:val="en-GB"/>
              </w:rPr>
              <w:t>one or multiple time</w:t>
            </w:r>
            <w:proofErr w:type="gramEnd"/>
            <w:r w:rsidRPr="00826234">
              <w:rPr>
                <w:rFonts w:ascii="Times New Roman" w:eastAsia="Batang" w:hAnsi="Times New Roman" w:cs="Times New Roman"/>
                <w:kern w:val="0"/>
                <w:szCs w:val="21"/>
                <w:lang w:val="en-GB"/>
              </w:rPr>
              <w:t xml:space="preserv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w:t>
            </w:r>
            <w:proofErr w:type="gramStart"/>
            <w:r w:rsidRPr="00826234">
              <w:rPr>
                <w:rFonts w:ascii="Times New Roman" w:hAnsi="Times New Roman" w:cs="Times New Roman"/>
                <w:bCs/>
                <w:lang w:val="en-GB"/>
              </w:rPr>
              <w:t>For</w:t>
            </w:r>
            <w:proofErr w:type="gramEnd"/>
            <w:r w:rsidRPr="00826234">
              <w:rPr>
                <w:rFonts w:ascii="Times New Roman" w:hAnsi="Times New Roman" w:cs="Times New Roman"/>
                <w:bCs/>
                <w:lang w:val="en-GB"/>
              </w:rPr>
              <w:t xml:space="preserve">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w:t>
            </w:r>
            <w:proofErr w:type="gramStart"/>
            <w:r w:rsidRPr="00826234">
              <w:rPr>
                <w:rFonts w:ascii="Times New Roman" w:hAnsi="Times New Roman" w:cs="Times New Roman"/>
                <w:bCs/>
                <w:lang w:val="en-GB"/>
              </w:rPr>
              <w:t>companies</w:t>
            </w:r>
            <w:proofErr w:type="gramEnd"/>
            <w:r w:rsidRPr="00826234">
              <w:rPr>
                <w:rFonts w:ascii="Times New Roman" w:hAnsi="Times New Roman" w:cs="Times New Roman"/>
                <w:bCs/>
                <w:lang w:val="en-GB"/>
              </w:rPr>
              <w:t xml:space="preserve">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xml:space="preserve">, </w:t>
            </w:r>
            <w:proofErr w:type="gramStart"/>
            <w:r w:rsidRPr="00826234">
              <w:rPr>
                <w:rFonts w:ascii="Times New Roman" w:hAnsi="Times New Roman" w:cs="Times New Roman"/>
                <w:bCs/>
              </w:rPr>
              <w:t>Please</w:t>
            </w:r>
            <w:proofErr w:type="gramEnd"/>
            <w:r w:rsidRPr="00826234">
              <w:rPr>
                <w:rFonts w:ascii="Times New Roman" w:hAnsi="Times New Roman" w:cs="Times New Roman"/>
                <w:bCs/>
              </w:rPr>
              <w:t xml:space="preserv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29" w:dyaOrig="5956" w14:anchorId="4718D6C9">
                <v:shape id="_x0000_i1037" type="#_x0000_t75" alt="" style="width:342.6pt;height:295.2pt;mso-width-percent:0;mso-height-percent:0;mso-width-percent:0;mso-height-percent:0" o:ole="">
                  <v:imagedata r:id="rId48" o:title=""/>
                </v:shape>
                <o:OLEObject Type="Embed" ProgID="Visio.Drawing.11" ShapeID="_x0000_i1037" DrawAspect="Content" ObjectID="_1691332079" r:id="rId49"/>
              </w:object>
            </w:r>
          </w:p>
          <w:p w14:paraId="47F49743"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43" w:dyaOrig="6682" w14:anchorId="1EF4C625">
                <v:shape id="_x0000_i1038" type="#_x0000_t75" alt="" style="width:342.6pt;height:334.2pt;mso-width-percent:0;mso-height-percent:0;mso-width-percent:0;mso-height-percent:0" o:ole="">
                  <v:imagedata r:id="rId50" o:title=""/>
                </v:shape>
                <o:OLEObject Type="Embed" ProgID="Visio.Drawing.11" ShapeID="_x0000_i1038" DrawAspect="Content" ObjectID="_1691332080" r:id="rId51"/>
              </w:object>
            </w:r>
          </w:p>
          <w:p w14:paraId="008ACD9A" w14:textId="0D5BBB96" w:rsidR="00C90A5A" w:rsidRPr="00953D9A" w:rsidRDefault="008D5D1E"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87" w:dyaOrig="5615" w14:anchorId="2F624D36">
                <v:shape id="_x0000_i1039" type="#_x0000_t75" alt="" style="width:348.6pt;height:280.8pt;mso-width-percent:0;mso-height-percent:0;mso-width-percent:0;mso-height-percent:0" o:ole="">
                  <v:imagedata r:id="rId52" o:title=""/>
                </v:shape>
                <o:OLEObject Type="Embed" ProgID="Visio.Drawing.11" ShapeID="_x0000_i1039" DrawAspect="Content" ObjectID="_169133208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w:t>
            </w:r>
            <w:proofErr w:type="gramStart"/>
            <w:r w:rsidRPr="00E67D79">
              <w:rPr>
                <w:color w:val="00B050"/>
                <w:sz w:val="21"/>
                <w:szCs w:val="21"/>
              </w:rPr>
              <w:t xml:space="preserve">of </w:t>
            </w:r>
            <w:r w:rsidRPr="00E67D79">
              <w:rPr>
                <w:strike/>
                <w:color w:val="00B050"/>
                <w:sz w:val="21"/>
                <w:szCs w:val="21"/>
              </w:rPr>
              <w:t xml:space="preserve"> during</w:t>
            </w:r>
            <w:proofErr w:type="gramEnd"/>
            <w:r w:rsidRPr="00E67D79">
              <w:rPr>
                <w:strike/>
                <w:color w:val="00B050"/>
                <w:sz w:val="21"/>
                <w:szCs w:val="21"/>
              </w:rPr>
              <w:t xml:space="preserve">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29" w:dyaOrig="5956" w14:anchorId="598B0639">
          <v:shape id="_x0000_i1040" type="#_x0000_t75" alt="" style="width:342.6pt;height:295.2pt;mso-width-percent:0;mso-height-percent:0;mso-width-percent:0;mso-height-percent:0" o:ole="">
            <v:imagedata r:id="rId48" o:title=""/>
          </v:shape>
          <o:OLEObject Type="Embed" ProgID="Visio.Drawing.11" ShapeID="_x0000_i1040" DrawAspect="Content" ObjectID="_1691332082" r:id="rId54"/>
        </w:object>
      </w:r>
    </w:p>
    <w:p w14:paraId="13B8540C"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43" w:dyaOrig="6682" w14:anchorId="457AB17E">
          <v:shape id="_x0000_i1041" type="#_x0000_t75" alt="" style="width:342.6pt;height:334.2pt;mso-width-percent:0;mso-height-percent:0;mso-width-percent:0;mso-height-percent:0" o:ole="">
            <v:imagedata r:id="rId50" o:title=""/>
          </v:shape>
          <o:OLEObject Type="Embed" ProgID="Visio.Drawing.11" ShapeID="_x0000_i1041" DrawAspect="Content" ObjectID="_1691332083" r:id="rId55"/>
        </w:object>
      </w:r>
    </w:p>
    <w:p w14:paraId="217D0DA7" w14:textId="77777777" w:rsidR="00836483" w:rsidRDefault="008D5D1E" w:rsidP="00836483">
      <w:pPr>
        <w:tabs>
          <w:tab w:val="left" w:pos="1701"/>
        </w:tabs>
        <w:spacing w:after="120" w:line="240" w:lineRule="auto"/>
        <w:jc w:val="center"/>
        <w:rPr>
          <w:lang w:val="en-GB"/>
        </w:rPr>
      </w:pPr>
      <w:r>
        <w:rPr>
          <w:rFonts w:ascii="Times New Roman" w:hAnsi="Times New Roman" w:cs="Times New Roman"/>
          <w:bCs/>
          <w:noProof/>
        </w:rPr>
        <w:object w:dxaOrig="6987" w:dyaOrig="5615" w14:anchorId="0EF8011F">
          <v:shape id="_x0000_i1042" type="#_x0000_t75" alt="" style="width:348.6pt;height:280.8pt;mso-width-percent:0;mso-height-percent:0;mso-width-percent:0;mso-height-percent:0" o:ole="">
            <v:imagedata r:id="rId52" o:title=""/>
          </v:shape>
          <o:OLEObject Type="Embed" ProgID="Visio.Drawing.11" ShapeID="_x0000_i1042" DrawAspect="Content" ObjectID="_169133208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5F7848DC"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ins w:id="11" w:author="Fumihiro Hasegawa" w:date="2021-08-24T17:44:00Z">
              <w:r w:rsidR="001A479E">
                <w:rPr>
                  <w:rFonts w:ascii="Times New Roman" w:hAnsi="Times New Roman" w:cs="Times New Roman"/>
                  <w:bCs/>
                </w:rPr>
                <w:t xml:space="preserve">, </w:t>
              </w:r>
              <w:proofErr w:type="spellStart"/>
              <w:r w:rsidR="001A479E">
                <w:rPr>
                  <w:rFonts w:ascii="Times New Roman" w:hAnsi="Times New Roman" w:cs="Times New Roman"/>
                  <w:bCs/>
                </w:rPr>
                <w:t>InterDigital</w:t>
              </w:r>
            </w:ins>
            <w:proofErr w:type="spellEnd"/>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8F70DAB"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r w:rsidR="00C761B9">
              <w:rPr>
                <w:rFonts w:ascii="Times New Roman" w:hAnsi="Times New Roman" w:cs="Times New Roman"/>
                <w:bCs/>
                <w:lang w:val="en-GB"/>
              </w:rPr>
              <w:t>, Intel</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1BED963A"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corresponds to the final length of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UE is expected to maintain power consistency and phase continuity among PUSCH transmissions</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We support that TDW is determined in an implicit manner by violation events or deriving from another signalling/configuration. Hence, we think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sub-window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in option C</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as actual TDW should be called as just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Separately, based on current formulations of 3 Alts., we think there are 2 main discussion points that need to be addressed</w:t>
            </w:r>
          </w:p>
          <w:p w14:paraId="087B5314" w14:textId="25F7B1BC"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w:t>
            </w:r>
            <w:r w:rsidRPr="00644661">
              <w:rPr>
                <w:rFonts w:eastAsia="MS Mincho"/>
                <w:bCs/>
                <w:sz w:val="21"/>
                <w:szCs w:val="21"/>
                <w:vertAlign w:val="superscript"/>
                <w:lang w:val="en-GB" w:eastAsia="ja-JP"/>
              </w:rPr>
              <w:t>st</w:t>
            </w:r>
            <w:r w:rsidRPr="00100607">
              <w:rPr>
                <w:rFonts w:eastAsia="MS Mincho"/>
                <w:bCs/>
                <w:sz w:val="21"/>
                <w:szCs w:val="21"/>
                <w:lang w:val="en-GB" w:eastAsia="ja-JP"/>
              </w:rPr>
              <w:t xml:space="preserve"> discussion point between Alt. 2-B and Alt. 2-C/2-C</w:t>
            </w:r>
            <w:r w:rsidR="00644661">
              <w:rPr>
                <w:rFonts w:eastAsia="MS Mincho"/>
                <w:bCs/>
                <w:sz w:val="21"/>
                <w:szCs w:val="21"/>
                <w:lang w:val="en-GB" w:eastAsia="ja-JP"/>
              </w:rPr>
              <w:t>’</w:t>
            </w:r>
            <w:r w:rsidRPr="00100607">
              <w:rPr>
                <w:rFonts w:eastAsia="MS Mincho"/>
                <w:bCs/>
                <w:sz w:val="21"/>
                <w:szCs w:val="21"/>
                <w:lang w:val="en-GB" w:eastAsia="ja-JP"/>
              </w:rPr>
              <w:t xml:space="preserve"> is whether we introduce </w:t>
            </w:r>
            <w:r w:rsidR="00644661">
              <w:rPr>
                <w:rFonts w:eastAsia="MS Mincho"/>
                <w:bCs/>
                <w:sz w:val="21"/>
                <w:szCs w:val="21"/>
                <w:lang w:val="en-GB" w:eastAsia="ja-JP"/>
              </w:rPr>
              <w:t>“</w:t>
            </w:r>
            <w:r w:rsidRPr="00100607">
              <w:rPr>
                <w:rFonts w:eastAsia="MS Mincho"/>
                <w:bCs/>
                <w:sz w:val="21"/>
                <w:szCs w:val="21"/>
                <w:lang w:val="en-GB" w:eastAsia="ja-JP"/>
              </w:rPr>
              <w:t>the window length L</w:t>
            </w:r>
            <w:r w:rsidR="00644661">
              <w:rPr>
                <w:rFonts w:eastAsia="MS Mincho"/>
                <w:bCs/>
                <w:sz w:val="21"/>
                <w:szCs w:val="21"/>
                <w:lang w:val="en-GB" w:eastAsia="ja-JP"/>
              </w:rPr>
              <w:t>”</w:t>
            </w:r>
            <w:r w:rsidRPr="00100607">
              <w:rPr>
                <w:rFonts w:eastAsia="MS Mincho"/>
                <w:bCs/>
                <w:sz w:val="21"/>
                <w:szCs w:val="21"/>
                <w:lang w:val="en-GB" w:eastAsia="ja-JP"/>
              </w:rPr>
              <w:t xml:space="preserve">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w:t>
            </w:r>
            <w:r w:rsidRPr="00644661">
              <w:rPr>
                <w:rFonts w:eastAsia="MS Mincho"/>
                <w:bCs/>
                <w:sz w:val="21"/>
                <w:szCs w:val="21"/>
                <w:vertAlign w:val="superscript"/>
                <w:lang w:val="en-GB" w:eastAsia="ja-JP"/>
              </w:rPr>
              <w:t>nd</w:t>
            </w:r>
            <w:r w:rsidRPr="00100607">
              <w:rPr>
                <w:rFonts w:eastAsia="MS Mincho"/>
                <w:bCs/>
                <w:sz w:val="21"/>
                <w:szCs w:val="21"/>
                <w:lang w:val="en-GB" w:eastAsia="ja-JP"/>
              </w:rPr>
              <w:t xml:space="preserve">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56268369"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 xml:space="preserve">Whether we introduce </w:t>
            </w:r>
            <w:r w:rsidR="00644661">
              <w:rPr>
                <w:rFonts w:eastAsia="MS Mincho"/>
                <w:b/>
                <w:sz w:val="21"/>
                <w:szCs w:val="21"/>
                <w:lang w:val="en-GB" w:eastAsia="ja-JP"/>
              </w:rPr>
              <w:t>“</w:t>
            </w:r>
            <w:r w:rsidRPr="00100607">
              <w:rPr>
                <w:rFonts w:eastAsia="MS Mincho"/>
                <w:b/>
                <w:sz w:val="21"/>
                <w:szCs w:val="21"/>
                <w:lang w:val="en-GB" w:eastAsia="ja-JP"/>
              </w:rPr>
              <w:t>the window length L</w:t>
            </w:r>
            <w:r w:rsidR="00644661">
              <w:rPr>
                <w:rFonts w:eastAsia="MS Mincho"/>
                <w:b/>
                <w:sz w:val="21"/>
                <w:szCs w:val="21"/>
                <w:lang w:val="en-GB" w:eastAsia="ja-JP"/>
              </w:rPr>
              <w:t>”</w:t>
            </w:r>
            <w:r w:rsidRPr="00100607">
              <w:rPr>
                <w:rFonts w:eastAsia="MS Mincho"/>
                <w:b/>
                <w:sz w:val="21"/>
                <w:szCs w:val="21"/>
                <w:lang w:val="en-GB" w:eastAsia="ja-JP"/>
              </w:rPr>
              <w:t xml:space="preserve"> (not call it as TDW) or not</w:t>
            </w:r>
          </w:p>
          <w:p w14:paraId="3556857F" w14:textId="7487057F"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w:t>
            </w:r>
            <w:r w:rsidR="00644661">
              <w:rPr>
                <w:rFonts w:eastAsia="MS Mincho"/>
                <w:bCs/>
                <w:sz w:val="21"/>
                <w:szCs w:val="21"/>
                <w:lang w:val="en-GB" w:eastAsia="ja-JP"/>
              </w:rPr>
              <w:t>“</w:t>
            </w:r>
            <w:r w:rsidRPr="00100607">
              <w:rPr>
                <w:rFonts w:eastAsia="MS Mincho"/>
                <w:bCs/>
                <w:sz w:val="21"/>
                <w:szCs w:val="21"/>
                <w:lang w:val="en-GB" w:eastAsia="ja-JP"/>
              </w:rPr>
              <w:t>it is beneficial for the interaction with frequency hopping and precoder cycling</w:t>
            </w:r>
            <w:r w:rsidR="00644661">
              <w:rPr>
                <w:rFonts w:eastAsia="MS Mincho"/>
                <w:bCs/>
                <w:sz w:val="21"/>
                <w:szCs w:val="21"/>
                <w:lang w:val="en-GB" w:eastAsia="ja-JP"/>
              </w:rPr>
              <w:t>”</w:t>
            </w:r>
            <w:r w:rsidRPr="00100607">
              <w:rPr>
                <w:rFonts w:eastAsia="MS Mincho"/>
                <w:bCs/>
                <w:sz w:val="21"/>
                <w:szCs w:val="21"/>
                <w:lang w:val="en-GB" w:eastAsia="ja-JP"/>
              </w:rPr>
              <w:t>.</w:t>
            </w:r>
          </w:p>
          <w:p w14:paraId="6686853F" w14:textId="5B89515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w:t>
            </w:r>
            <w:r w:rsidR="00644661">
              <w:rPr>
                <w:rFonts w:eastAsia="MS Mincho"/>
                <w:bCs/>
                <w:sz w:val="21"/>
                <w:szCs w:val="21"/>
                <w:lang w:val="en-GB" w:eastAsia="ja-JP"/>
              </w:rPr>
              <w:t>“</w:t>
            </w:r>
            <w:r w:rsidRPr="00100607">
              <w:rPr>
                <w:rFonts w:eastAsia="MS Mincho"/>
                <w:bCs/>
                <w:sz w:val="21"/>
                <w:szCs w:val="21"/>
                <w:lang w:val="en-GB" w:eastAsia="ja-JP"/>
              </w:rPr>
              <w:t>it can achieve the best performance for joint channel estimation</w:t>
            </w:r>
            <w:r w:rsidR="00644661">
              <w:rPr>
                <w:rFonts w:eastAsia="MS Mincho"/>
                <w:bCs/>
                <w:sz w:val="21"/>
                <w:szCs w:val="21"/>
                <w:lang w:val="en-GB" w:eastAsia="ja-JP"/>
              </w:rPr>
              <w:t>”</w:t>
            </w:r>
            <w:r w:rsidRPr="00100607">
              <w:rPr>
                <w:rFonts w:eastAsia="MS Mincho"/>
                <w:bCs/>
                <w:sz w:val="21"/>
                <w:szCs w:val="21"/>
                <w:lang w:val="en-GB" w:eastAsia="ja-JP"/>
              </w:rPr>
              <w:t>.</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50FE1B3" w14:textId="77777777" w:rsidR="00B603C7" w:rsidRDefault="008D5D1E" w:rsidP="00B603C7">
            <w:pPr>
              <w:jc w:val="center"/>
            </w:pPr>
            <w:r>
              <w:rPr>
                <w:noProof/>
              </w:rPr>
              <w:object w:dxaOrig="5150" w:dyaOrig="6815" w14:anchorId="278FA85E">
                <v:shape id="_x0000_i1043" type="#_x0000_t75" alt="" style="width:258pt;height:339.6pt;mso-width-percent:0;mso-height-percent:0;mso-width-percent:0;mso-height-percent:0" o:ole="">
                  <v:imagedata r:id="rId57" o:title=""/>
                </v:shape>
                <o:OLEObject Type="Embed" ProgID="Visio.Drawing.11" ShapeID="_x0000_i1043" DrawAspect="Content" ObjectID="_1691332085"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xml:space="preserve">,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1EB2871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actual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sub-window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alt 2-C and alt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not 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nominal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0C3CE8D6"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FL, thanks for your reply. We fully agree that using only one term is quite complicated to describe Alt 2-C</w:t>
            </w:r>
            <w:r w:rsidR="00644661">
              <w:rPr>
                <w:rFonts w:ascii="Times New Roman" w:hAnsi="Times New Roman" w:cs="Times New Roman"/>
                <w:bCs/>
                <w:lang w:val="en-GB"/>
              </w:rPr>
              <w:t>’</w:t>
            </w:r>
            <w:r w:rsidRPr="007319C5">
              <w:rPr>
                <w:rFonts w:ascii="Times New Roman" w:hAnsi="Times New Roman" w:cs="Times New Roman"/>
                <w:bCs/>
                <w:lang w:val="en-GB"/>
              </w:rPr>
              <w:t xml:space="preserve">. That why we propose to use </w:t>
            </w:r>
            <w:r w:rsidR="00644661">
              <w:rPr>
                <w:rFonts w:ascii="Times New Roman" w:hAnsi="Times New Roman" w:cs="Times New Roman"/>
                <w:bCs/>
                <w:lang w:val="en-GB"/>
              </w:rPr>
              <w:t>“</w:t>
            </w:r>
            <w:r w:rsidRPr="007319C5">
              <w:rPr>
                <w:rFonts w:ascii="Times New Roman" w:hAnsi="Times New Roman" w:cs="Times New Roman"/>
                <w:bCs/>
                <w:lang w:val="en-GB"/>
              </w:rPr>
              <w:t>window length L</w:t>
            </w:r>
            <w:r w:rsidR="00644661">
              <w:rPr>
                <w:rFonts w:ascii="Times New Roman" w:hAnsi="Times New Roman" w:cs="Times New Roman"/>
                <w:bCs/>
                <w:lang w:val="en-GB"/>
              </w:rPr>
              <w:t>”</w:t>
            </w:r>
            <w:r w:rsidRPr="007319C5">
              <w:rPr>
                <w:rFonts w:ascii="Times New Roman" w:hAnsi="Times New Roman" w:cs="Times New Roman"/>
                <w:bCs/>
                <w:lang w:val="en-GB"/>
              </w:rPr>
              <w:t xml:space="preserve"> (or any name is fine) to replace the current usage of TDW in Alt 2-C. Then sub-window in Alt 2-C is based on the existing agreement of usage of </w:t>
            </w:r>
            <w:r w:rsidR="00644661">
              <w:rPr>
                <w:rFonts w:ascii="Times New Roman" w:hAnsi="Times New Roman" w:cs="Times New Roman"/>
                <w:bCs/>
                <w:lang w:val="en-GB"/>
              </w:rPr>
              <w:t>“</w:t>
            </w:r>
            <w:r w:rsidRPr="007319C5">
              <w:rPr>
                <w:rFonts w:ascii="Times New Roman" w:hAnsi="Times New Roman" w:cs="Times New Roman"/>
                <w:bCs/>
                <w:lang w:val="en-GB"/>
              </w:rPr>
              <w:t>TDW</w:t>
            </w:r>
            <w:r w:rsidR="00644661">
              <w:rPr>
                <w:rFonts w:ascii="Times New Roman" w:hAnsi="Times New Roman" w:cs="Times New Roman"/>
                <w:bCs/>
                <w:lang w:val="en-GB"/>
              </w:rPr>
              <w:t>”</w:t>
            </w:r>
            <w:r w:rsidRPr="007319C5">
              <w:rPr>
                <w:rFonts w:ascii="Times New Roman" w:hAnsi="Times New Roman" w:cs="Times New Roman"/>
                <w:bCs/>
                <w:lang w:val="en-GB"/>
              </w:rPr>
              <w:t xml:space="preserve">. That can avoid a complicated description by just changing the terminology. </w:t>
            </w:r>
          </w:p>
          <w:p w14:paraId="59D91B2E" w14:textId="6C02C96B"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 xml:space="preserve">@Qualcomm, we agree </w:t>
            </w:r>
            <w:r w:rsidR="00644661">
              <w:rPr>
                <w:rFonts w:ascii="Times New Roman" w:hAnsi="Times New Roman" w:cs="Times New Roman"/>
                <w:bCs/>
                <w:lang w:val="en-GB"/>
              </w:rPr>
              <w:t>“</w:t>
            </w:r>
            <w:r w:rsidRPr="007319C5">
              <w:rPr>
                <w:rFonts w:ascii="Times New Roman" w:hAnsi="Times New Roman" w:cs="Times New Roman"/>
                <w:bCs/>
                <w:lang w:val="en-GB"/>
              </w:rPr>
              <w:t>UE may not be in a position to dynamically react to events/violations and immediately start a new TDW</w:t>
            </w:r>
            <w:r w:rsidR="00644661">
              <w:rPr>
                <w:rFonts w:ascii="Times New Roman" w:hAnsi="Times New Roman" w:cs="Times New Roman"/>
                <w:bCs/>
                <w:lang w:val="en-GB"/>
              </w:rPr>
              <w:t>”</w:t>
            </w:r>
            <w:r w:rsidRPr="007319C5">
              <w:rPr>
                <w:rFonts w:ascii="Times New Roman" w:hAnsi="Times New Roman" w:cs="Times New Roman"/>
                <w:bCs/>
                <w:lang w:val="en-GB"/>
              </w:rPr>
              <w:t>. That</w:t>
            </w:r>
            <w:r w:rsidR="00644661">
              <w:rPr>
                <w:rFonts w:ascii="Times New Roman" w:hAnsi="Times New Roman" w:cs="Times New Roman"/>
                <w:bCs/>
                <w:lang w:val="en-GB"/>
              </w:rPr>
              <w:t>’</w:t>
            </w:r>
            <w:r w:rsidRPr="007319C5">
              <w:rPr>
                <w:rFonts w:ascii="Times New Roman" w:hAnsi="Times New Roman" w:cs="Times New Roman"/>
                <w:bCs/>
                <w:lang w:val="en-GB"/>
              </w:rPr>
              <w: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24A9C74D"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t>
            </w:r>
            <w:r w:rsidR="00644661">
              <w:rPr>
                <w:rFonts w:ascii="Times New Roman" w:hAnsi="Times New Roman" w:cs="Times New Roman"/>
                <w:kern w:val="0"/>
                <w:szCs w:val="21"/>
              </w:rPr>
              <w:t>“</w:t>
            </w:r>
            <w:r w:rsidRPr="002049C2">
              <w:rPr>
                <w:rFonts w:ascii="Times New Roman" w:hAnsi="Times New Roman" w:cs="Times New Roman"/>
                <w:kern w:val="0"/>
                <w:szCs w:val="21"/>
              </w:rPr>
              <w:t>window length L</w:t>
            </w:r>
            <w:r w:rsidR="00644661">
              <w:rPr>
                <w:rFonts w:ascii="Times New Roman" w:hAnsi="Times New Roman" w:cs="Times New Roman"/>
                <w:kern w:val="0"/>
                <w:szCs w:val="21"/>
              </w:rPr>
              <w:t>”</w:t>
            </w:r>
            <w:r w:rsidRPr="002049C2">
              <w:rPr>
                <w:rFonts w:ascii="Times New Roman" w:hAnsi="Times New Roman" w:cs="Times New Roman"/>
                <w:kern w:val="0"/>
                <w:szCs w:val="21"/>
              </w:rPr>
              <w:t xml:space="preserve">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087AB0C5"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 xml:space="preserve">propose </w:t>
            </w:r>
            <w:r w:rsidR="00644661">
              <w:rPr>
                <w:rFonts w:ascii="Times New Roman" w:hAnsi="Times New Roman" w:cs="Times New Roman"/>
                <w:bCs/>
                <w:lang w:val="en-GB"/>
              </w:rPr>
              <w:t>“</w:t>
            </w:r>
            <w:r w:rsidRPr="000F7651">
              <w:rPr>
                <w:rFonts w:ascii="Times New Roman" w:hAnsi="Times New Roman" w:cs="Times New Roman"/>
                <w:bCs/>
                <w:lang w:val="en-GB"/>
              </w:rPr>
              <w:t>window length L</w:t>
            </w:r>
            <w:r w:rsidR="00644661">
              <w:rPr>
                <w:rFonts w:ascii="Times New Roman" w:hAnsi="Times New Roman" w:cs="Times New Roman"/>
                <w:bCs/>
                <w:lang w:val="en-GB"/>
              </w:rPr>
              <w:t>”</w:t>
            </w:r>
            <w:r w:rsidRPr="000F7651">
              <w:rPr>
                <w:rFonts w:ascii="Times New Roman" w:hAnsi="Times New Roman" w:cs="Times New Roman"/>
                <w:bCs/>
                <w:lang w:val="en-GB"/>
              </w:rPr>
              <w:t xml:space="preserve">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sidR="00644661">
              <w:rPr>
                <w:rFonts w:ascii="Times New Roman" w:hAnsi="Times New Roman" w:cs="Times New Roman"/>
                <w:bCs/>
                <w:lang w:val="en-GB"/>
              </w:rPr>
              <w:t>“</w:t>
            </w:r>
            <w:r>
              <w:t xml:space="preserve"> </w:t>
            </w:r>
            <w:r w:rsidRPr="000F7651">
              <w:rPr>
                <w:rFonts w:ascii="Times New Roman" w:hAnsi="Times New Roman" w:cs="Times New Roman"/>
                <w:bCs/>
                <w:lang w:val="en-GB"/>
              </w:rPr>
              <w:t xml:space="preserve">Note 1: The term “time domain window” may need to be revised </w:t>
            </w:r>
            <w:proofErr w:type="gramStart"/>
            <w:r w:rsidRPr="000F7651">
              <w:rPr>
                <w:rFonts w:ascii="Times New Roman" w:hAnsi="Times New Roman" w:cs="Times New Roman"/>
                <w:bCs/>
                <w:lang w:val="en-GB"/>
              </w:rPr>
              <w:t>taking into account</w:t>
            </w:r>
            <w:proofErr w:type="gramEnd"/>
            <w:r w:rsidRPr="000F7651">
              <w:rPr>
                <w:rFonts w:ascii="Times New Roman" w:hAnsi="Times New Roman" w:cs="Times New Roman"/>
                <w:bCs/>
                <w:lang w:val="en-GB"/>
              </w:rPr>
              <w:t xml:space="preserve"> that power consistency and phase continuity may be violated due to certain events</w:t>
            </w:r>
            <w:r w:rsidR="00644661">
              <w:rPr>
                <w:rFonts w:ascii="Times New Roman" w:hAnsi="Times New Roman" w:cs="Times New Roman"/>
                <w:bCs/>
                <w:lang w:val="en-GB"/>
              </w:rPr>
              <w:t>”</w:t>
            </w:r>
            <w:r>
              <w:rPr>
                <w:rFonts w:ascii="Times New Roman" w:hAnsi="Times New Roman" w:cs="Times New Roman"/>
                <w:bCs/>
                <w:lang w:val="en-GB"/>
              </w:rPr>
              <w:t>, we think it helps to the progress of 3gpp as TU is limited.</w:t>
            </w:r>
          </w:p>
          <w:p w14:paraId="6C44E60B" w14:textId="1AA9CDD6"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not so suitable</w:t>
            </w:r>
            <w:r w:rsidR="00FF1F98">
              <w:rPr>
                <w:rFonts w:ascii="Times New Roman" w:eastAsia="MS Mincho" w:hAnsi="Times New Roman" w:cs="Times New Roman"/>
                <w:bCs/>
                <w:lang w:val="en-GB" w:eastAsia="ja-JP"/>
              </w:rPr>
              <w:t xml:space="preserve">. We can use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8D5D1E" w:rsidP="00AE4AAE">
            <w:pPr>
              <w:spacing w:after="0"/>
              <w:rPr>
                <w:rFonts w:ascii="Times New Roman" w:eastAsia="Malgun Gothic" w:hAnsi="Times New Roman" w:cs="Times New Roman"/>
                <w:bCs/>
                <w:lang w:val="en-GB" w:eastAsia="ko-KR"/>
              </w:rPr>
            </w:pPr>
            <w:r>
              <w:rPr>
                <w:noProof/>
              </w:rPr>
              <w:object w:dxaOrig="5150" w:dyaOrig="6815" w14:anchorId="47BBA2C3">
                <v:shape id="_x0000_i1044" type="#_x0000_t75" alt="" style="width:258pt;height:340.8pt;mso-width-percent:0;mso-height-percent:0;mso-width-percent:0;mso-height-percent:0" o:ole="">
                  <v:imagedata r:id="rId57" o:title=""/>
                </v:shape>
                <o:OLEObject Type="Embed" ProgID="Visio.Drawing.11" ShapeID="_x0000_i1044" DrawAspect="Content" ObjectID="_1691332086"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 xml:space="preserve">It seems that your common observation is that Alt 2-B is a special case of Alt 2-C’ when L = “maximum duration”. This is </w:t>
            </w:r>
            <w:proofErr w:type="gramStart"/>
            <w:r w:rsidRPr="0093109B">
              <w:rPr>
                <w:bCs/>
                <w:lang w:val="en-GB"/>
              </w:rPr>
              <w:t>actually not</w:t>
            </w:r>
            <w:proofErr w:type="gramEnd"/>
            <w:r w:rsidRPr="0093109B">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 xml:space="preserve">can be fine with it </w:t>
            </w:r>
            <w:proofErr w:type="gramStart"/>
            <w:r w:rsidRPr="00616C7D">
              <w:rPr>
                <w:rFonts w:ascii="Times New Roman" w:eastAsia="Batang" w:hAnsi="Times New Roman" w:cs="Times New Roman"/>
                <w:kern w:val="0"/>
                <w:szCs w:val="21"/>
                <w:lang w:val="en-GB"/>
              </w:rPr>
              <w:t>too</w:t>
            </w:r>
            <w:r>
              <w:rPr>
                <w:rFonts w:ascii="Times New Roman" w:eastAsia="Batang" w:hAnsi="Times New Roman" w:cs="Times New Roman"/>
                <w:kern w:val="0"/>
                <w:szCs w:val="21"/>
                <w:lang w:val="en-GB"/>
              </w:rPr>
              <w:t>, if</w:t>
            </w:r>
            <w:proofErr w:type="gramEnd"/>
            <w:r>
              <w:rPr>
                <w:rFonts w:ascii="Times New Roman" w:eastAsia="Batang" w:hAnsi="Times New Roman" w:cs="Times New Roman"/>
                <w:kern w:val="0"/>
                <w:szCs w:val="21"/>
                <w:lang w:val="en-GB"/>
              </w:rPr>
              <w:t xml:space="preserve">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5D6465F9" w:rsidR="000B5A9C" w:rsidRDefault="00644661" w:rsidP="000B5A9C">
            <w:pPr>
              <w:jc w:val="center"/>
              <w:rPr>
                <w:rFonts w:ascii="Times New Roman" w:hAnsi="Times New Roman" w:cs="Times New Roman"/>
                <w:bCs/>
                <w:lang w:val="en-GB"/>
              </w:rPr>
            </w:pPr>
            <w:r>
              <w:rPr>
                <w:rFonts w:ascii="Times New Roman" w:hAnsi="Times New Roman" w:cs="Times New Roman"/>
                <w:bCs/>
                <w:lang w:val="en-GB"/>
              </w:rPr>
              <w:lastRenderedPageBreak/>
              <w:t>V</w:t>
            </w:r>
            <w:r w:rsidR="000B5A9C">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770C4A" w:rsidP="000B5A9C">
            <w:pPr>
              <w:widowControl/>
              <w:spacing w:after="0" w:line="240" w:lineRule="auto"/>
              <w:jc w:val="left"/>
              <w:rPr>
                <w:rFonts w:ascii="Times New Roman" w:eastAsia="Batang" w:hAnsi="Times New Roman" w:cs="Times New Roman"/>
                <w:kern w:val="0"/>
                <w:szCs w:val="21"/>
                <w:lang w:val="en-GB"/>
              </w:rPr>
            </w:pPr>
            <w:r>
              <w:rPr>
                <w:noProof/>
              </w:rPr>
              <w:pict w14:anchorId="2A45ADC5">
                <v:shape id="_x0000_i1045" type="#_x0000_t75" alt="" style="width:313.2pt;height:88.2pt;mso-width-percent:0;mso-height-percent:0;mso-width-percent:0;mso-height-percent:0">
                  <v:imagedata r:id="rId60" o:title=""/>
                </v:shape>
              </w:pict>
            </w:r>
            <w:r w:rsidR="000B5A9C">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in above figure, it is feasible to ensure phase continuity within the last 3 UL slots in first TDW for JCE, while it is forbidden by Alt 2-C,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r w:rsidR="00644661" w:rsidRPr="006A5FB2" w14:paraId="1BD747AA" w14:textId="77777777" w:rsidTr="00A6352D">
        <w:trPr>
          <w:trHeight w:val="409"/>
          <w:jc w:val="center"/>
        </w:trPr>
        <w:tc>
          <w:tcPr>
            <w:tcW w:w="1733" w:type="dxa"/>
            <w:shd w:val="clear" w:color="auto" w:fill="auto"/>
            <w:vAlign w:val="center"/>
          </w:tcPr>
          <w:p w14:paraId="553A0ACA" w14:textId="45F80BF9" w:rsidR="00644661" w:rsidRDefault="00644661" w:rsidP="000B5A9C">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4EC238E" w14:textId="487F90FF" w:rsidR="00644661" w:rsidRDefault="00644661"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60EA6DBD" w14:textId="77777777" w:rsidR="00254BAA" w:rsidRDefault="00254BAA" w:rsidP="000B5A9C">
            <w:pPr>
              <w:widowControl/>
              <w:spacing w:after="0" w:line="240" w:lineRule="auto"/>
              <w:jc w:val="left"/>
              <w:rPr>
                <w:rFonts w:ascii="Times New Roman" w:hAnsi="Times New Roman" w:cs="Times New Roman"/>
                <w:kern w:val="0"/>
                <w:szCs w:val="21"/>
              </w:rPr>
            </w:pPr>
          </w:p>
          <w:p w14:paraId="2EBCCB7D" w14:textId="50E272FA" w:rsidR="00644661" w:rsidRDefault="00254BAA"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BF639C" w:rsidRPr="006A5FB2" w14:paraId="615B4FCC" w14:textId="77777777" w:rsidTr="00A6352D">
        <w:trPr>
          <w:trHeight w:val="409"/>
          <w:jc w:val="center"/>
        </w:trPr>
        <w:tc>
          <w:tcPr>
            <w:tcW w:w="1733" w:type="dxa"/>
            <w:shd w:val="clear" w:color="auto" w:fill="auto"/>
            <w:vAlign w:val="center"/>
          </w:tcPr>
          <w:p w14:paraId="7A68EFB8" w14:textId="70D9FEB1" w:rsidR="00BF639C" w:rsidRDefault="00BF639C" w:rsidP="000B5A9C">
            <w:pPr>
              <w:jc w:val="center"/>
              <w:rPr>
                <w:rFonts w:ascii="Times New Roman" w:hAnsi="Times New Roman" w:cs="Times New Roman"/>
                <w:bCs/>
                <w:lang w:val="en-GB"/>
              </w:rPr>
            </w:pPr>
            <w:proofErr w:type="spellStart"/>
            <w:r w:rsidRPr="00BF639C">
              <w:rPr>
                <w:rFonts w:ascii="Times New Roman" w:hAnsi="Times New Roman" w:cs="Times New Roman"/>
                <w:bCs/>
                <w:lang w:val="en-GB"/>
              </w:rPr>
              <w:t>InterDigital</w:t>
            </w:r>
            <w:proofErr w:type="spellEnd"/>
          </w:p>
        </w:tc>
        <w:tc>
          <w:tcPr>
            <w:tcW w:w="7744" w:type="dxa"/>
            <w:shd w:val="clear" w:color="auto" w:fill="auto"/>
            <w:vAlign w:val="center"/>
          </w:tcPr>
          <w:p w14:paraId="26C1515E" w14:textId="301697A9" w:rsidR="00BF639C" w:rsidRDefault="00B03393"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t>
            </w:r>
            <w:r w:rsidR="00BF639C">
              <w:rPr>
                <w:rFonts w:ascii="Times New Roman" w:hAnsi="Times New Roman" w:cs="Times New Roman"/>
                <w:kern w:val="0"/>
                <w:szCs w:val="21"/>
              </w:rPr>
              <w:t xml:space="preserve">We prefer Alt. 2-C. The behavior that the UE stops DMRS bundling after the event simplifies the procedure. </w:t>
            </w:r>
            <w:r w:rsidR="006B3F9B">
              <w:rPr>
                <w:rFonts w:ascii="Times New Roman" w:hAnsi="Times New Roman" w:cs="Times New Roman"/>
                <w:kern w:val="0"/>
                <w:szCs w:val="21"/>
              </w:rPr>
              <w:t xml:space="preserve">We also understand the benefits that can be gained from Alt. 2-B and Alt. 2-C’. One concern we have is </w:t>
            </w:r>
            <w:r w:rsidR="00E55AC6">
              <w:rPr>
                <w:rFonts w:ascii="Times New Roman" w:hAnsi="Times New Roman" w:cs="Times New Roman"/>
                <w:kern w:val="0"/>
                <w:szCs w:val="21"/>
              </w:rPr>
              <w:t>that</w:t>
            </w:r>
            <w:r w:rsidR="006B3F9B">
              <w:rPr>
                <w:rFonts w:ascii="Times New Roman" w:hAnsi="Times New Roman" w:cs="Times New Roman"/>
                <w:kern w:val="0"/>
                <w:szCs w:val="21"/>
              </w:rPr>
              <w:t xml:space="preserve"> f</w:t>
            </w:r>
            <w:r w:rsidR="000267C5">
              <w:rPr>
                <w:rFonts w:ascii="Times New Roman" w:hAnsi="Times New Roman" w:cs="Times New Roman"/>
                <w:kern w:val="0"/>
                <w:szCs w:val="21"/>
              </w:rPr>
              <w:t>or Alt. 2-B and 2-C’, for a sake of simplicity, one event is assumed</w:t>
            </w:r>
            <w:r w:rsidR="006B3F9B">
              <w:rPr>
                <w:rFonts w:ascii="Times New Roman" w:hAnsi="Times New Roman" w:cs="Times New Roman"/>
                <w:kern w:val="0"/>
                <w:szCs w:val="21"/>
              </w:rPr>
              <w:t xml:space="preserve"> during the TDW</w:t>
            </w:r>
            <w:r w:rsidR="000267C5">
              <w:rPr>
                <w:rFonts w:ascii="Times New Roman" w:hAnsi="Times New Roman" w:cs="Times New Roman"/>
                <w:kern w:val="0"/>
                <w:szCs w:val="21"/>
              </w:rPr>
              <w:t xml:space="preserve"> </w:t>
            </w:r>
            <w:r>
              <w:rPr>
                <w:rFonts w:ascii="Times New Roman" w:hAnsi="Times New Roman" w:cs="Times New Roman"/>
                <w:kern w:val="0"/>
                <w:szCs w:val="21"/>
              </w:rPr>
              <w:t>in the examples</w:t>
            </w:r>
            <w:r w:rsidR="000267C5">
              <w:rPr>
                <w:rFonts w:ascii="Times New Roman" w:hAnsi="Times New Roman" w:cs="Times New Roman"/>
                <w:kern w:val="0"/>
                <w:szCs w:val="21"/>
              </w:rPr>
              <w:t>. However, what happens if two or three events occur at different occasions during one time</w:t>
            </w:r>
            <w:r w:rsidR="006B3F9B">
              <w:rPr>
                <w:rFonts w:ascii="Times New Roman" w:hAnsi="Times New Roman" w:cs="Times New Roman"/>
                <w:kern w:val="0"/>
                <w:szCs w:val="21"/>
              </w:rPr>
              <w:t>d</w:t>
            </w:r>
            <w:r w:rsidR="000267C5">
              <w:rPr>
                <w:rFonts w:ascii="Times New Roman" w:hAnsi="Times New Roman" w:cs="Times New Roman"/>
                <w:kern w:val="0"/>
                <w:szCs w:val="21"/>
              </w:rPr>
              <w:t xml:space="preserve"> window? This may </w:t>
            </w:r>
            <w:r>
              <w:rPr>
                <w:rFonts w:ascii="Times New Roman" w:hAnsi="Times New Roman" w:cs="Times New Roman"/>
                <w:kern w:val="0"/>
                <w:szCs w:val="21"/>
              </w:rPr>
              <w:t>lead to</w:t>
            </w:r>
            <w:r w:rsidR="000267C5">
              <w:rPr>
                <w:rFonts w:ascii="Times New Roman" w:hAnsi="Times New Roman" w:cs="Times New Roman"/>
                <w:kern w:val="0"/>
                <w:szCs w:val="21"/>
              </w:rPr>
              <w:t xml:space="preserve"> very choppy joint channel estimation.</w:t>
            </w:r>
          </w:p>
        </w:tc>
      </w:tr>
      <w:tr w:rsidR="00770C4A" w:rsidRPr="006A5FB2" w14:paraId="6B801535" w14:textId="77777777" w:rsidTr="0049492C">
        <w:trPr>
          <w:trHeight w:val="409"/>
          <w:jc w:val="center"/>
        </w:trPr>
        <w:tc>
          <w:tcPr>
            <w:tcW w:w="1733" w:type="dxa"/>
            <w:shd w:val="clear" w:color="auto" w:fill="auto"/>
            <w:vAlign w:val="center"/>
          </w:tcPr>
          <w:p w14:paraId="3BF0B574" w14:textId="77777777" w:rsidR="00770C4A" w:rsidRDefault="00770C4A" w:rsidP="0049492C">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C6DFD48" w14:textId="77777777" w:rsidR="00770C4A" w:rsidRDefault="00770C4A" w:rsidP="0049492C">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429A7A57" w14:textId="77777777" w:rsidR="00770C4A" w:rsidRDefault="00770C4A" w:rsidP="0049492C">
            <w:pPr>
              <w:widowControl/>
              <w:spacing w:after="0" w:line="240" w:lineRule="auto"/>
              <w:jc w:val="left"/>
              <w:rPr>
                <w:rFonts w:ascii="Times New Roman" w:eastAsia="MS Mincho" w:hAnsi="Times New Roman" w:cs="Times New Roman"/>
                <w:kern w:val="0"/>
                <w:szCs w:val="21"/>
                <w:lang w:eastAsia="ja-JP"/>
              </w:rPr>
            </w:pPr>
          </w:p>
          <w:p w14:paraId="3B542483" w14:textId="77777777" w:rsidR="00770C4A" w:rsidRPr="0049492C" w:rsidRDefault="00770C4A" w:rsidP="0049492C">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26098551" w14:textId="77777777" w:rsidR="00770C4A" w:rsidRPr="0049492C" w:rsidRDefault="00770C4A" w:rsidP="0049492C">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64C3217" w14:textId="77777777" w:rsidR="00770C4A" w:rsidRPr="0049492C" w:rsidRDefault="00770C4A" w:rsidP="0049492C">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42A8900" w14:textId="77777777" w:rsidR="00770C4A" w:rsidRDefault="00770C4A" w:rsidP="0049492C">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2ED6AD60" w14:textId="77777777" w:rsidR="00770C4A" w:rsidRDefault="00770C4A" w:rsidP="0049492C">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CC616AF" w14:textId="77777777" w:rsidR="00770C4A" w:rsidRDefault="00770C4A" w:rsidP="0049492C">
            <w:pPr>
              <w:pStyle w:val="ListBullet"/>
              <w:numPr>
                <w:ilvl w:val="0"/>
                <w:numId w:val="0"/>
              </w:numPr>
              <w:ind w:left="360" w:hanging="360"/>
              <w:rPr>
                <w:rFonts w:ascii="Times New Roman" w:eastAsia="MS Mincho" w:hAnsi="Times New Roman" w:cs="Times New Roman"/>
                <w:kern w:val="0"/>
                <w:szCs w:val="21"/>
                <w:lang w:eastAsia="ja-JP"/>
              </w:rPr>
            </w:pPr>
          </w:p>
          <w:p w14:paraId="56613D78" w14:textId="77777777" w:rsidR="00770C4A" w:rsidRDefault="00770C4A" w:rsidP="0049492C">
            <w:pPr>
              <w:pStyle w:val="ListBullet"/>
              <w:numPr>
                <w:ilvl w:val="0"/>
                <w:numId w:val="0"/>
              </w:numPr>
              <w:ind w:left="360" w:hanging="360"/>
              <w:rPr>
                <w:rFonts w:ascii="Times New Roman" w:eastAsia="MS Mincho" w:hAnsi="Times New Roman" w:cs="Times New Roman" w:hint="eastAsia"/>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770C4A" w:rsidRPr="006A5FB2" w14:paraId="6A0E2C1B" w14:textId="77777777" w:rsidTr="00A6352D">
        <w:trPr>
          <w:trHeight w:val="409"/>
          <w:jc w:val="center"/>
        </w:trPr>
        <w:tc>
          <w:tcPr>
            <w:tcW w:w="1733" w:type="dxa"/>
            <w:shd w:val="clear" w:color="auto" w:fill="auto"/>
            <w:vAlign w:val="center"/>
          </w:tcPr>
          <w:p w14:paraId="1483E06F" w14:textId="77777777" w:rsidR="00770C4A" w:rsidRPr="00BF639C" w:rsidRDefault="00770C4A" w:rsidP="000B5A9C">
            <w:pPr>
              <w:jc w:val="center"/>
              <w:rPr>
                <w:rFonts w:ascii="Times New Roman" w:hAnsi="Times New Roman" w:cs="Times New Roman"/>
                <w:bCs/>
                <w:lang w:val="en-GB"/>
              </w:rPr>
            </w:pPr>
          </w:p>
        </w:tc>
        <w:tc>
          <w:tcPr>
            <w:tcW w:w="7744" w:type="dxa"/>
            <w:shd w:val="clear" w:color="auto" w:fill="auto"/>
            <w:vAlign w:val="center"/>
          </w:tcPr>
          <w:p w14:paraId="2245C7C9" w14:textId="77777777" w:rsidR="00770C4A" w:rsidRDefault="00770C4A" w:rsidP="000B5A9C">
            <w:pPr>
              <w:widowControl/>
              <w:spacing w:after="0" w:line="240" w:lineRule="auto"/>
              <w:jc w:val="left"/>
              <w:rPr>
                <w:rFonts w:ascii="Times New Roman" w:hAnsi="Times New Roman" w:cs="Times New Roman"/>
                <w:kern w:val="0"/>
                <w:szCs w:val="21"/>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 xml:space="preserve">transmission </w:t>
      </w:r>
      <w:proofErr w:type="gramStart"/>
      <w:r w:rsidRPr="00D411AB">
        <w:rPr>
          <w:bCs/>
          <w:sz w:val="21"/>
          <w:szCs w:val="21"/>
          <w:lang w:val="en-GB"/>
        </w:rPr>
        <w:t>power</w:t>
      </w:r>
      <w:proofErr w:type="gramEnd"/>
      <w:r w:rsidRPr="00D411AB">
        <w:rPr>
          <w:bCs/>
          <w:sz w:val="21"/>
          <w:szCs w:val="21"/>
          <w:lang w:val="en-GB"/>
        </w:rPr>
        <w:t xml:space="preserve">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lastRenderedPageBreak/>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 xml:space="preserve">And gNB </w:t>
            </w:r>
            <w:proofErr w:type="gramStart"/>
            <w:r w:rsidR="008C280D">
              <w:rPr>
                <w:rFonts w:ascii="Times New Roman" w:hAnsi="Times New Roman" w:cs="Times New Roman" w:hint="eastAsia"/>
                <w:bCs/>
              </w:rPr>
              <w:t>should</w:t>
            </w:r>
            <w:proofErr w:type="gramEnd"/>
            <w:r w:rsidR="008C280D">
              <w:rPr>
                <w:rFonts w:ascii="Times New Roman" w:hAnsi="Times New Roman" w:cs="Times New Roman" w:hint="eastAsia"/>
                <w:bCs/>
              </w:rPr>
              <w:t xml:space="preserve">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lastRenderedPageBreak/>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DA32EF" w14:paraId="644A618E" w14:textId="77777777" w:rsidTr="00A6352D">
        <w:trPr>
          <w:trHeight w:val="409"/>
          <w:jc w:val="center"/>
        </w:trPr>
        <w:tc>
          <w:tcPr>
            <w:tcW w:w="1733" w:type="dxa"/>
            <w:shd w:val="clear" w:color="auto" w:fill="auto"/>
            <w:vAlign w:val="center"/>
          </w:tcPr>
          <w:p w14:paraId="2B889648" w14:textId="3A6C2AF6" w:rsidR="00DA32EF" w:rsidRDefault="00DA32EF" w:rsidP="00DA32EF">
            <w:pPr>
              <w:jc w:val="center"/>
              <w:rPr>
                <w:rFonts w:ascii="Times New Roman" w:hAnsi="Times New Roman" w:cs="Times New Roman"/>
                <w:bCs/>
                <w:lang w:val="en-GB"/>
              </w:rPr>
            </w:pPr>
            <w:r w:rsidRPr="004364A9">
              <w:rPr>
                <w:rFonts w:ascii="Times New Roman" w:hAnsi="Times New Roman" w:cs="Times New Roman"/>
                <w:bCs/>
                <w:lang w:val="en-GB"/>
              </w:rPr>
              <w:t>Intel</w:t>
            </w:r>
          </w:p>
        </w:tc>
        <w:tc>
          <w:tcPr>
            <w:tcW w:w="7744" w:type="dxa"/>
            <w:shd w:val="clear" w:color="auto" w:fill="auto"/>
            <w:vAlign w:val="center"/>
          </w:tcPr>
          <w:p w14:paraId="62B8FD07" w14:textId="77777777" w:rsidR="00DA32EF" w:rsidRPr="004364A9" w:rsidRDefault="00DA32EF" w:rsidP="00DA32EF">
            <w:pPr>
              <w:spacing w:after="0"/>
              <w:rPr>
                <w:rFonts w:ascii="Times New Roman" w:hAnsi="Times New Roman" w:cs="Times New Roman"/>
                <w:bCs/>
                <w:lang w:val="en-GB"/>
              </w:rPr>
            </w:pPr>
            <w:r w:rsidRPr="004364A9">
              <w:rPr>
                <w:rFonts w:ascii="Times New Roman" w:hAnsi="Times New Roman" w:cs="Times New Roman"/>
                <w:bCs/>
                <w:lang w:val="en-GB"/>
              </w:rPr>
              <w:t xml:space="preserve">We are not sure whether gNB is not aware of some of the events as listed above. </w:t>
            </w:r>
          </w:p>
          <w:p w14:paraId="6DCFD154"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 xml:space="preserve">transmission </w:t>
            </w:r>
            <w:proofErr w:type="gramStart"/>
            <w:r w:rsidRPr="004364A9">
              <w:rPr>
                <w:bCs/>
                <w:sz w:val="21"/>
                <w:szCs w:val="21"/>
                <w:lang w:val="en-GB"/>
              </w:rPr>
              <w:t>power</w:t>
            </w:r>
            <w:proofErr w:type="gramEnd"/>
            <w:r w:rsidRPr="004364A9">
              <w:rPr>
                <w:bCs/>
                <w:sz w:val="21"/>
                <w:szCs w:val="21"/>
                <w:lang w:val="en-GB"/>
              </w:rPr>
              <w:t xml:space="preserve"> drop due to dynamic power sharing of DC</w:t>
            </w:r>
          </w:p>
          <w:p w14:paraId="589E70E9"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is dropped due to uplink collision of CA/DC</w:t>
            </w:r>
          </w:p>
          <w:p w14:paraId="515E7BFA"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UE operates fine timing tracking to adjust FFT boundary when UE receive DL signal</w:t>
            </w:r>
          </w:p>
          <w:p w14:paraId="30C6FDCA" w14:textId="77777777" w:rsidR="00DA32EF" w:rsidRPr="004364A9" w:rsidRDefault="00DA32EF" w:rsidP="00DA32EF">
            <w:pPr>
              <w:pStyle w:val="ListParagraph"/>
              <w:numPr>
                <w:ilvl w:val="1"/>
                <w:numId w:val="72"/>
              </w:numPr>
              <w:ind w:firstLineChars="0"/>
              <w:rPr>
                <w:sz w:val="21"/>
                <w:szCs w:val="21"/>
              </w:rPr>
            </w:pPr>
            <w:r w:rsidRPr="004364A9">
              <w:rPr>
                <w:bCs/>
                <w:sz w:val="21"/>
                <w:szCs w:val="21"/>
              </w:rPr>
              <w:t>open loop power control</w:t>
            </w:r>
          </w:p>
          <w:p w14:paraId="31FA242B" w14:textId="7DEAA326" w:rsidR="00DA32EF" w:rsidRDefault="00DA32EF" w:rsidP="00DA32EF">
            <w:pPr>
              <w:rPr>
                <w:rFonts w:ascii="Times New Roman" w:hAnsi="Times New Roman" w:cs="Times New Roman"/>
                <w:bCs/>
              </w:rPr>
            </w:pPr>
            <w:r w:rsidRPr="004364A9">
              <w:rPr>
                <w:rFonts w:ascii="Times New Roman" w:hAnsi="Times New Roman" w:cs="Times New Roman"/>
                <w:bCs/>
                <w:lang w:val="en-GB"/>
              </w:rPr>
              <w:t xml:space="preserve">In our view, the above scenarios should be included as part of events that were discussed in the TDW determination. </w:t>
            </w:r>
            <w:r>
              <w:rPr>
                <w:rFonts w:ascii="Times New Roman" w:hAnsi="Times New Roman" w:cs="Times New Roman"/>
                <w:bCs/>
                <w:lang w:val="en-GB"/>
              </w:rPr>
              <w:t xml:space="preserve">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9C73DE" w14:paraId="4656B88C" w14:textId="77777777" w:rsidTr="0049492C">
        <w:trPr>
          <w:trHeight w:val="409"/>
          <w:jc w:val="center"/>
        </w:trPr>
        <w:tc>
          <w:tcPr>
            <w:tcW w:w="1733" w:type="dxa"/>
            <w:shd w:val="clear" w:color="auto" w:fill="auto"/>
            <w:vAlign w:val="center"/>
          </w:tcPr>
          <w:p w14:paraId="11A58D36" w14:textId="77777777" w:rsidR="009C73DE" w:rsidRDefault="009C73DE"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726FB67" w14:textId="77777777" w:rsidR="009C73DE" w:rsidRDefault="009C73DE" w:rsidP="0049492C">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4D876D64" w14:textId="77777777" w:rsidR="009C73DE" w:rsidRDefault="009C73DE" w:rsidP="0049492C">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5F7C8066" w14:textId="77777777" w:rsidR="009C73DE" w:rsidRDefault="009C73DE" w:rsidP="0049492C">
            <w:pPr>
              <w:rPr>
                <w:rFonts w:ascii="Times New Roman" w:eastAsia="Malgun Gothic" w:hAnsi="Times New Roman" w:cs="Times New Roman"/>
                <w:bCs/>
                <w:lang w:eastAsia="ko-KR"/>
              </w:rPr>
            </w:pPr>
            <w:r w:rsidRPr="00AD5212">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9C73DE" w14:paraId="7C74386C" w14:textId="77777777" w:rsidTr="00A6352D">
        <w:trPr>
          <w:trHeight w:val="409"/>
          <w:jc w:val="center"/>
        </w:trPr>
        <w:tc>
          <w:tcPr>
            <w:tcW w:w="1733" w:type="dxa"/>
            <w:shd w:val="clear" w:color="auto" w:fill="auto"/>
            <w:vAlign w:val="center"/>
          </w:tcPr>
          <w:p w14:paraId="71FE53DC" w14:textId="77777777" w:rsidR="009C73DE" w:rsidRPr="004364A9" w:rsidRDefault="009C73DE" w:rsidP="00DA32EF">
            <w:pPr>
              <w:jc w:val="center"/>
              <w:rPr>
                <w:rFonts w:ascii="Times New Roman" w:hAnsi="Times New Roman" w:cs="Times New Roman"/>
                <w:bCs/>
                <w:lang w:val="en-GB"/>
              </w:rPr>
            </w:pPr>
          </w:p>
        </w:tc>
        <w:tc>
          <w:tcPr>
            <w:tcW w:w="7744" w:type="dxa"/>
            <w:shd w:val="clear" w:color="auto" w:fill="auto"/>
            <w:vAlign w:val="center"/>
          </w:tcPr>
          <w:p w14:paraId="44E41130" w14:textId="77777777" w:rsidR="009C73DE" w:rsidRPr="004364A9" w:rsidRDefault="009C73DE" w:rsidP="00DA32EF">
            <w:pPr>
              <w:spacing w:after="0"/>
              <w:rPr>
                <w:rFonts w:ascii="Times New Roman" w:hAnsi="Times New Roman" w:cs="Times New Roman"/>
                <w:bCs/>
                <w:lang w:val="en-GB"/>
              </w:rPr>
            </w:pP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lastRenderedPageBreak/>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6A4A1C94" w:rsidR="004B7885" w:rsidRDefault="00DE08A3" w:rsidP="004B7885">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4B7885">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DE08A3" w14:paraId="5A532F03" w14:textId="77777777" w:rsidTr="00A6352D">
        <w:trPr>
          <w:trHeight w:val="409"/>
          <w:jc w:val="center"/>
        </w:trPr>
        <w:tc>
          <w:tcPr>
            <w:tcW w:w="1733" w:type="dxa"/>
            <w:shd w:val="clear" w:color="auto" w:fill="auto"/>
            <w:vAlign w:val="center"/>
          </w:tcPr>
          <w:p w14:paraId="23994999" w14:textId="79362951" w:rsidR="00DE08A3" w:rsidRDefault="00DE08A3" w:rsidP="004B7885">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8DEE902" w14:textId="661E2B9D"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We support Alt. 1. </w:t>
            </w:r>
          </w:p>
          <w:p w14:paraId="4AA941EE" w14:textId="4B510DF7"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w:t>
            </w:r>
            <w:r w:rsidRPr="00DE08A3">
              <w:rPr>
                <w:rFonts w:ascii="Times New Roman" w:hAnsi="Times New Roman" w:cs="Times New Roman"/>
                <w:bCs/>
                <w:szCs w:val="21"/>
              </w:rPr>
              <w:t>during the current time domain window</w:t>
            </w:r>
            <w:r>
              <w:rPr>
                <w:rFonts w:ascii="Times New Roman" w:hAnsi="Times New Roman" w:cs="Times New Roman"/>
                <w:bCs/>
                <w:szCs w:val="21"/>
              </w:rPr>
              <w:t xml:space="preserve">?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F20FCA" w14:paraId="2A550988" w14:textId="77777777" w:rsidTr="00A6352D">
        <w:trPr>
          <w:trHeight w:val="409"/>
          <w:jc w:val="center"/>
        </w:trPr>
        <w:tc>
          <w:tcPr>
            <w:tcW w:w="1733" w:type="dxa"/>
            <w:shd w:val="clear" w:color="auto" w:fill="auto"/>
            <w:vAlign w:val="center"/>
          </w:tcPr>
          <w:p w14:paraId="3B44B32E" w14:textId="5E1D7624" w:rsidR="00F20FCA" w:rsidRDefault="00F20FCA" w:rsidP="00F20FCA">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59AAFBF" w14:textId="6188197F" w:rsidR="00F20FCA" w:rsidRDefault="00F20FCA" w:rsidP="00F20FCA">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C31DB" w14:paraId="5EF637EA" w14:textId="77777777" w:rsidTr="0049492C">
        <w:trPr>
          <w:trHeight w:val="409"/>
          <w:jc w:val="center"/>
        </w:trPr>
        <w:tc>
          <w:tcPr>
            <w:tcW w:w="1733" w:type="dxa"/>
            <w:shd w:val="clear" w:color="auto" w:fill="auto"/>
            <w:vAlign w:val="center"/>
          </w:tcPr>
          <w:p w14:paraId="78518C4A" w14:textId="77777777" w:rsidR="004C31DB" w:rsidRDefault="004C31DB"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B7FFD7F"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282CF2D7"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5F6CE5C4"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6FB76ADD" w14:textId="77777777" w:rsidR="004C31DB" w:rsidRPr="009C48F2" w:rsidRDefault="004C31DB" w:rsidP="0049492C">
            <w:pPr>
              <w:pStyle w:val="ListParagraph"/>
              <w:numPr>
                <w:ilvl w:val="0"/>
                <w:numId w:val="52"/>
              </w:numPr>
              <w:ind w:firstLineChars="0"/>
              <w:rPr>
                <w:bCs/>
              </w:rPr>
            </w:pPr>
            <w:r w:rsidRPr="009C48F2">
              <w:rPr>
                <w:bCs/>
              </w:rPr>
              <w:t xml:space="preserve">Alt 1: UE is not expected to receive TPC commands </w:t>
            </w:r>
            <w:r w:rsidRPr="0049492C">
              <w:rPr>
                <w:bCs/>
                <w:color w:val="FF0000"/>
                <w:u w:val="single"/>
              </w:rPr>
              <w:t>that take into effect after the start of a</w:t>
            </w:r>
            <w:r>
              <w:rPr>
                <w:bCs/>
              </w:rPr>
              <w:t xml:space="preserve"> </w:t>
            </w:r>
            <w:r w:rsidRPr="0049492C">
              <w:rPr>
                <w:rFonts w:ascii="n" w:hAnsi="n"/>
                <w:bCs/>
                <w:strike/>
                <w:color w:val="FF0000"/>
              </w:rPr>
              <w:t xml:space="preserve">within K symbols before the start of </w:t>
            </w:r>
            <w:proofErr w:type="gramStart"/>
            <w:r w:rsidRPr="0049492C">
              <w:rPr>
                <w:rFonts w:ascii="n" w:hAnsi="n"/>
                <w:bCs/>
                <w:strike/>
                <w:color w:val="FF0000"/>
              </w:rPr>
              <w:t>one</w:t>
            </w:r>
            <w:r w:rsidRPr="0049492C">
              <w:rPr>
                <w:bCs/>
                <w:color w:val="FF0000"/>
              </w:rPr>
              <w:t xml:space="preserve"> </w:t>
            </w:r>
            <w:r w:rsidRPr="009C48F2">
              <w:rPr>
                <w:bCs/>
              </w:rPr>
              <w:t>time</w:t>
            </w:r>
            <w:proofErr w:type="gramEnd"/>
            <w:r w:rsidRPr="009C48F2">
              <w:rPr>
                <w:bCs/>
              </w:rPr>
              <w:t xml:space="preserve"> domain window.</w:t>
            </w:r>
          </w:p>
          <w:p w14:paraId="6A8B983E" w14:textId="77777777" w:rsidR="004C31DB" w:rsidRPr="0049492C" w:rsidRDefault="004C31DB" w:rsidP="0049492C">
            <w:pPr>
              <w:pStyle w:val="ListParagraph"/>
              <w:numPr>
                <w:ilvl w:val="0"/>
                <w:numId w:val="16"/>
              </w:numPr>
              <w:ind w:left="1140" w:firstLineChars="0"/>
              <w:rPr>
                <w:bCs/>
                <w:u w:val="single"/>
              </w:rPr>
            </w:pPr>
            <w:r>
              <w:rPr>
                <w:bCs/>
                <w:color w:val="FF0000"/>
                <w:u w:val="single"/>
              </w:rPr>
              <w:t>Such TPC commands constitute events for TDW determination</w:t>
            </w:r>
          </w:p>
          <w:p w14:paraId="085C7B63" w14:textId="77777777" w:rsidR="004C31DB" w:rsidRDefault="004C31DB"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C31DB" w14:paraId="15625487" w14:textId="77777777" w:rsidTr="00A6352D">
        <w:trPr>
          <w:trHeight w:val="409"/>
          <w:jc w:val="center"/>
        </w:trPr>
        <w:tc>
          <w:tcPr>
            <w:tcW w:w="1733" w:type="dxa"/>
            <w:shd w:val="clear" w:color="auto" w:fill="auto"/>
            <w:vAlign w:val="center"/>
          </w:tcPr>
          <w:p w14:paraId="18F922EE" w14:textId="77777777" w:rsidR="004C31DB" w:rsidRDefault="004C31DB" w:rsidP="00F20FCA">
            <w:pPr>
              <w:jc w:val="center"/>
              <w:rPr>
                <w:rFonts w:ascii="Times New Roman" w:hAnsi="Times New Roman" w:cs="Times New Roman"/>
                <w:bCs/>
                <w:lang w:val="en-GB"/>
              </w:rPr>
            </w:pPr>
          </w:p>
        </w:tc>
        <w:tc>
          <w:tcPr>
            <w:tcW w:w="7744" w:type="dxa"/>
            <w:shd w:val="clear" w:color="auto" w:fill="auto"/>
            <w:vAlign w:val="center"/>
          </w:tcPr>
          <w:p w14:paraId="28BDD35D" w14:textId="77777777" w:rsidR="004C31DB" w:rsidRDefault="004C31DB" w:rsidP="00F20FCA">
            <w:pPr>
              <w:rPr>
                <w:rFonts w:ascii="Times New Roman" w:eastAsia="Malgun Gothic" w:hAnsi="Times New Roman" w:cs="Times New Roman"/>
                <w:bCs/>
                <w:lang w:val="en-GB" w:eastAsia="ko-KR"/>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17A7C378" w:rsidR="00565C7E" w:rsidRPr="00565C7E" w:rsidRDefault="00EF3C16" w:rsidP="00A310BF">
            <w:pPr>
              <w:jc w:val="center"/>
              <w:rPr>
                <w:rFonts w:ascii="Times New Roman" w:hAnsi="Times New Roman" w:cs="Times New Roman"/>
                <w:bCs/>
                <w:lang w:val="en-GB"/>
              </w:rPr>
            </w:pPr>
            <w:r>
              <w:rPr>
                <w:rFonts w:ascii="Times New Roman" w:hAnsi="Times New Roman" w:cs="Times New Roman"/>
                <w:bCs/>
                <w:lang w:val="en-GB"/>
              </w:rPr>
              <w:t>V</w:t>
            </w:r>
            <w:r w:rsidR="00565C7E">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F3C16" w14:paraId="3CFB801E" w14:textId="77777777" w:rsidTr="00A6352D">
        <w:trPr>
          <w:trHeight w:val="409"/>
          <w:jc w:val="center"/>
        </w:trPr>
        <w:tc>
          <w:tcPr>
            <w:tcW w:w="1733" w:type="dxa"/>
            <w:shd w:val="clear" w:color="auto" w:fill="auto"/>
            <w:vAlign w:val="center"/>
          </w:tcPr>
          <w:p w14:paraId="730106C2" w14:textId="67AC6D4E" w:rsidR="00EF3C16" w:rsidRDefault="00EF3C16" w:rsidP="00A310B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6D30F3" w14:textId="753EC68D" w:rsidR="00EF3C16" w:rsidRDefault="00EF3C16" w:rsidP="00A310B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F20FCA" w14:paraId="388C4062" w14:textId="77777777" w:rsidTr="00A6352D">
        <w:trPr>
          <w:trHeight w:val="409"/>
          <w:jc w:val="center"/>
        </w:trPr>
        <w:tc>
          <w:tcPr>
            <w:tcW w:w="1733" w:type="dxa"/>
            <w:shd w:val="clear" w:color="auto" w:fill="auto"/>
            <w:vAlign w:val="center"/>
          </w:tcPr>
          <w:p w14:paraId="00D997C5" w14:textId="27B0055E" w:rsidR="00F20FCA" w:rsidRDefault="00F20FCA" w:rsidP="00A310B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6A023DA" w14:textId="1C98B9FF" w:rsidR="00F20FCA" w:rsidRDefault="00F20FCA" w:rsidP="00A310BF">
            <w:pPr>
              <w:rPr>
                <w:rFonts w:ascii="Times New Roman" w:hAnsi="Times New Roman" w:cs="Times New Roman"/>
                <w:bCs/>
                <w:lang w:val="en-GB"/>
              </w:rPr>
            </w:pPr>
            <w:r>
              <w:rPr>
                <w:rFonts w:ascii="Times New Roman" w:hAnsi="Times New Roman" w:cs="Times New Roman"/>
                <w:bCs/>
                <w:lang w:val="en-GB"/>
              </w:rPr>
              <w:t>Suport</w:t>
            </w:r>
          </w:p>
        </w:tc>
      </w:tr>
      <w:tr w:rsidR="00A02228" w14:paraId="40265D28" w14:textId="77777777" w:rsidTr="0049492C">
        <w:trPr>
          <w:trHeight w:val="409"/>
          <w:jc w:val="center"/>
        </w:trPr>
        <w:tc>
          <w:tcPr>
            <w:tcW w:w="1733" w:type="dxa"/>
            <w:shd w:val="clear" w:color="auto" w:fill="auto"/>
            <w:vAlign w:val="center"/>
          </w:tcPr>
          <w:p w14:paraId="14FDDFB8" w14:textId="77777777" w:rsidR="00A02228" w:rsidRDefault="00A02228" w:rsidP="0049492C">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A7C5DC6" w14:textId="77777777" w:rsidR="00A02228" w:rsidRDefault="00A02228" w:rsidP="0049492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02228" w14:paraId="083283FB" w14:textId="77777777" w:rsidTr="00A6352D">
        <w:trPr>
          <w:trHeight w:val="409"/>
          <w:jc w:val="center"/>
        </w:trPr>
        <w:tc>
          <w:tcPr>
            <w:tcW w:w="1733" w:type="dxa"/>
            <w:shd w:val="clear" w:color="auto" w:fill="auto"/>
            <w:vAlign w:val="center"/>
          </w:tcPr>
          <w:p w14:paraId="67E7D6EB" w14:textId="77777777" w:rsidR="00A02228" w:rsidRDefault="00A02228" w:rsidP="00A310BF">
            <w:pPr>
              <w:jc w:val="center"/>
              <w:rPr>
                <w:rFonts w:ascii="Times New Roman" w:hAnsi="Times New Roman" w:cs="Times New Roman"/>
                <w:bCs/>
                <w:lang w:val="en-GB"/>
              </w:rPr>
            </w:pPr>
          </w:p>
        </w:tc>
        <w:tc>
          <w:tcPr>
            <w:tcW w:w="7744" w:type="dxa"/>
            <w:shd w:val="clear" w:color="auto" w:fill="auto"/>
            <w:vAlign w:val="center"/>
          </w:tcPr>
          <w:p w14:paraId="442CDD4C" w14:textId="77777777" w:rsidR="00A02228" w:rsidRDefault="00A02228" w:rsidP="00A310BF">
            <w:pPr>
              <w:rPr>
                <w:rFonts w:ascii="Times New Roman" w:hAnsi="Times New Roman" w:cs="Times New Roman"/>
                <w:bCs/>
                <w:lang w:val="en-GB"/>
              </w:rPr>
            </w:pP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F253D" w14:textId="77777777" w:rsidR="00A41BC1" w:rsidRDefault="00A41BC1" w:rsidP="008B642E">
      <w:pPr>
        <w:spacing w:after="0" w:line="240" w:lineRule="auto"/>
      </w:pPr>
      <w:r>
        <w:separator/>
      </w:r>
    </w:p>
  </w:endnote>
  <w:endnote w:type="continuationSeparator" w:id="0">
    <w:p w14:paraId="509F11E1" w14:textId="77777777" w:rsidR="00A41BC1" w:rsidRDefault="00A41BC1"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81E25" w14:textId="77777777" w:rsidR="00A41BC1" w:rsidRDefault="00A41BC1" w:rsidP="008B642E">
      <w:pPr>
        <w:spacing w:after="0" w:line="240" w:lineRule="auto"/>
      </w:pPr>
      <w:r>
        <w:separator/>
      </w:r>
    </w:p>
  </w:footnote>
  <w:footnote w:type="continuationSeparator" w:id="0">
    <w:p w14:paraId="211781D1" w14:textId="77777777" w:rsidR="00A41BC1" w:rsidRDefault="00A41BC1"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356A9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 w:numId="72">
    <w:abstractNumId w:val="6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130</Pages>
  <Words>42340</Words>
  <Characters>241341</Characters>
  <Application>Microsoft Office Word</Application>
  <DocSecurity>0</DocSecurity>
  <Lines>2011</Lines>
  <Paragraphs>566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283115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Ericsson2</cp:lastModifiedBy>
  <cp:revision>20</cp:revision>
  <cp:lastPrinted>2021-04-15T03:16:00Z</cp:lastPrinted>
  <dcterms:created xsi:type="dcterms:W3CDTF">2021-08-24T15:16:00Z</dcterms:created>
  <dcterms:modified xsi:type="dcterms:W3CDTF">2021-08-24T22:26:00Z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