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7C674291"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1A5662C9"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af8"/>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8"/>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F955DCB"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8"/>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5CE75A0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As long as the </w:t>
            </w:r>
            <w:r w:rsidRPr="00D14577">
              <w:rPr>
                <w:rFonts w:ascii="Times New Roman" w:eastAsia="宋体" w:hAnsi="Times New Roman" w:cs="Times New Roman"/>
                <w:kern w:val="0"/>
                <w:szCs w:val="21"/>
                <w:lang w:val="en-US" w:eastAsia="en-US"/>
              </w:rPr>
              <w:t>the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等线" w:hAnsi="Times New Roman"/>
                <w:bCs/>
                <w:color w:val="000000"/>
                <w:kern w:val="24"/>
                <w:szCs w:val="21"/>
                <w:lang w:val="en-US"/>
              </w:rPr>
              <w:t>A higher data rate is required for PUSCH transmission in coverage enhancement</w:t>
            </w:r>
            <w:r w:rsidRPr="00D14577">
              <w:rPr>
                <w:rFonts w:ascii="Times New Roman" w:eastAsia="等线" w:hAnsi="Times New Roman" w:hint="eastAsia"/>
                <w:bCs/>
                <w:color w:val="000000"/>
                <w:kern w:val="24"/>
                <w:szCs w:val="21"/>
                <w:lang w:val="en-US"/>
              </w:rPr>
              <w:t xml:space="preserve">, e.g. 1Mbps for eMBB, where the number of repetitions is limited; Also, </w:t>
            </w:r>
            <w:r w:rsidRPr="00D14577">
              <w:rPr>
                <w:rFonts w:ascii="Times New Roman" w:eastAsia="等线" w:hAnsi="Times New Roman"/>
                <w:bCs/>
                <w:color w:val="000000"/>
                <w:kern w:val="24"/>
                <w:szCs w:val="21"/>
                <w:lang w:val="en-US"/>
              </w:rPr>
              <w:t xml:space="preserve">A medium </w:t>
            </w:r>
            <w:r w:rsidRPr="00D14577">
              <w:rPr>
                <w:rFonts w:ascii="Times New Roman" w:eastAsia="等线" w:hAnsi="Times New Roman" w:hint="eastAsia"/>
                <w:bCs/>
                <w:color w:val="000000"/>
                <w:kern w:val="24"/>
                <w:szCs w:val="21"/>
                <w:lang w:val="en-US"/>
              </w:rPr>
              <w:t>or</w:t>
            </w:r>
            <w:r w:rsidRPr="00D14577">
              <w:rPr>
                <w:rFonts w:ascii="Times New Roman" w:eastAsia="等线" w:hAnsi="Times New Roman"/>
                <w:bCs/>
                <w:color w:val="000000"/>
                <w:kern w:val="24"/>
                <w:szCs w:val="21"/>
                <w:lang w:val="en-US"/>
              </w:rPr>
              <w:t xml:space="preserve"> low date rate is required for PUSCH transmission in coverage enhancement, </w:t>
            </w:r>
            <w:r w:rsidRPr="00D14577">
              <w:rPr>
                <w:rFonts w:ascii="Times New Roman" w:eastAsia="等线" w:hAnsi="Times New Roman" w:hint="eastAsia"/>
                <w:bCs/>
                <w:color w:val="000000"/>
                <w:kern w:val="24"/>
                <w:szCs w:val="21"/>
                <w:lang w:val="en-US"/>
              </w:rPr>
              <w:t xml:space="preserve">e.g. </w:t>
            </w:r>
            <w:r w:rsidRPr="00D14577">
              <w:rPr>
                <w:rFonts w:ascii="Times New Roman" w:eastAsia="等线" w:hAnsi="Times New Roman"/>
                <w:bCs/>
                <w:color w:val="000000"/>
                <w:kern w:val="24"/>
                <w:szCs w:val="21"/>
                <w:lang w:val="en-US"/>
              </w:rPr>
              <w:t>12.2 kbps for VoIP</w:t>
            </w:r>
            <w:r w:rsidRPr="00D14577">
              <w:rPr>
                <w:rFonts w:ascii="Times New Roman" w:eastAsia="等线" w:hAnsi="Times New Roman" w:hint="eastAsia"/>
                <w:bCs/>
                <w:color w:val="000000"/>
                <w:kern w:val="24"/>
                <w:szCs w:val="21"/>
                <w:lang w:val="en-US"/>
              </w:rPr>
              <w:t xml:space="preserve">, where </w:t>
            </w:r>
            <w:r w:rsidRPr="00D14577">
              <w:rPr>
                <w:rFonts w:ascii="Times New Roman" w:eastAsia="宋体" w:hAnsi="Times New Roman"/>
                <w:szCs w:val="21"/>
                <w:lang w:val="en-US"/>
              </w:rPr>
              <w:t>different TBs with repetitions are transmitted across consecutive slots</w:t>
            </w:r>
            <w:r w:rsidRPr="00D14577">
              <w:rPr>
                <w:rFonts w:ascii="Times New Roman" w:eastAsia="宋体" w:hAnsi="Times New Roman" w:hint="eastAsia"/>
                <w:szCs w:val="21"/>
                <w:lang w:val="en-US"/>
              </w:rPr>
              <w:t>.</w:t>
            </w:r>
            <w:r w:rsidRPr="00D14577">
              <w:rPr>
                <w:rFonts w:ascii="Times New Roman" w:eastAsia="宋体" w:hAnsi="Times New Roman" w:cs="Times New Roman"/>
                <w:kern w:val="0"/>
                <w:szCs w:val="21"/>
                <w:lang w:val="en-US"/>
              </w:rPr>
              <w:t xml:space="preserve"> </w:t>
            </w:r>
            <w:r w:rsidRPr="00D14577">
              <w:rPr>
                <w:rFonts w:ascii="Times New Roman" w:eastAsia="宋体" w:hAnsi="Times New Roman" w:cs="Times New Roman" w:hint="eastAsia"/>
                <w:kern w:val="0"/>
                <w:szCs w:val="21"/>
                <w:lang w:val="en-US"/>
              </w:rPr>
              <w:t>T</w:t>
            </w:r>
            <w:r w:rsidRPr="00D14577">
              <w:rPr>
                <w:rFonts w:ascii="Times New Roman" w:eastAsia="宋体"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hint="eastAsia"/>
                <w:kern w:val="0"/>
                <w:szCs w:val="21"/>
                <w:lang w:val="en-US"/>
              </w:rPr>
              <w:t>N</w:t>
            </w:r>
            <w:r w:rsidRPr="00D14577">
              <w:rPr>
                <w:rFonts w:ascii="Times New Roman" w:eastAsia="宋体" w:hAnsi="Times New Roman" w:cs="Times New Roman"/>
                <w:kern w:val="0"/>
                <w:szCs w:val="21"/>
                <w:lang w:val="en-US"/>
              </w:rPr>
              <w:t>ot targeted for coverage enhancement</w:t>
            </w:r>
            <w:r w:rsidRPr="00D14577">
              <w:rPr>
                <w:rFonts w:ascii="Times New Roman" w:eastAsia="宋体"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宋体" w:hAnsi="Times New Roman" w:cs="Times New Roman"/>
                <w:kern w:val="0"/>
                <w:szCs w:val="21"/>
                <w:lang w:val="en-US"/>
              </w:rPr>
              <w:t>, and the fact that its unlikely to benefit a cell-edge UE</w:t>
            </w:r>
            <w:r w:rsidRPr="00D14577">
              <w:rPr>
                <w:rFonts w:ascii="Times New Roman" w:eastAsia="宋体"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Restrictions on scheduling of multiple TBs, same number of PRBs/same frequency location, same transmission power, same</w:t>
            </w:r>
            <w:r w:rsidRPr="00D14577">
              <w:rPr>
                <w:rFonts w:ascii="Times New Roman" w:eastAsia="宋体" w:hAnsi="Times New Roman" w:cs="Times New Roman" w:hint="eastAsia"/>
                <w:kern w:val="0"/>
                <w:szCs w:val="21"/>
                <w:lang w:val="en-US"/>
              </w:rPr>
              <w:t xml:space="preserve"> TPMI</w:t>
            </w:r>
            <w:r w:rsidRPr="00D14577">
              <w:rPr>
                <w:rFonts w:ascii="Times New Roman" w:eastAsia="宋体" w:hAnsi="Times New Roman" w:cs="Times New Roman"/>
                <w:kern w:val="0"/>
                <w:szCs w:val="21"/>
                <w:lang w:val="en-US"/>
              </w:rPr>
              <w:t xml:space="preserve"> precoder etc.</w:t>
            </w:r>
          </w:p>
        </w:tc>
      </w:tr>
    </w:tbl>
    <w:p w14:paraId="2D575F2D" w14:textId="77777777" w:rsidR="002D34FC" w:rsidRDefault="002D34FC">
      <w:pPr>
        <w:pStyle w:val="a8"/>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D68CDE1" w14:textId="77777777" w:rsidR="002D34FC" w:rsidRDefault="002D34FC">
      <w:pPr>
        <w:pStyle w:val="af8"/>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67ABE270"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06B8B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59FACCF0" w14:textId="77777777" w:rsidR="002D34FC" w:rsidRDefault="007B5577">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0595092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50D1D0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55DA8A66"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8"/>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20FE2909"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1790ED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87BEFCD"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15B8093E"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0473F1A"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169400F" w14:textId="77777777" w:rsidR="002D34FC" w:rsidRDefault="007B5577">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DCB4282"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a8"/>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a8"/>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35pt;height:59.95pt;mso-width-percent:0;mso-height-percent:0;mso-width-percent:0;mso-height-percent:0" o:ole="">
            <v:imagedata r:id="rId16" o:title=""/>
          </v:shape>
          <o:OLEObject Type="Embed" ProgID="Visio.Drawing.11" ShapeID="_x0000_i1025" DrawAspect="Content" ObjectID="_1691329744"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1.35pt;height:93.65pt;mso-width-percent:0;mso-height-percent:0;mso-width-percent:0;mso-height-percent:0" o:ole="">
            <v:imagedata r:id="rId18" o:title=""/>
          </v:shape>
          <o:OLEObject Type="Embed" ProgID="Visio.Drawing.11" ShapeID="_x0000_i1026" DrawAspect="Content" ObjectID="_1691329745"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42752F2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35DE1B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1.35pt;height:59.95pt;mso-width-percent:0;mso-height-percent:0;mso-width-percent:0;mso-height-percent:0" o:ole="">
            <v:imagedata r:id="rId20" o:title=""/>
          </v:shape>
          <o:OLEObject Type="Embed" ProgID="Visio.Drawing.11" ShapeID="_x0000_i1027" DrawAspect="Content" ObjectID="_1691329746"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1.35pt;height:59.95pt;mso-width-percent:0;mso-height-percent:0;mso-width-percent:0;mso-height-percent:0" o:ole="">
            <v:imagedata r:id="rId22" o:title=""/>
          </v:shape>
          <o:OLEObject Type="Embed" ProgID="Visio.Drawing.11" ShapeID="_x0000_i1028" DrawAspect="Content" ObjectID="_1691329747"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1.35pt;height:93.65pt;mso-width-percent:0;mso-height-percent:0;mso-width-percent:0;mso-height-percent:0" o:ole="">
            <v:imagedata r:id="rId24" o:title=""/>
          </v:shape>
          <o:OLEObject Type="Embed" ProgID="Visio.Drawing.11" ShapeID="_x0000_i1029" DrawAspect="Content" ObjectID="_1691329748"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宋体"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等线"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EC4DB0" w14:textId="77777777" w:rsidR="002D34FC" w:rsidRDefault="007B5577">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8"/>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8"/>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宋体"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微软雅黑"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D4BE20D"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a8"/>
        <w:spacing w:beforeLines="0" w:before="0" w:after="0" w:line="240" w:lineRule="auto"/>
        <w:rPr>
          <w:rFonts w:ascii="Times New Roman" w:eastAsia="宋体"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45pt;height:96.95pt;mso-width-percent:0;mso-height-percent:0;mso-width-percent:0;mso-height-percent:0" o:ole="">
            <v:imagedata r:id="rId29" o:title=""/>
          </v:shape>
          <o:OLEObject Type="Embed" ProgID="Visio.Drawing.15" ShapeID="_x0000_i1030" DrawAspect="Content" ObjectID="_1691329749" r:id="rId30"/>
        </w:object>
      </w:r>
    </w:p>
    <w:p w14:paraId="6A5B6815"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4FB4D8DA"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宋体"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等线"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pt;height:99.9pt;mso-width-percent:0;mso-height-percent:0;mso-width-percent:0;mso-height-percent:0" o:ole="">
            <v:imagedata r:id="rId32" o:title=""/>
          </v:shape>
          <o:OLEObject Type="Embed" ProgID="Visio.Drawing.15" ShapeID="_x0000_i1031" DrawAspect="Content" ObjectID="_1691329750"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8pt;height:149pt;mso-width-percent:0;mso-height-percent:0;mso-width-percent:0;mso-height-percent:0" o:ole="">
            <v:imagedata r:id="rId35" o:title=""/>
          </v:shape>
          <o:OLEObject Type="Embed" ProgID="Visio.Drawing.15" ShapeID="_x0000_i1032" DrawAspect="Content" ObjectID="_1691329751"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49F6A2"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EC0FB25"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3D856B6F" w14:textId="77777777" w:rsidR="002D34FC" w:rsidRDefault="007B5577">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宋体"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CD44CE1"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F6091B6"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64BB3023"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50EAC5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01A0A0A7"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A3FC637"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08C64C94" w14:textId="77777777" w:rsidR="002D34FC" w:rsidRDefault="002D34FC">
      <w:pPr>
        <w:rPr>
          <w:rFonts w:ascii="Times New Roman" w:eastAsia="宋体"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宋体" w:hAnsi="Times New Roman" w:cs="Times New Roman"/>
          <w:kern w:val="0"/>
          <w:szCs w:val="21"/>
          <w:lang w:eastAsia="en-US"/>
        </w:rPr>
      </w:pPr>
    </w:p>
    <w:p w14:paraId="293D64C1" w14:textId="77777777" w:rsidR="002D34FC" w:rsidRDefault="007B5577">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宋体"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8"/>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8187FB4"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557CA72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10C92A11" w14:textId="77777777" w:rsidR="002D34FC" w:rsidRDefault="007B5577">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1D7691A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E63BDAC"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8"/>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F920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0A7D32E"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w:t>
      </w:r>
      <w:r w:rsidR="00CA5D8F" w:rsidRPr="00CA5D8F">
        <w:rPr>
          <w:rFonts w:ascii="Times New Roman" w:eastAsia="宋体"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宋体"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宋体" w:hAnsi="Times New Roman" w:cs="Times New Roman"/>
          <w:kern w:val="0"/>
          <w:szCs w:val="21"/>
          <w:lang w:eastAsia="en-US"/>
        </w:rPr>
      </w:pPr>
    </w:p>
    <w:p w14:paraId="261DB772"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5.1.2 TBoMS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25pt;height:277.6pt;mso-width-percent:0;mso-height-percent:0;mso-width-percent:0;mso-height-percent:0" o:ole="">
            <v:imagedata r:id="rId39" o:title=""/>
          </v:shape>
          <o:OLEObject Type="Embed" ProgID="Visio.Drawing.11" ShapeID="_x0000_i1033" DrawAspect="Content" ObjectID="_1691329752" r:id="rId40"/>
        </w:object>
      </w:r>
    </w:p>
    <w:p w14:paraId="041C73DD" w14:textId="77777777" w:rsidR="002D34FC" w:rsidRDefault="004522A6">
      <w:pPr>
        <w:jc w:val="center"/>
      </w:pPr>
      <w:r>
        <w:rPr>
          <w:noProof/>
        </w:rPr>
        <w:object w:dxaOrig="6860" w:dyaOrig="6290" w14:anchorId="1D6BD28D">
          <v:shape id="_x0000_i1034" type="#_x0000_t75" alt="" style="width:342.5pt;height:313.4pt;mso-width-percent:0;mso-height-percent:0;mso-width-percent:0;mso-height-percent:0" o:ole="">
            <v:imagedata r:id="rId41" o:title=""/>
          </v:shape>
          <o:OLEObject Type="Embed" ProgID="Visio.Drawing.11" ShapeID="_x0000_i1034" DrawAspect="Content" ObjectID="_1691329753" r:id="rId42"/>
        </w:object>
      </w:r>
    </w:p>
    <w:p w14:paraId="52959F5B" w14:textId="77777777" w:rsidR="002D34FC" w:rsidRDefault="004522A6">
      <w:pPr>
        <w:jc w:val="center"/>
      </w:pPr>
      <w:r>
        <w:rPr>
          <w:noProof/>
        </w:rPr>
        <w:object w:dxaOrig="6970" w:dyaOrig="5180" w14:anchorId="4C791A34">
          <v:shape id="_x0000_i1035" type="#_x0000_t75" alt="" style="width:348.35pt;height:258.05pt;mso-width-percent:0;mso-height-percent:0;mso-width-percent:0;mso-height-percent:0" o:ole="">
            <v:imagedata r:id="rId43" o:title=""/>
          </v:shape>
          <o:OLEObject Type="Embed" ProgID="Visio.Drawing.11" ShapeID="_x0000_i1035" DrawAspect="Content" ObjectID="_1691329754" r:id="rId44"/>
        </w:object>
      </w:r>
    </w:p>
    <w:p w14:paraId="510F372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宋体" w:hAnsi="Times New Roman" w:cs="Times New Roman"/>
          <w:b/>
          <w:kern w:val="0"/>
          <w:szCs w:val="21"/>
          <w:highlight w:val="yellow"/>
          <w:lang w:eastAsia="en-US"/>
        </w:rPr>
      </w:pPr>
    </w:p>
    <w:p w14:paraId="71D01AD4" w14:textId="77777777" w:rsidR="002D34FC" w:rsidRDefault="007B5577">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1.3pt;height:117.35pt;mso-width-percent:0;mso-height-percent:0;mso-width-percent:0;mso-height-percent:0" o:ole="">
                  <v:imagedata r:id="rId46" o:title=""/>
                </v:shape>
                <o:OLEObject Type="Embed" ProgID="Visio.Drawing.15" ShapeID="_x0000_i1036" DrawAspect="Content" ObjectID="_1691329755"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af8"/>
              <w:ind w:firstLineChars="0" w:firstLine="0"/>
              <w:rPr>
                <w:bCs/>
                <w:sz w:val="20"/>
                <w:szCs w:val="20"/>
                <w:lang w:eastAsia="zh-CN"/>
              </w:rPr>
            </w:pPr>
          </w:p>
          <w:p w14:paraId="044CF341" w14:textId="77777777" w:rsidR="002D34FC" w:rsidRDefault="007B5577">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8"/>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af8"/>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2.1pt;height:296.75pt" o:ole="">
                  <v:imagedata r:id="rId48" o:title=""/>
                </v:shape>
                <o:OLEObject Type="Embed" ProgID="Visio.Drawing.11" ShapeID="_x0000_i1037" DrawAspect="Content" ObjectID="_1691329756"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1pt;height:334.6pt" o:ole="">
                  <v:imagedata r:id="rId50" o:title=""/>
                </v:shape>
                <o:OLEObject Type="Embed" ProgID="Visio.Drawing.11" ShapeID="_x0000_i1038" DrawAspect="Content" ObjectID="_1691329757"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9.2pt;height:280.9pt" o:ole="">
                  <v:imagedata r:id="rId52" o:title=""/>
                </v:shape>
                <o:OLEObject Type="Embed" ProgID="Visio.Drawing.11" ShapeID="_x0000_i1039" DrawAspect="Content" ObjectID="_1691329758"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宋体" w:hAnsi="Times New Roman" w:cs="Times New Roman"/>
                <w:bCs/>
              </w:rPr>
            </w:pPr>
            <w:r>
              <w:rPr>
                <w:rFonts w:ascii="Times New Roman" w:eastAsia="宋体"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8"/>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af8"/>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8"/>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2"/>
        <w:spacing w:before="156" w:after="156"/>
        <w:rPr>
          <w:rFonts w:ascii="Arial" w:hAnsi="Arial" w:cs="Arial"/>
        </w:rPr>
      </w:pPr>
      <w:r>
        <w:rPr>
          <w:rFonts w:ascii="Arial" w:hAnsi="Arial" w:cs="Arial"/>
        </w:rPr>
        <w:t>6.1 Use cases</w:t>
      </w:r>
    </w:p>
    <w:p w14:paraId="1357BA65" w14:textId="77777777" w:rsidR="00836483" w:rsidRDefault="00836483" w:rsidP="00836483">
      <w:pPr>
        <w:pStyle w:val="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3"/>
        <w:spacing w:before="156" w:after="156"/>
        <w:rPr>
          <w:rFonts w:ascii="Arial" w:hAnsi="Arial" w:cs="Arial"/>
        </w:rPr>
      </w:pPr>
      <w:r>
        <w:rPr>
          <w:rFonts w:ascii="Arial" w:hAnsi="Arial" w:cs="Arial"/>
        </w:rPr>
        <w:t>6.1.2 TBoMS (on hold)</w:t>
      </w:r>
    </w:p>
    <w:p w14:paraId="4051C8FA" w14:textId="77777777" w:rsidR="00836483" w:rsidRDefault="00836483" w:rsidP="0083648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2.1pt;height:296.75pt" o:ole="">
            <v:imagedata r:id="rId48" o:title=""/>
          </v:shape>
          <o:OLEObject Type="Embed" ProgID="Visio.Drawing.11" ShapeID="_x0000_i1040" DrawAspect="Content" ObjectID="_1691329759"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1pt;height:334.6pt" o:ole="">
            <v:imagedata r:id="rId50" o:title=""/>
          </v:shape>
          <o:OLEObject Type="Embed" ProgID="Visio.Drawing.11" ShapeID="_x0000_i1041" DrawAspect="Content" ObjectID="_1691329760"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9.2pt;height:280.9pt" o:ole="">
            <v:imagedata r:id="rId52" o:title=""/>
          </v:shape>
          <o:OLEObject Type="Embed" ProgID="Visio.Drawing.11" ShapeID="_x0000_i1042" DrawAspect="Content" ObjectID="_1691329761"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6E0B76">
        <w:rPr>
          <w:rFonts w:ascii="Times New Roman" w:eastAsia="宋体" w:hAnsi="Times New Roman" w:cs="Times New Roman"/>
          <w:b/>
          <w:kern w:val="0"/>
          <w:szCs w:val="21"/>
          <w:highlight w:val="yellow"/>
          <w:lang w:eastAsia="en-US"/>
        </w:rPr>
        <w:t xml:space="preserve"> There are following observations based on companies’ comments.</w:t>
      </w:r>
    </w:p>
    <w:tbl>
      <w:tblPr>
        <w:tblStyle w:val="af4"/>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lastRenderedPageBreak/>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428D0B4E"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r w:rsidR="00C038FB">
              <w:rPr>
                <w:rFonts w:ascii="Times New Roman" w:hAnsi="Times New Roman" w:cs="Times New Roman"/>
                <w:bCs/>
                <w:lang w:val="en-GB"/>
              </w:rPr>
              <w:t>,Xiaomi</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42698A32"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r w:rsidR="00C038FB">
              <w:rPr>
                <w:rFonts w:ascii="Times New Roman" w:hAnsi="Times New Roman" w:cs="Times New Roman"/>
                <w:bCs/>
                <w:lang w:val="en-GB"/>
              </w:rPr>
              <w:t>,Xiaomi</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宋体" w:hAnsi="Times New Roman" w:cs="Times New Roman"/>
          <w:b/>
          <w:kern w:val="0"/>
          <w:szCs w:val="21"/>
          <w:highlight w:val="yellow"/>
          <w:lang w:eastAsia="en-US"/>
        </w:rPr>
      </w:pPr>
    </w:p>
    <w:p w14:paraId="67856019"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af8"/>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af8"/>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af8"/>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Depending on the UE velocity and so on the proper length of frequency hopping and precoder cycling are different. Therefore, with this parameter, </w:t>
            </w:r>
            <w:r w:rsidRPr="00100607">
              <w:rPr>
                <w:rFonts w:eastAsia="MS Mincho"/>
                <w:bCs/>
                <w:sz w:val="21"/>
                <w:szCs w:val="21"/>
                <w:lang w:val="en-GB" w:eastAsia="ja-JP"/>
              </w:rPr>
              <w:lastRenderedPageBreak/>
              <w:t>we ensure to say "it can achieve the best performance for joint channel estimation".</w:t>
            </w:r>
          </w:p>
          <w:p w14:paraId="3078DADB" w14:textId="77777777" w:rsidR="00100607"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af8"/>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43" type="#_x0000_t75" style="width:258.05pt;height:340.85pt" o:ole="">
                  <v:imagedata r:id="rId57" o:title=""/>
                </v:shape>
                <o:OLEObject Type="Embed" ProgID="Visio.Drawing.11" ShapeID="_x0000_i1043" DrawAspect="Content" ObjectID="_1691329762"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Pr="004172D6">
              <w:rPr>
                <w:rFonts w:ascii="Times New Roman" w:eastAsia="MS Mincho" w:hAnsi="Times New Roman" w:cs="Times New Roman"/>
                <w:bCs/>
                <w:lang w:val="en-GB" w:eastAsia="ja-JP"/>
              </w:rPr>
              <w:t xml:space="preserve">"actual TDW" or "sub-window" in alt 2-C and alt 2-C', not for "nominal TDW" or "TDW"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1A2593" w:rsidRPr="006A5FB2" w14:paraId="78F4A693" w14:textId="77777777" w:rsidTr="00A6352D">
        <w:trPr>
          <w:trHeight w:val="409"/>
          <w:jc w:val="center"/>
        </w:trPr>
        <w:tc>
          <w:tcPr>
            <w:tcW w:w="1733" w:type="dxa"/>
            <w:shd w:val="clear" w:color="auto" w:fill="auto"/>
            <w:vAlign w:val="center"/>
          </w:tcPr>
          <w:p w14:paraId="69ED90CE" w14:textId="6A26A790" w:rsidR="001A2593" w:rsidRDefault="007319C5"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0573ACC" w14:textId="77777777" w:rsidR="007319C5" w:rsidRPr="007319C5" w:rsidRDefault="007319C5" w:rsidP="007319C5">
            <w:pPr>
              <w:widowControl/>
              <w:spacing w:after="0" w:line="240" w:lineRule="auto"/>
              <w:jc w:val="left"/>
              <w:rPr>
                <w:rFonts w:ascii="Times New Roman" w:hAnsi="Times New Roman" w:cs="Times New Roman"/>
                <w:bCs/>
                <w:lang w:val="en-GB"/>
              </w:rPr>
            </w:pPr>
            <w:r w:rsidRPr="007319C5">
              <w:rPr>
                <w:rFonts w:ascii="Times New Roman" w:eastAsia="Times New Roman" w:hAnsi="Times New Roman" w:cs="Times New Roman"/>
                <w:kern w:val="0"/>
                <w:szCs w:val="21"/>
                <w:lang w:eastAsia="en-US"/>
              </w:rPr>
              <w:t>@</w:t>
            </w:r>
            <w:r w:rsidRPr="007319C5">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9D91B2E" w14:textId="3D778EBC" w:rsidR="001A2593" w:rsidRPr="00A254B4" w:rsidRDefault="007319C5" w:rsidP="007319C5">
            <w:pPr>
              <w:rPr>
                <w:rFonts w:ascii="Times New Roman" w:hAnsi="Times New Roman" w:cs="Times New Roman"/>
                <w:bCs/>
                <w:lang w:val="en-GB"/>
              </w:rPr>
            </w:pPr>
            <w:r w:rsidRPr="007319C5">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038FB" w:rsidRPr="006A5FB2" w14:paraId="5E69E719" w14:textId="77777777" w:rsidTr="00A6352D">
        <w:trPr>
          <w:trHeight w:val="409"/>
          <w:jc w:val="center"/>
        </w:trPr>
        <w:tc>
          <w:tcPr>
            <w:tcW w:w="1733" w:type="dxa"/>
            <w:shd w:val="clear" w:color="auto" w:fill="auto"/>
            <w:vAlign w:val="center"/>
          </w:tcPr>
          <w:p w14:paraId="477E3098" w14:textId="50D270F3" w:rsidR="00C038FB" w:rsidRDefault="00C038FB" w:rsidP="00C40B0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F1B1E65" w14:textId="303BA084" w:rsidR="00C038FB" w:rsidRPr="00C038FB" w:rsidRDefault="00C038FB" w:rsidP="007319C5">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63182" w:rsidRPr="006A5FB2" w14:paraId="453BFCA1" w14:textId="77777777" w:rsidTr="00A6352D">
        <w:trPr>
          <w:trHeight w:val="409"/>
          <w:jc w:val="center"/>
        </w:trPr>
        <w:tc>
          <w:tcPr>
            <w:tcW w:w="1733" w:type="dxa"/>
            <w:shd w:val="clear" w:color="auto" w:fill="auto"/>
            <w:vAlign w:val="center"/>
          </w:tcPr>
          <w:p w14:paraId="5966853A" w14:textId="6916E6CE" w:rsidR="00463182" w:rsidRPr="00463182" w:rsidRDefault="00463182" w:rsidP="00463182">
            <w:pPr>
              <w:jc w:val="center"/>
              <w:rPr>
                <w:rFonts w:ascii="Times New Roman" w:hAnsi="Times New Roman" w:cs="Times New Roman" w:hint="eastAsia"/>
                <w:bCs/>
              </w:rPr>
            </w:pPr>
            <w:bookmarkStart w:id="11" w:name="_GoBack" w:colFirst="0" w:colLast="1"/>
            <w:r>
              <w:rPr>
                <w:rFonts w:ascii="Times New Roman" w:hAnsi="Times New Roman" w:cs="Times New Roman" w:hint="eastAsia"/>
                <w:bCs/>
              </w:rPr>
              <w:t>FL</w:t>
            </w:r>
          </w:p>
        </w:tc>
        <w:tc>
          <w:tcPr>
            <w:tcW w:w="7744" w:type="dxa"/>
            <w:shd w:val="clear" w:color="auto" w:fill="auto"/>
            <w:vAlign w:val="center"/>
          </w:tcPr>
          <w:p w14:paraId="2EA155E3" w14:textId="77777777" w:rsidR="00463182" w:rsidRDefault="00463182" w:rsidP="00463182">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sidRPr="00A254B4">
              <w:rPr>
                <w:rFonts w:ascii="Times New Roman" w:hAnsi="Times New Roman" w:cs="Times New Roman"/>
                <w:bCs/>
                <w:lang w:val="en-GB"/>
              </w:rPr>
              <w:t>precoder cycling</w:t>
            </w:r>
            <w:r>
              <w:rPr>
                <w:rFonts w:ascii="Times New Roman" w:hAnsi="Times New Roman" w:cs="Times New Roman"/>
                <w:bCs/>
                <w:lang w:val="en-GB"/>
              </w:rPr>
              <w:t xml:space="preserve"> can be deems as one kind of events for Alt 2-B.</w:t>
            </w:r>
          </w:p>
          <w:p w14:paraId="7E68B243" w14:textId="77777777" w:rsidR="00463182" w:rsidRDefault="00463182" w:rsidP="00463182">
            <w:pPr>
              <w:widowControl/>
              <w:spacing w:after="0" w:line="240" w:lineRule="auto"/>
              <w:jc w:val="left"/>
              <w:rPr>
                <w:rFonts w:ascii="Times New Roman" w:hAnsi="Times New Roman" w:cs="Times New Roman"/>
                <w:bCs/>
                <w:lang w:val="en-GB"/>
              </w:rPr>
            </w:pPr>
            <w:r w:rsidRPr="002049C2">
              <w:rPr>
                <w:rFonts w:ascii="Times New Roman" w:hAnsi="Times New Roman" w:cs="Times New Roman"/>
                <w:kern w:val="0"/>
                <w:szCs w:val="21"/>
              </w:rPr>
              <w:t xml:space="preserve">@Panasonic, Thanks for the further explanation! It seems you propose "window length L" </w:t>
            </w:r>
            <w:r>
              <w:rPr>
                <w:rFonts w:ascii="Times New Roman" w:hAnsi="Times New Roman" w:cs="Times New Roman"/>
                <w:kern w:val="0"/>
                <w:szCs w:val="21"/>
              </w:rPr>
              <w:t xml:space="preserve">plus </w:t>
            </w:r>
            <w:r w:rsidRPr="002049C2">
              <w:rPr>
                <w:rFonts w:ascii="Times New Roman" w:hAnsi="Times New Roman" w:cs="Times New Roman"/>
                <w:kern w:val="0"/>
                <w:szCs w:val="21"/>
              </w:rPr>
              <w:t>“TDW”, it is still 2-step, right? The only difference is the name of the terms. Regarding your previous comment “Whether the remaining slots in the window length L forms new TDW or not after some events</w:t>
            </w:r>
            <w:r w:rsidRPr="002B0E96">
              <w:rPr>
                <w:rFonts w:ascii="Times New Roman" w:hAnsi="Times New Roman" w:cs="Times New Roman"/>
                <w:kern w:val="0"/>
                <w:szCs w:val="21"/>
              </w:rPr>
              <w:t xml:space="preserve">”, it seems not clear why there are remaining slots in the window length? Is it still kind of window? In addition, how to handle “FFS </w:t>
            </w:r>
            <w:r>
              <w:rPr>
                <w:rFonts w:ascii="Times New Roman" w:hAnsi="Times New Roman" w:cs="Times New Roman"/>
                <w:kern w:val="0"/>
                <w:szCs w:val="21"/>
              </w:rPr>
              <w:t>the start of other TDWs</w:t>
            </w:r>
            <w:r>
              <w:rPr>
                <w:rFonts w:ascii="Times New Roman" w:hAnsi="Times New Roman" w:cs="Times New Roman"/>
                <w:bCs/>
                <w:lang w:val="en-GB"/>
              </w:rPr>
              <w:t>” for Alt 2-C’ using the term “window length L”? To address your concerns, maybe we can add notes for Alt 2-C’.</w:t>
            </w:r>
          </w:p>
          <w:p w14:paraId="118BBB83" w14:textId="77777777" w:rsidR="00463182" w:rsidRDefault="00463182" w:rsidP="00463182">
            <w:pPr>
              <w:widowControl/>
              <w:spacing w:after="0" w:line="240" w:lineRule="auto"/>
              <w:jc w:val="left"/>
              <w:rPr>
                <w:rFonts w:ascii="Times New Roman" w:hAnsi="Times New Roman" w:cs="Times New Roman"/>
                <w:bCs/>
                <w:i/>
                <w:lang w:val="en-GB"/>
              </w:rPr>
            </w:pPr>
            <w:r w:rsidRPr="007C4AB0">
              <w:rPr>
                <w:rFonts w:ascii="Times New Roman" w:hAnsi="Times New Roman" w:cs="Times New Roman"/>
                <w:bCs/>
                <w:i/>
                <w:lang w:val="en-GB"/>
              </w:rPr>
              <w:t>Note</w:t>
            </w:r>
            <w:r>
              <w:rPr>
                <w:rFonts w:ascii="Times New Roman" w:hAnsi="Times New Roman" w:cs="Times New Roman"/>
                <w:bCs/>
                <w:i/>
                <w:lang w:val="en-GB"/>
              </w:rPr>
              <w:t xml:space="preserve"> 1</w:t>
            </w:r>
            <w:r w:rsidRPr="007C4AB0">
              <w:rPr>
                <w:rFonts w:ascii="Times New Roman" w:hAnsi="Times New Roman" w:cs="Times New Roman"/>
                <w:bCs/>
                <w:i/>
                <w:lang w:val="en-GB"/>
              </w:rPr>
              <w:t xml:space="preserve">: </w:t>
            </w:r>
            <w:r>
              <w:rPr>
                <w:rFonts w:ascii="Times New Roman" w:hAnsi="Times New Roman" w:cs="Times New Roman"/>
                <w:bCs/>
                <w:i/>
                <w:lang w:val="en-GB"/>
              </w:rPr>
              <w:t xml:space="preserve">The term “time domain window” may need to be revised taking into account that </w:t>
            </w:r>
            <w:r w:rsidRPr="00FA2296">
              <w:rPr>
                <w:rFonts w:ascii="Times New Roman" w:hAnsi="Times New Roman" w:cs="Times New Roman"/>
                <w:bCs/>
                <w:i/>
                <w:lang w:val="en-GB"/>
              </w:rPr>
              <w:t xml:space="preserve">power consistency and phase continuity </w:t>
            </w:r>
            <w:r>
              <w:rPr>
                <w:rFonts w:ascii="Times New Roman" w:hAnsi="Times New Roman" w:cs="Times New Roman"/>
                <w:bCs/>
                <w:i/>
                <w:lang w:val="en-GB"/>
              </w:rPr>
              <w:t>may be</w:t>
            </w:r>
            <w:r w:rsidRPr="00FA2296">
              <w:rPr>
                <w:rFonts w:ascii="Times New Roman" w:hAnsi="Times New Roman" w:cs="Times New Roman"/>
                <w:bCs/>
                <w:i/>
                <w:lang w:val="en-GB"/>
              </w:rPr>
              <w:t xml:space="preserve"> violated</w:t>
            </w:r>
            <w:r>
              <w:rPr>
                <w:rFonts w:ascii="Times New Roman" w:hAnsi="Times New Roman" w:cs="Times New Roman"/>
                <w:bCs/>
                <w:i/>
                <w:lang w:val="en-GB"/>
              </w:rPr>
              <w:t xml:space="preserve"> due to certain events.</w:t>
            </w:r>
          </w:p>
          <w:p w14:paraId="38A55E24" w14:textId="77777777" w:rsidR="00463182" w:rsidRPr="007C4AB0" w:rsidRDefault="00463182" w:rsidP="00463182">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 xml:space="preserve">Note 2: </w:t>
            </w:r>
            <w:r w:rsidRPr="007C4AB0">
              <w:rPr>
                <w:rFonts w:ascii="Times New Roman" w:hAnsi="Times New Roman" w:cs="Times New Roman"/>
                <w:bCs/>
                <w:i/>
                <w:lang w:val="en-GB"/>
              </w:rPr>
              <w:t>The term “sub-window” needs to be defined.</w:t>
            </w:r>
          </w:p>
          <w:p w14:paraId="4D11F6F5" w14:textId="3B1964D8" w:rsidR="00463182" w:rsidRDefault="00463182" w:rsidP="00463182">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bookmarkEnd w:id="11"/>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w:t>
      </w:r>
      <w:r w:rsidRPr="00D411AB">
        <w:rPr>
          <w:rFonts w:ascii="Times New Roman" w:eastAsia="宋体" w:hAnsi="Times New Roman" w:cs="Times New Roman"/>
          <w:b/>
          <w:kern w:val="0"/>
          <w:szCs w:val="21"/>
          <w:highlight w:val="yellow"/>
          <w:lang w:eastAsia="en-US"/>
        </w:rPr>
        <w:t xml:space="preserve"> Based on companies’ comments, </w:t>
      </w:r>
      <w:r>
        <w:rPr>
          <w:rFonts w:ascii="Times New Roman" w:eastAsia="宋体" w:hAnsi="Times New Roman" w:cs="Times New Roman"/>
          <w:b/>
          <w:kern w:val="0"/>
          <w:szCs w:val="21"/>
          <w:highlight w:val="yellow"/>
          <w:lang w:eastAsia="en-US"/>
        </w:rPr>
        <w:t xml:space="preserve">the </w:t>
      </w:r>
      <w:r w:rsidRPr="00D411AB">
        <w:rPr>
          <w:rFonts w:ascii="Times New Roman" w:eastAsia="宋体" w:hAnsi="Times New Roman" w:cs="Times New Roman"/>
          <w:b/>
          <w:kern w:val="0"/>
          <w:szCs w:val="21"/>
          <w:highlight w:val="yellow"/>
          <w:lang w:eastAsia="en-US"/>
        </w:rPr>
        <w:t>fo</w:t>
      </w:r>
      <w:r>
        <w:rPr>
          <w:rFonts w:ascii="Times New Roman" w:eastAsia="宋体" w:hAnsi="Times New Roman" w:cs="Times New Roman"/>
          <w:b/>
          <w:kern w:val="0"/>
          <w:szCs w:val="21"/>
          <w:highlight w:val="yellow"/>
          <w:lang w:eastAsia="en-US"/>
        </w:rPr>
        <w:t>llowing observation</w:t>
      </w:r>
      <w:r w:rsidRPr="00D411AB">
        <w:rPr>
          <w:rFonts w:ascii="Times New Roman" w:eastAsia="宋体" w:hAnsi="Times New Roman" w:cs="Times New Roman"/>
          <w:b/>
          <w:kern w:val="0"/>
          <w:szCs w:val="21"/>
          <w:highlight w:val="yellow"/>
          <w:lang w:eastAsia="en-US"/>
        </w:rPr>
        <w:t xml:space="preserve"> can be drawn. </w:t>
      </w:r>
      <w:r w:rsidRPr="00E1214E">
        <w:rPr>
          <w:rFonts w:ascii="Times New Roman" w:eastAsia="宋体"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宋体" w:hAnsi="Times New Roman" w:cs="Times New Roman"/>
          <w:b/>
          <w:kern w:val="0"/>
          <w:szCs w:val="21"/>
          <w:highlight w:val="yellow"/>
          <w:lang w:eastAsia="en-US"/>
        </w:rPr>
        <w:t>Companies are encouraged to p</w:t>
      </w:r>
      <w:r>
        <w:rPr>
          <w:rFonts w:ascii="Times New Roman" w:eastAsia="宋体" w:hAnsi="Times New Roman" w:cs="Times New Roman"/>
          <w:b/>
          <w:kern w:val="0"/>
          <w:szCs w:val="21"/>
          <w:highlight w:val="yellow"/>
          <w:lang w:eastAsia="en-US"/>
        </w:rPr>
        <w:t>rovide views on the observation</w:t>
      </w:r>
      <w:r w:rsidRPr="00E1214E">
        <w:rPr>
          <w:rFonts w:ascii="Times New Roman" w:eastAsia="宋体"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af8"/>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af8"/>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af8"/>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w:t>
            </w:r>
            <w:r>
              <w:rPr>
                <w:rFonts w:ascii="Times New Roman" w:hAnsi="Times New Roman" w:cs="Times New Roman" w:hint="eastAsia"/>
                <w:bCs/>
              </w:rPr>
              <w:lastRenderedPageBreak/>
              <w:t>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MS Mincho" w:hAnsi="Times New Roman" w:cs="Times New Roman"/>
                <w:bCs/>
                <w:lang w:eastAsia="ja-JP"/>
              </w:rPr>
              <w:t>I</w:t>
            </w:r>
            <w:r w:rsidRPr="008F04B9">
              <w:rPr>
                <w:rFonts w:ascii="Times New Roman" w:eastAsia="MS Mincho"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FFB3CD2" w14:textId="36A29E7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w:t>
            </w:r>
            <w:r w:rsidRPr="00504652">
              <w:rPr>
                <w:rFonts w:ascii="Times New Roman" w:eastAsia="Malgun Gothic" w:hAnsi="Times New Roman" w:cs="Times New Roman"/>
                <w:bCs/>
                <w:lang w:eastAsia="ko-KR"/>
              </w:rPr>
              <w:t xml:space="preserve">match between DL and UL may occur in each carrier, </w:t>
            </w:r>
            <w:r>
              <w:rPr>
                <w:rFonts w:ascii="Times New Roman" w:eastAsia="Malgun Gothic" w:hAnsi="Times New Roman" w:cs="Times New Roman"/>
                <w:bCs/>
                <w:lang w:eastAsia="ko-KR"/>
              </w:rPr>
              <w:t>therefore</w:t>
            </w:r>
            <w:r w:rsidRPr="00504652">
              <w:rPr>
                <w:rFonts w:ascii="Times New Roman" w:eastAsia="Malgun Gothic" w:hAnsi="Times New Roman" w:cs="Times New Roman"/>
                <w:bCs/>
                <w:lang w:eastAsia="ko-KR"/>
              </w:rPr>
              <w:t xml:space="preserve"> UL coverage enhancement </w:t>
            </w:r>
            <w:r>
              <w:rPr>
                <w:rFonts w:ascii="Times New Roman" w:eastAsia="Malgun Gothic" w:hAnsi="Times New Roman" w:cs="Times New Roman"/>
                <w:bCs/>
                <w:lang w:eastAsia="ko-KR"/>
              </w:rPr>
              <w:t>can be</w:t>
            </w:r>
            <w:r w:rsidRPr="00504652">
              <w:rPr>
                <w:rFonts w:ascii="Times New Roman" w:eastAsia="Malgun Gothic" w:hAnsi="Times New Roman" w:cs="Times New Roman"/>
                <w:bCs/>
                <w:lang w:eastAsia="ko-KR"/>
              </w:rPr>
              <w:t xml:space="preserve"> performed in each carrier.</w:t>
            </w:r>
            <w:r>
              <w:rPr>
                <w:rFonts w:ascii="Times New Roman" w:eastAsia="Malgun Gothic" w:hAnsi="Times New Roman" w:cs="Times New Roman" w:hint="eastAsia"/>
                <w:bCs/>
                <w:lang w:eastAsia="ko-KR"/>
              </w:rPr>
              <w:t xml:space="preserve"> </w:t>
            </w:r>
            <w:r w:rsidRPr="001601CB">
              <w:rPr>
                <w:rFonts w:ascii="Times New Roman" w:eastAsia="Malgun Gothic" w:hAnsi="Times New Roman" w:cs="Times New Roman"/>
                <w:bCs/>
                <w:lang w:eastAsia="ko-KR"/>
              </w:rPr>
              <w:t xml:space="preserve">In addition, </w:t>
            </w:r>
            <w:r>
              <w:rPr>
                <w:rFonts w:ascii="Times New Roman" w:eastAsia="Malgun Gothic" w:hAnsi="Times New Roman" w:cs="Times New Roman"/>
                <w:bCs/>
                <w:lang w:eastAsia="ko-KR"/>
              </w:rPr>
              <w:t xml:space="preserve">we still see problem </w:t>
            </w:r>
            <w:r w:rsidRPr="001601CB">
              <w:rPr>
                <w:rFonts w:ascii="Times New Roman" w:eastAsia="Malgun Gothic" w:hAnsi="Times New Roman" w:cs="Times New Roman"/>
                <w:bCs/>
                <w:lang w:eastAsia="ko-KR"/>
              </w:rPr>
              <w:t>with respect to the above-mentioned scenario</w:t>
            </w:r>
            <w:r>
              <w:rPr>
                <w:rFonts w:ascii="Times New Roman" w:eastAsia="Malgun Gothic" w:hAnsi="Times New Roman" w:cs="Times New Roman"/>
                <w:bCs/>
                <w:lang w:eastAsia="ko-KR"/>
              </w:rPr>
              <w:t>s</w:t>
            </w:r>
            <w:r w:rsidRPr="001601CB">
              <w:rPr>
                <w:rFonts w:ascii="Times New Roman" w:eastAsia="Malgun Gothic" w:hAnsi="Times New Roman" w:cs="Times New Roman"/>
                <w:bCs/>
                <w:lang w:eastAsia="ko-KR"/>
              </w:rPr>
              <w:t xml:space="preserve">. However,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2"/>
        <w:spacing w:before="156" w:after="156"/>
        <w:rPr>
          <w:rFonts w:ascii="Arial" w:hAnsi="Arial" w:cs="Arial"/>
        </w:rPr>
      </w:pPr>
      <w:r>
        <w:rPr>
          <w:rFonts w:ascii="Arial" w:hAnsi="Arial" w:cs="Arial"/>
        </w:rPr>
        <w:t>6.3 Others</w:t>
      </w:r>
    </w:p>
    <w:p w14:paraId="4204B21A" w14:textId="77777777" w:rsidR="00836483" w:rsidRDefault="00836483" w:rsidP="00836483">
      <w:pPr>
        <w:pStyle w:val="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hint="eastAsia"/>
          <w:b/>
          <w:kern w:val="0"/>
          <w:szCs w:val="21"/>
          <w:highlight w:val="yellow"/>
          <w:lang w:eastAsia="en-US"/>
        </w:rPr>
        <w:t>F</w:t>
      </w:r>
      <w:r w:rsidRPr="00157A9B">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2006BB">
        <w:rPr>
          <w:rFonts w:ascii="Times New Roman" w:eastAsia="宋体"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af8"/>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af8"/>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 xml:space="preserve">, and within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larger than K symbols before the </w:t>
      </w:r>
      <w:r>
        <w:rPr>
          <w:rFonts w:ascii="Times New Roman" w:eastAsia="宋体" w:hAnsi="Times New Roman" w:cs="Times New Roman"/>
          <w:b/>
          <w:kern w:val="0"/>
          <w:szCs w:val="21"/>
          <w:highlight w:val="yellow"/>
          <w:lang w:eastAsia="en-US"/>
        </w:rPr>
        <w:t xml:space="preserve">start of one TDW, </w:t>
      </w:r>
      <w:r w:rsidRPr="0052438B">
        <w:rPr>
          <w:rFonts w:ascii="Times New Roman" w:eastAsia="宋体" w:hAnsi="Times New Roman" w:cs="Times New Roman"/>
          <w:b/>
          <w:kern w:val="0"/>
          <w:szCs w:val="21"/>
          <w:highlight w:val="yellow"/>
          <w:lang w:eastAsia="en-US"/>
        </w:rPr>
        <w:t xml:space="preserve">TPC commands takes effect at the beginning of the time domain </w:t>
      </w:r>
      <w:r w:rsidRPr="0052438B">
        <w:rPr>
          <w:rFonts w:ascii="Times New Roman" w:eastAsia="宋体" w:hAnsi="Times New Roman" w:cs="Times New Roman" w:hint="eastAsia"/>
          <w:b/>
          <w:kern w:val="0"/>
          <w:szCs w:val="21"/>
          <w:highlight w:val="yellow"/>
          <w:lang w:eastAsia="en-US"/>
        </w:rPr>
        <w:t>windo</w:t>
      </w:r>
      <w:r w:rsidRPr="0052438B">
        <w:rPr>
          <w:rFonts w:ascii="Times New Roman" w:eastAsia="宋体"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within K symbols before the </w:t>
      </w:r>
      <w:r>
        <w:rPr>
          <w:rFonts w:ascii="Times New Roman" w:eastAsia="宋体"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af8"/>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af8"/>
        <w:numPr>
          <w:ilvl w:val="0"/>
          <w:numId w:val="38"/>
        </w:numPr>
        <w:ind w:firstLineChars="0"/>
        <w:rPr>
          <w:sz w:val="21"/>
          <w:szCs w:val="21"/>
        </w:rPr>
      </w:pPr>
      <w:r w:rsidRPr="00157A9B">
        <w:rPr>
          <w:sz w:val="21"/>
          <w:szCs w:val="21"/>
        </w:rPr>
        <w:lastRenderedPageBreak/>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宋体" w:hAnsi="Times New Roman" w:cs="Times New Roman"/>
          <w:b/>
          <w:kern w:val="0"/>
          <w:szCs w:val="21"/>
          <w:highlight w:val="yellow"/>
        </w:rPr>
      </w:pPr>
      <w:r w:rsidRPr="00157A9B">
        <w:rPr>
          <w:rFonts w:ascii="Times New Roman" w:eastAsia="宋体" w:hAnsi="Times New Roman" w:cs="Times New Roman" w:hint="eastAsia"/>
          <w:b/>
          <w:kern w:val="0"/>
          <w:szCs w:val="21"/>
          <w:highlight w:val="yellow"/>
        </w:rPr>
        <w:t>P</w:t>
      </w:r>
      <w:r w:rsidRPr="00157A9B">
        <w:rPr>
          <w:rFonts w:ascii="Times New Roman" w:eastAsia="宋体" w:hAnsi="Times New Roman" w:cs="Times New Roman"/>
          <w:b/>
          <w:kern w:val="0"/>
          <w:szCs w:val="21"/>
          <w:highlight w:val="yellow"/>
        </w:rPr>
        <w:t xml:space="preserve">roposal: </w:t>
      </w:r>
    </w:p>
    <w:p w14:paraId="3268A5D0" w14:textId="77777777" w:rsidR="00836483" w:rsidRDefault="00836483" w:rsidP="00836483">
      <w:pPr>
        <w:pStyle w:val="af8"/>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af8"/>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af8"/>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af8"/>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af8"/>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Malgun Gothic" w:hAnsi="Times New Roman" w:cs="Times New Roman"/>
                <w:bCs/>
                <w:szCs w:val="21"/>
                <w:lang w:eastAsia="ko-KR"/>
              </w:rPr>
              <w:t xml:space="preserve">Generally fine with the proposal. To be accurate, we can add the condition that “when </w:t>
            </w:r>
            <w:r w:rsidRPr="00011837">
              <w:rPr>
                <w:rFonts w:ascii="Times New Roman" w:hAnsi="Times New Roman" w:cs="Times New Roman"/>
                <w:b/>
                <w:bCs/>
                <w:i/>
                <w:iCs/>
                <w:szCs w:val="21"/>
              </w:rPr>
              <w:t>tpc-Accumulation</w:t>
            </w:r>
            <w:r w:rsidRPr="00011837">
              <w:rPr>
                <w:rFonts w:ascii="Times New Roman" w:eastAsia="Malgun Gothic" w:hAnsi="Times New Roman" w:cs="Times New Roman"/>
                <w:bCs/>
                <w:szCs w:val="21"/>
                <w:lang w:eastAsia="ko-KR"/>
              </w:rPr>
              <w:t xml:space="preserve"> is enabled or absent” because that is the condition when UE accumulates the TPC command.</w:t>
            </w:r>
            <w:r w:rsidRPr="001601CB">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C038FB" w14:paraId="188262F5" w14:textId="77777777" w:rsidTr="00A6352D">
        <w:trPr>
          <w:trHeight w:val="409"/>
          <w:jc w:val="center"/>
        </w:trPr>
        <w:tc>
          <w:tcPr>
            <w:tcW w:w="1733" w:type="dxa"/>
            <w:shd w:val="clear" w:color="auto" w:fill="auto"/>
            <w:vAlign w:val="center"/>
          </w:tcPr>
          <w:p w14:paraId="299A37E8" w14:textId="71E87B86"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5F8BC9" w14:textId="4D672BB3" w:rsidR="00C038FB" w:rsidRPr="00C038FB" w:rsidRDefault="00C038FB" w:rsidP="007A2FC9">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E8335D" w14:paraId="7C62A007" w14:textId="77777777" w:rsidTr="00A6352D">
        <w:trPr>
          <w:trHeight w:val="409"/>
          <w:jc w:val="center"/>
        </w:trPr>
        <w:tc>
          <w:tcPr>
            <w:tcW w:w="1733" w:type="dxa"/>
            <w:shd w:val="clear" w:color="auto" w:fill="auto"/>
            <w:vAlign w:val="center"/>
          </w:tcPr>
          <w:p w14:paraId="257C00A4" w14:textId="3CD52CA8" w:rsidR="00E8335D" w:rsidRDefault="00E8335D" w:rsidP="00E8335D">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91EF635" w14:textId="77777777" w:rsidR="00E8335D" w:rsidRDefault="00E8335D" w:rsidP="00E8335D">
            <w:pPr>
              <w:rPr>
                <w:rFonts w:ascii="Times New Roman" w:hAnsi="Times New Roman" w:cs="Times New Roman"/>
                <w:bCs/>
              </w:rPr>
            </w:pPr>
            <w:r>
              <w:rPr>
                <w:rFonts w:ascii="Times New Roman" w:hAnsi="Times New Roman" w:cs="Times New Roman"/>
                <w:bCs/>
              </w:rPr>
              <w:t>Support the Alt 2. And do not support to introduce the new defined K.</w:t>
            </w:r>
          </w:p>
          <w:p w14:paraId="213153A5" w14:textId="13D82C8B" w:rsidR="00E8335D" w:rsidRDefault="00E8335D" w:rsidP="00E8335D">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CA0F18">
        <w:rPr>
          <w:rFonts w:ascii="Times New Roman" w:eastAsia="宋体"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af8"/>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af8"/>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af8"/>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af8"/>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038FB" w14:paraId="4A7B0A18" w14:textId="77777777" w:rsidTr="00A6352D">
        <w:trPr>
          <w:trHeight w:val="409"/>
          <w:jc w:val="center"/>
        </w:trPr>
        <w:tc>
          <w:tcPr>
            <w:tcW w:w="1733" w:type="dxa"/>
            <w:shd w:val="clear" w:color="auto" w:fill="auto"/>
            <w:vAlign w:val="center"/>
          </w:tcPr>
          <w:p w14:paraId="1B09992C" w14:textId="6703B1EA"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460001" w14:textId="799C3AD3" w:rsidR="00C038FB" w:rsidRPr="00C038FB" w:rsidRDefault="00C038FB" w:rsidP="007A2FC9">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BA5DE8" w14:paraId="0F5B5CCF" w14:textId="77777777" w:rsidTr="00A6352D">
        <w:trPr>
          <w:trHeight w:val="409"/>
          <w:jc w:val="center"/>
        </w:trPr>
        <w:tc>
          <w:tcPr>
            <w:tcW w:w="1733" w:type="dxa"/>
            <w:shd w:val="clear" w:color="auto" w:fill="auto"/>
            <w:vAlign w:val="center"/>
          </w:tcPr>
          <w:p w14:paraId="1FF6C1C7" w14:textId="169E95E4" w:rsidR="00BA5DE8" w:rsidRDefault="00BA5DE8" w:rsidP="00BA5DE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74AE9B" w14:textId="5CE90C6A" w:rsidR="00BA5DE8" w:rsidRDefault="00BA5DE8" w:rsidP="00BA5DE8">
            <w:pPr>
              <w:rPr>
                <w:rFonts w:ascii="Times New Roman" w:hAnsi="Times New Roman" w:cs="Times New Roman"/>
                <w:bCs/>
              </w:rPr>
            </w:pPr>
            <w:r>
              <w:rPr>
                <w:rFonts w:ascii="Times New Roman" w:hAnsi="Times New Roman" w:cs="Times New Roman"/>
                <w:bCs/>
              </w:rPr>
              <w:t>Support the main bullet.</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lastRenderedPageBreak/>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8"/>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af8"/>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af8"/>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等线"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lastRenderedPageBreak/>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等线"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C24CA00"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af8"/>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af8"/>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8"/>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af8"/>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2478F3B7" w14:textId="77777777" w:rsidR="002D34FC" w:rsidRDefault="007B5577">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宋体"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af8"/>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8"/>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af8"/>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8"/>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af8"/>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8"/>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8"/>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8"/>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af8"/>
        <w:numPr>
          <w:ilvl w:val="1"/>
          <w:numId w:val="10"/>
        </w:numPr>
        <w:adjustRightInd/>
        <w:spacing w:line="252" w:lineRule="auto"/>
        <w:ind w:firstLineChars="0"/>
        <w:rPr>
          <w:sz w:val="21"/>
          <w:szCs w:val="21"/>
        </w:rPr>
      </w:pPr>
      <w:r>
        <w:rPr>
          <w:sz w:val="21"/>
          <w:szCs w:val="21"/>
        </w:rPr>
        <w:lastRenderedPageBreak/>
        <w:t>Simulations results</w:t>
      </w:r>
    </w:p>
    <w:p w14:paraId="1CEFA253"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8"/>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af8"/>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8"/>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2"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2"/>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3" w:name="_Ref76651243"/>
      <w:bookmarkStart w:id="14"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3GPP R1-2009784, “LS on PUCCH and PUSCH repetition”, Qualcomm, RAN1#103-e, October 26th – November 13th, 2020.</w:t>
      </w:r>
      <w:bookmarkEnd w:id="14"/>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5"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15"/>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16"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6"/>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7"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7"/>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18"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8"/>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2B2E5" w14:textId="77777777" w:rsidR="00955D58" w:rsidRDefault="00955D58" w:rsidP="008B642E">
      <w:pPr>
        <w:spacing w:after="0" w:line="240" w:lineRule="auto"/>
      </w:pPr>
      <w:r>
        <w:separator/>
      </w:r>
    </w:p>
  </w:endnote>
  <w:endnote w:type="continuationSeparator" w:id="0">
    <w:p w14:paraId="20A282BD" w14:textId="77777777" w:rsidR="00955D58" w:rsidRDefault="00955D58"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17239" w14:textId="77777777" w:rsidR="00955D58" w:rsidRDefault="00955D58" w:rsidP="008B642E">
      <w:pPr>
        <w:spacing w:after="0" w:line="240" w:lineRule="auto"/>
      </w:pPr>
      <w:r>
        <w:separator/>
      </w:r>
    </w:p>
  </w:footnote>
  <w:footnote w:type="continuationSeparator" w:id="0">
    <w:p w14:paraId="64246DA7" w14:textId="77777777" w:rsidR="00955D58" w:rsidRDefault="00955D58"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宋体" w:eastAsia="宋体" w:hAnsi="宋体"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3">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9"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D408A3A-4209-451D-8E41-216D240C8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122</Pages>
  <Words>39588</Words>
  <Characters>225656</Characters>
  <Application>Microsoft Office Word</Application>
  <DocSecurity>0</DocSecurity>
  <Lines>1880</Lines>
  <Paragraphs>529</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264715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3</cp:revision>
  <cp:lastPrinted>2021-04-15T03:16:00Z</cp:lastPrinted>
  <dcterms:created xsi:type="dcterms:W3CDTF">2021-08-24T08:56:00Z</dcterms:created>
  <dcterms:modified xsi:type="dcterms:W3CDTF">2021-08-24T08:58:00Z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