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bookmarkStart w:id="0" w:name="_GoBack"/>
      <w:bookmarkEnd w:id="0"/>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1" w:name="OLE_LINK5"/>
      <w:bookmarkStart w:id="2" w:name="OLE_LINK8"/>
      <w:r>
        <w:rPr>
          <w:rFonts w:ascii="Arial" w:eastAsia="Arial" w:hAnsi="Arial" w:cs="Arial"/>
          <w:sz w:val="36"/>
          <w:szCs w:val="20"/>
          <w:lang w:val="en-GB"/>
        </w:rPr>
        <w:t xml:space="preserve"> </w:t>
      </w:r>
      <w:bookmarkStart w:id="3" w:name="_Ref68251440"/>
      <w:r>
        <w:rPr>
          <w:rFonts w:ascii="Arial" w:eastAsia="Arial" w:hAnsi="Arial" w:cs="Arial"/>
          <w:sz w:val="36"/>
          <w:szCs w:val="20"/>
          <w:lang w:val="en-GB"/>
        </w:rPr>
        <w:t>Introduction</w:t>
      </w:r>
      <w:bookmarkEnd w:id="3"/>
    </w:p>
    <w:bookmarkEnd w:id="1"/>
    <w:bookmarkEnd w:id="2"/>
    <w:p w14:paraId="2071A080" w14:textId="77777777" w:rsidR="002D34FC" w:rsidRDefault="007B5577">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1"/>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1"/>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4" w:name="_Hlk72760953"/>
    </w:p>
    <w:p w14:paraId="5CC0BEAD"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4"/>
    </w:p>
    <w:p w14:paraId="695FC797"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6"/>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a6"/>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1"/>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6"/>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a6"/>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6"/>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30823"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75pt;mso-width-percent:0;mso-height-percent:0;mso-width-percent:0;mso-height-percent:0" o:ole="">
            <v:imagedata r:id="rId18" o:title=""/>
          </v:shape>
          <o:OLEObject Type="Embed" ProgID="Visio.Drawing.11" ShapeID="_x0000_i1026" DrawAspect="Content" ObjectID="_1691330824"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30825"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30826"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75pt;mso-width-percent:0;mso-height-percent:0;mso-width-percent:0;mso-height-percent:0" o:ole="">
            <v:imagedata r:id="rId24" o:title=""/>
          </v:shape>
          <o:OLEObject Type="Embed" ProgID="Visio.Drawing.11" ShapeID="_x0000_i1029" DrawAspect="Content" ObjectID="_1691330827"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1"/>
              <w:numPr>
                <w:ilvl w:val="1"/>
                <w:numId w:val="20"/>
              </w:numPr>
              <w:spacing w:after="0"/>
              <w:ind w:firstLineChars="0"/>
              <w:rPr>
                <w:sz w:val="21"/>
                <w:szCs w:val="21"/>
              </w:rPr>
            </w:pPr>
            <w:r>
              <w:rPr>
                <w:rFonts w:hint="eastAsia"/>
                <w:sz w:val="21"/>
                <w:szCs w:val="21"/>
                <w:lang w:eastAsia="zh-CN"/>
              </w:rPr>
              <w:t xml:space="preserve">Xiaomi, </w:t>
            </w:r>
          </w:p>
          <w:p w14:paraId="07CE46A8"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1"/>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14:paraId="7FD6A86A"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1"/>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6"/>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바탕" w:hAnsi="Times New Roman" w:cs="Times New Roman"/>
          <w:noProof/>
          <w:kern w:val="0"/>
          <w:sz w:val="20"/>
          <w:szCs w:val="20"/>
          <w:lang w:eastAsia="ko-KR"/>
        </w:rPr>
        <w:object w:dxaOrig="9780" w:dyaOrig="1940" w14:anchorId="34EFF948">
          <v:shape id="_x0000_i1030" type="#_x0000_t75" alt="" style="width:489pt;height:97.15pt;mso-width-percent:0;mso-height-percent:0;mso-width-percent:0;mso-height-percent:0" o:ole="">
            <v:imagedata r:id="rId29" o:title=""/>
          </v:shape>
          <o:OLEObject Type="Embed" ProgID="Visio.Drawing.15" ShapeID="_x0000_i1030" DrawAspect="Content" ObjectID="_1691330828"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6.9pt;height:100.15pt;mso-width-percent:0;mso-height-percent:0;mso-width-percent:0;mso-height-percent:0" o:ole="">
            <v:imagedata r:id="rId32" o:title=""/>
          </v:shape>
          <o:OLEObject Type="Embed" ProgID="Visio.Drawing.15" ShapeID="_x0000_i1031" DrawAspect="Content" ObjectID="_1691330829"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5" w:name="OLE_LINK122"/>
      <w:bookmarkStart w:id="6" w:name="OLE_LINK121"/>
      <w:r>
        <w:rPr>
          <w:rFonts w:ascii="Times New Roman" w:hAnsi="Times New Roman" w:cs="Times New Roman"/>
          <w:lang w:val="en-GB"/>
        </w:rPr>
        <w:t>maintain power consistency and phase continuity</w:t>
      </w:r>
      <w:bookmarkEnd w:id="5"/>
      <w:bookmarkEnd w:id="6"/>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7" w:name="OLE_LINK77"/>
      <w:bookmarkStart w:id="8" w:name="OLE_LINK76"/>
      <w:r>
        <w:rPr>
          <w:rFonts w:ascii="Times New Roman" w:hAnsi="Times New Roman" w:cs="Times New Roman"/>
          <w:lang w:val="en-GB"/>
        </w:rPr>
        <w:t xml:space="preserve">some optimization of power control adjustment mechanism for joint channel estimation </w:t>
      </w:r>
      <w:bookmarkStart w:id="9" w:name="OLE_LINK79"/>
      <w:bookmarkStart w:id="10" w:name="OLE_LINK78"/>
      <w:r>
        <w:rPr>
          <w:rFonts w:ascii="Times New Roman" w:hAnsi="Times New Roman" w:cs="Times New Roman"/>
          <w:lang w:val="en-GB"/>
        </w:rPr>
        <w:t>may</w:t>
      </w:r>
      <w:bookmarkEnd w:id="7"/>
      <w:r>
        <w:rPr>
          <w:rFonts w:ascii="Times New Roman" w:hAnsi="Times New Roman" w:cs="Times New Roman"/>
          <w:lang w:val="en-GB"/>
        </w:rPr>
        <w:t xml:space="preserve"> be necessary.</w:t>
      </w:r>
      <w:bookmarkEnd w:id="8"/>
      <w:bookmarkEnd w:id="9"/>
      <w:bookmarkEnd w:id="10"/>
      <w:r>
        <w:rPr>
          <w:rFonts w:ascii="Times New Roman" w:hAnsi="Times New Roman" w:cs="Times New Roman"/>
          <w:lang w:val="en-GB"/>
        </w:rPr>
        <w:t xml:space="preserve"> The followi</w:t>
      </w:r>
      <w:bookmarkStart w:id="11"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1"/>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9pt;height:148.9pt;mso-width-percent:0;mso-height-percent:0;mso-width-percent:0;mso-height-percent:0" o:ole="">
            <v:imagedata r:id="rId35" o:title=""/>
          </v:shape>
          <o:OLEObject Type="Embed" ProgID="Visio.Drawing.15" ShapeID="_x0000_i1032" DrawAspect="Content" ObjectID="_1691330830"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맑은 고딕"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5778B58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맑은 고딕"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6E83DC17" w14:textId="77777777" w:rsidR="002D34FC" w:rsidRDefault="007B5577">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77A3876D" w14:textId="77777777" w:rsidR="002D34FC" w:rsidRDefault="007B5577">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05867DB0" w14:textId="77777777" w:rsidR="002D34FC" w:rsidRDefault="007B5577">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맑은 고딕"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맑은 고딕"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87CDB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8202941"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1"/>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1B0A58F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1"/>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9pt;mso-width-percent:0;mso-height-percent:0;mso-width-percent:0;mso-height-percent:0" o:ole="">
            <v:imagedata r:id="rId39" o:title=""/>
          </v:shape>
          <o:OLEObject Type="Embed" ProgID="Visio.Drawing.11" ShapeID="_x0000_i1033" DrawAspect="Content" ObjectID="_1691330831" r:id="rId40"/>
        </w:object>
      </w:r>
    </w:p>
    <w:p w14:paraId="041C73DD" w14:textId="77777777" w:rsidR="002D34FC" w:rsidRDefault="004522A6">
      <w:pPr>
        <w:jc w:val="center"/>
      </w:pPr>
      <w:r>
        <w:rPr>
          <w:noProof/>
        </w:rPr>
        <w:object w:dxaOrig="6860" w:dyaOrig="6290" w14:anchorId="1D6BD28D">
          <v:shape id="_x0000_i1034" type="#_x0000_t75" alt="" style="width:342.75pt;height:313.9pt;mso-width-percent:0;mso-height-percent:0;mso-width-percent:0;mso-height-percent:0" o:ole="">
            <v:imagedata r:id="rId41" o:title=""/>
          </v:shape>
          <o:OLEObject Type="Embed" ProgID="Visio.Drawing.11" ShapeID="_x0000_i1034" DrawAspect="Content" ObjectID="_1691330832" r:id="rId42"/>
        </w:object>
      </w:r>
    </w:p>
    <w:p w14:paraId="52959F5B" w14:textId="77777777" w:rsidR="002D34FC" w:rsidRDefault="004522A6">
      <w:pPr>
        <w:jc w:val="center"/>
      </w:pPr>
      <w:r>
        <w:rPr>
          <w:noProof/>
        </w:rPr>
        <w:object w:dxaOrig="6970" w:dyaOrig="5180" w14:anchorId="4C791A34">
          <v:shape id="_x0000_i1035" type="#_x0000_t75" alt="" style="width:348.4pt;height:258pt;mso-width-percent:0;mso-height-percent:0;mso-width-percent:0;mso-height-percent:0" o:ole="">
            <v:imagedata r:id="rId43" o:title=""/>
          </v:shape>
          <o:OLEObject Type="Embed" ProgID="Visio.Drawing.11" ShapeID="_x0000_i1035" DrawAspect="Content" ObjectID="_1691330833"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맑은 고딕"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맑은 고딕" w:hAnsi="Times New Roman" w:cs="Times New Roman"/>
                <w:lang w:val="es-US" w:eastAsia="ko-KR"/>
              </w:rPr>
              <w:t xml:space="preserve">WILUS, Ericsson, Sharp, </w:t>
            </w:r>
            <w:r w:rsidRPr="000F65BF">
              <w:rPr>
                <w:rFonts w:ascii="Times New Roman" w:hAnsi="Times New Roman" w:cs="Times New Roman"/>
                <w:bCs/>
                <w:lang w:val="en-GB"/>
              </w:rPr>
              <w:t xml:space="preserve">Sierra Wireless, vivo, TCL, CATT, </w:t>
            </w:r>
            <w:r w:rsidRPr="000F65BF">
              <w:rPr>
                <w:rFonts w:ascii="Times New Roman" w:eastAsia="맑은 고딕"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30834"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1"/>
              <w:ind w:firstLineChars="0" w:firstLine="0"/>
              <w:rPr>
                <w:bCs/>
                <w:sz w:val="20"/>
                <w:szCs w:val="20"/>
                <w:lang w:eastAsia="zh-CN"/>
              </w:rPr>
            </w:pPr>
          </w:p>
          <w:p w14:paraId="044CF341" w14:textId="77777777" w:rsidR="002D34FC" w:rsidRDefault="007B5577">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1"/>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1"/>
              <w:ind w:firstLineChars="0" w:firstLine="0"/>
              <w:rPr>
                <w:bCs/>
                <w:sz w:val="20"/>
                <w:szCs w:val="20"/>
              </w:rPr>
            </w:pPr>
            <w:r>
              <w:rPr>
                <w:rFonts w:eastAsia="맑은 고딕"/>
                <w:bCs/>
                <w:lang w:val="en-GB" w:eastAsia="ko-KR"/>
              </w:rPr>
              <w:t>Regarding the event, we are aligned with Nokia that t</w:t>
            </w:r>
            <w:r w:rsidRPr="00B66DDF">
              <w:rPr>
                <w:rFonts w:eastAsia="맑은 고딕"/>
                <w:bCs/>
                <w:lang w:val="en-GB" w:eastAsia="ko-KR"/>
              </w:rPr>
              <w:t>he notion of “events that break phase continuity and power consistency” is needed in all alternatives</w:t>
            </w:r>
            <w:r>
              <w:rPr>
                <w:rFonts w:eastAsia="맑은 고딕"/>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294B6D8" w14:textId="472A002C" w:rsidR="00D14577" w:rsidRDefault="00D14577" w:rsidP="00D14577">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맑은 고딕"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바탕"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바탕" w:hAnsi="Times New Roman" w:cs="Times New Roman"/>
                <w:kern w:val="0"/>
                <w:szCs w:val="21"/>
                <w:lang w:val="en-GB"/>
              </w:rPr>
              <w:t>the power consistency and phase continuity are violated due to an</w:t>
            </w:r>
            <w:r w:rsidRPr="00826234">
              <w:rPr>
                <w:rFonts w:ascii="Times New Roman" w:eastAsia="바탕" w:hAnsi="Times New Roman" w:cs="Times New Roman"/>
                <w:color w:val="FF0000"/>
                <w:kern w:val="0"/>
                <w:szCs w:val="21"/>
                <w:lang w:val="en-GB"/>
              </w:rPr>
              <w:t xml:space="preserve"> </w:t>
            </w:r>
            <w:r w:rsidRPr="00826234">
              <w:rPr>
                <w:rFonts w:ascii="Times New Roman" w:eastAsia="바탕"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바탕" w:hAnsi="Times New Roman" w:cs="Times New Roman"/>
                <w:kern w:val="0"/>
                <w:szCs w:val="21"/>
                <w:lang w:val="en-GB"/>
              </w:rPr>
              <w:t xml:space="preserve">, </w:t>
            </w:r>
            <w:r w:rsidRPr="00826234">
              <w:rPr>
                <w:rFonts w:ascii="Times New Roman" w:eastAsia="바탕"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53D9A">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sidRPr="00C9360B">
              <w:rPr>
                <w:rFonts w:ascii="Times New Roman" w:eastAsia="바탕"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9360B">
              <w:rPr>
                <w:rFonts w:ascii="Times New Roman" w:eastAsia="바탕"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65pt;height:297pt" o:ole="">
                  <v:imagedata r:id="rId48" o:title=""/>
                </v:shape>
                <o:OLEObject Type="Embed" ProgID="Visio.Drawing.11" ShapeID="_x0000_i1037" DrawAspect="Content" ObjectID="_1691330835"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15pt" o:ole="">
                  <v:imagedata r:id="rId50" o:title=""/>
                </v:shape>
                <o:OLEObject Type="Embed" ProgID="Visio.Drawing.11" ShapeID="_x0000_i1038" DrawAspect="Content" ObjectID="_1691330836"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5pt;height:280.9pt" o:ole="">
                  <v:imagedata r:id="rId52" o:title=""/>
                </v:shape>
                <o:OLEObject Type="Embed" ProgID="Visio.Drawing.11" ShapeID="_x0000_i1039" DrawAspect="Content" ObjectID="_1691330837"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sidRPr="006A430A">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sidRPr="006A430A">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1"/>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72E1182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1"/>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1"/>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sidRPr="00B95114">
        <w:rPr>
          <w:rFonts w:ascii="Times New Roman" w:eastAsia="바탕" w:hAnsi="Times New Roman" w:cs="Times New Roman"/>
          <w:kern w:val="0"/>
          <w:szCs w:val="21"/>
          <w:lang w:val="en-GB"/>
        </w:rPr>
        <w:t>the TDW exceeds t</w:t>
      </w:r>
      <w:r w:rsidRPr="00B95114">
        <w:rPr>
          <w:rFonts w:ascii="Times New Roman" w:eastAsia="바탕" w:hAnsi="Times New Roman" w:cs="Times New Roman" w:hint="eastAsia"/>
          <w:kern w:val="0"/>
          <w:szCs w:val="21"/>
          <w:lang w:val="en-GB"/>
        </w:rPr>
        <w:t>he maximum duration</w:t>
      </w:r>
      <w:r w:rsidRPr="00B95114">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sidRPr="00C9360B">
        <w:rPr>
          <w:rFonts w:ascii="Times New Roman" w:eastAsia="바탕"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9360B">
        <w:rPr>
          <w:rFonts w:ascii="Times New Roman" w:eastAsia="바탕"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65pt;height:297pt" o:ole="">
            <v:imagedata r:id="rId48" o:title=""/>
          </v:shape>
          <o:OLEObject Type="Embed" ProgID="Visio.Drawing.11" ShapeID="_x0000_i1040" DrawAspect="Content" ObjectID="_1691330838"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15pt" o:ole="">
            <v:imagedata r:id="rId50" o:title=""/>
          </v:shape>
          <o:OLEObject Type="Embed" ProgID="Visio.Drawing.11" ShapeID="_x0000_i1041" DrawAspect="Content" ObjectID="_1691330839"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5pt;height:280.9pt" o:ole="">
            <v:imagedata r:id="rId52" o:title=""/>
          </v:shape>
          <o:OLEObject Type="Embed" ProgID="Visio.Drawing.11" ShapeID="_x0000_i1042" DrawAspect="Content" ObjectID="_1691330840"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a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eastAsia="맑은 고딕"/>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바탕"/>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바탕"/>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맑은 고딕"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맑은 고딕"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맑은 고딕"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6A09AD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7.65pt;height:340.9pt" o:ole="">
                  <v:imagedata r:id="rId57" o:title=""/>
                </v:shape>
                <o:OLEObject Type="Embed" ProgID="Visio.Drawing.11" ShapeID="_x0000_i1043" DrawAspect="Content" ObjectID="_1691330841"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1"/>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1"/>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1"/>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DC under uplink shortage is feasible scenario. Considering DC is configured and coverage mis</w:t>
            </w:r>
            <w:r w:rsidRPr="00504652">
              <w:rPr>
                <w:rFonts w:ascii="Times New Roman" w:eastAsia="맑은 고딕" w:hAnsi="Times New Roman" w:cs="Times New Roman"/>
                <w:bCs/>
                <w:lang w:eastAsia="ko-KR"/>
              </w:rPr>
              <w:t xml:space="preserve">match between DL and UL may occur in each carrier, </w:t>
            </w:r>
            <w:r>
              <w:rPr>
                <w:rFonts w:ascii="Times New Roman" w:eastAsia="맑은 고딕" w:hAnsi="Times New Roman" w:cs="Times New Roman"/>
                <w:bCs/>
                <w:lang w:eastAsia="ko-KR"/>
              </w:rPr>
              <w:t>therefore</w:t>
            </w:r>
            <w:r w:rsidRPr="00504652">
              <w:rPr>
                <w:rFonts w:ascii="Times New Roman" w:eastAsia="맑은 고딕" w:hAnsi="Times New Roman" w:cs="Times New Roman"/>
                <w:bCs/>
                <w:lang w:eastAsia="ko-KR"/>
              </w:rPr>
              <w:t xml:space="preserve"> UL coverage enhancement </w:t>
            </w:r>
            <w:r>
              <w:rPr>
                <w:rFonts w:ascii="Times New Roman" w:eastAsia="맑은 고딕" w:hAnsi="Times New Roman" w:cs="Times New Roman"/>
                <w:bCs/>
                <w:lang w:eastAsia="ko-KR"/>
              </w:rPr>
              <w:t>can be</w:t>
            </w:r>
            <w:r w:rsidRPr="00504652">
              <w:rPr>
                <w:rFonts w:ascii="Times New Roman" w:eastAsia="맑은 고딕" w:hAnsi="Times New Roman" w:cs="Times New Roman"/>
                <w:bCs/>
                <w:lang w:eastAsia="ko-KR"/>
              </w:rPr>
              <w:t xml:space="preserve"> performed in each carrier.</w:t>
            </w:r>
            <w:r>
              <w:rPr>
                <w:rFonts w:ascii="Times New Roman" w:eastAsia="맑은 고딕" w:hAnsi="Times New Roman" w:cs="Times New Roman" w:hint="eastAsia"/>
                <w:bCs/>
                <w:lang w:eastAsia="ko-KR"/>
              </w:rPr>
              <w:t xml:space="preserve"> </w:t>
            </w:r>
            <w:r w:rsidRPr="001601CB">
              <w:rPr>
                <w:rFonts w:ascii="Times New Roman" w:eastAsia="맑은 고딕" w:hAnsi="Times New Roman" w:cs="Times New Roman"/>
                <w:bCs/>
                <w:lang w:eastAsia="ko-KR"/>
              </w:rPr>
              <w:t xml:space="preserve">In addition, </w:t>
            </w:r>
            <w:r>
              <w:rPr>
                <w:rFonts w:ascii="Times New Roman" w:eastAsia="맑은 고딕" w:hAnsi="Times New Roman" w:cs="Times New Roman"/>
                <w:bCs/>
                <w:lang w:eastAsia="ko-KR"/>
              </w:rPr>
              <w:t xml:space="preserve">we still see problem </w:t>
            </w:r>
            <w:r w:rsidRPr="001601CB">
              <w:rPr>
                <w:rFonts w:ascii="Times New Roman" w:eastAsia="맑은 고딕" w:hAnsi="Times New Roman" w:cs="Times New Roman"/>
                <w:bCs/>
                <w:lang w:eastAsia="ko-KR"/>
              </w:rPr>
              <w:t>with respect to the above-mentioned scenario</w:t>
            </w:r>
            <w:r>
              <w:rPr>
                <w:rFonts w:ascii="Times New Roman" w:eastAsia="맑은 고딕" w:hAnsi="Times New Roman" w:cs="Times New Roman"/>
                <w:bCs/>
                <w:lang w:eastAsia="ko-KR"/>
              </w:rPr>
              <w:t>s</w:t>
            </w:r>
            <w:r w:rsidRPr="001601CB">
              <w:rPr>
                <w:rFonts w:ascii="Times New Roman" w:eastAsia="맑은 고딕" w:hAnsi="Times New Roman" w:cs="Times New Roman"/>
                <w:bCs/>
                <w:lang w:eastAsia="ko-KR"/>
              </w:rPr>
              <w:t xml:space="preserve">. However, </w:t>
            </w:r>
            <w:r>
              <w:rPr>
                <w:rFonts w:ascii="Times New Roman" w:eastAsia="맑은 고딕" w:hAnsi="Times New Roman" w:cs="Times New Roman"/>
                <w:bCs/>
                <w:lang w:eastAsia="ko-KR"/>
              </w:rPr>
              <w:t xml:space="preserve">since </w:t>
            </w:r>
            <w:r w:rsidRPr="001601CB">
              <w:rPr>
                <w:rFonts w:ascii="Times New Roman" w:eastAsia="맑은 고딕" w:hAnsi="Times New Roman" w:cs="Times New Roman"/>
                <w:bCs/>
                <w:lang w:eastAsia="ko-KR"/>
              </w:rPr>
              <w:t xml:space="preserve">the current </w:t>
            </w:r>
            <w:r>
              <w:rPr>
                <w:rFonts w:ascii="Times New Roman" w:eastAsia="맑은 고딕" w:hAnsi="Times New Roman" w:cs="Times New Roman"/>
                <w:bCs/>
                <w:lang w:eastAsia="ko-KR"/>
              </w:rPr>
              <w:t>single/multiple time domain window</w:t>
            </w:r>
            <w:r w:rsidRPr="001601CB">
              <w:rPr>
                <w:rFonts w:ascii="Times New Roman" w:eastAsia="맑은 고딕" w:hAnsi="Times New Roman" w:cs="Times New Roman"/>
                <w:bCs/>
                <w:lang w:eastAsia="ko-KR"/>
              </w:rPr>
              <w:t xml:space="preserve"> design </w:t>
            </w:r>
            <w:r>
              <w:rPr>
                <w:rFonts w:ascii="Times New Roman" w:eastAsia="맑은 고딕" w:hAnsi="Times New Roman" w:cs="Times New Roman"/>
                <w:bCs/>
                <w:lang w:eastAsia="ko-KR"/>
              </w:rPr>
              <w:t xml:space="preserve">in 6.2.1 </w:t>
            </w:r>
            <w:r w:rsidRPr="001601CB">
              <w:rPr>
                <w:rFonts w:ascii="Times New Roman" w:eastAsia="맑은 고딕"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1"/>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1"/>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af1"/>
        <w:numPr>
          <w:ilvl w:val="0"/>
          <w:numId w:val="66"/>
        </w:numPr>
        <w:tabs>
          <w:tab w:val="left" w:pos="1701"/>
        </w:tabs>
        <w:spacing w:line="240" w:lineRule="auto"/>
        <w:ind w:firstLineChars="0"/>
        <w:rPr>
          <w:rFonts w:eastAsia="맑은 고딕"/>
          <w:bCs/>
          <w:sz w:val="21"/>
          <w:szCs w:val="21"/>
          <w:lang w:val="en-GB" w:eastAsia="ko-KR"/>
        </w:rPr>
      </w:pPr>
      <w:r w:rsidRPr="00157A9B">
        <w:rPr>
          <w:rFonts w:eastAsia="맑은 고딕"/>
          <w:bCs/>
          <w:sz w:val="21"/>
          <w:szCs w:val="21"/>
          <w:lang w:val="en-GB" w:eastAsia="ko-KR"/>
        </w:rPr>
        <w:t>If UE receives TPC command</w:t>
      </w:r>
      <w:r>
        <w:rPr>
          <w:rFonts w:eastAsia="맑은 고딕"/>
          <w:bCs/>
          <w:sz w:val="21"/>
          <w:szCs w:val="21"/>
          <w:lang w:val="en-GB" w:eastAsia="ko-KR"/>
        </w:rPr>
        <w:t>s</w:t>
      </w:r>
      <w:r w:rsidRPr="00157A9B">
        <w:rPr>
          <w:rFonts w:eastAsia="맑은 고딕"/>
          <w:bCs/>
          <w:sz w:val="21"/>
          <w:szCs w:val="21"/>
          <w:lang w:val="en-GB" w:eastAsia="ko-KR"/>
        </w:rPr>
        <w:t xml:space="preserve"> </w:t>
      </w:r>
      <w:r>
        <w:rPr>
          <w:rFonts w:eastAsia="맑은 고딕"/>
          <w:bCs/>
          <w:sz w:val="21"/>
          <w:szCs w:val="21"/>
          <w:lang w:val="en-GB" w:eastAsia="ko-KR"/>
        </w:rPr>
        <w:t>larger than</w:t>
      </w:r>
      <w:r w:rsidRPr="0016169F">
        <w:rPr>
          <w:rFonts w:eastAsia="맑은 고딕"/>
          <w:bCs/>
          <w:sz w:val="21"/>
          <w:szCs w:val="21"/>
          <w:lang w:val="en-GB" w:eastAsia="ko-KR"/>
        </w:rPr>
        <w:t xml:space="preserve"> K symbols</w:t>
      </w:r>
      <w:r w:rsidRPr="00157A9B">
        <w:rPr>
          <w:rFonts w:eastAsia="맑은 고딕"/>
          <w:bCs/>
          <w:sz w:val="21"/>
          <w:szCs w:val="21"/>
          <w:lang w:val="en-GB" w:eastAsia="ko-KR"/>
        </w:rPr>
        <w:t xml:space="preserve"> before</w:t>
      </w:r>
      <w:r>
        <w:rPr>
          <w:rFonts w:eastAsia="맑은 고딕"/>
          <w:bCs/>
          <w:sz w:val="21"/>
          <w:szCs w:val="21"/>
          <w:lang w:val="en-GB" w:eastAsia="ko-KR"/>
        </w:rPr>
        <w:t xml:space="preserve"> the start of one time domain window, </w:t>
      </w:r>
      <w:r w:rsidRPr="00132B9D">
        <w:rPr>
          <w:rFonts w:eastAsia="맑은 고딕"/>
          <w:bCs/>
          <w:sz w:val="21"/>
          <w:szCs w:val="21"/>
          <w:lang w:val="en-GB" w:eastAsia="ko-KR"/>
        </w:rPr>
        <w:t xml:space="preserve">TPC commands takes effect at the beginning of the time domain </w:t>
      </w:r>
      <w:r w:rsidRPr="00132B9D">
        <w:rPr>
          <w:rFonts w:eastAsia="맑은 고딕" w:hint="eastAsia"/>
          <w:bCs/>
          <w:sz w:val="21"/>
          <w:szCs w:val="21"/>
          <w:lang w:val="en-GB" w:eastAsia="ko-KR"/>
        </w:rPr>
        <w:t>windo</w:t>
      </w:r>
      <w:r w:rsidRPr="00132B9D">
        <w:rPr>
          <w:rFonts w:eastAsia="맑은 고딕"/>
          <w:bCs/>
          <w:sz w:val="21"/>
          <w:szCs w:val="21"/>
          <w:lang w:val="en-GB" w:eastAsia="ko-KR"/>
        </w:rPr>
        <w:t>w.</w:t>
      </w:r>
    </w:p>
    <w:p w14:paraId="73ADE4B7" w14:textId="77777777" w:rsidR="00836483" w:rsidRPr="00BB036E" w:rsidRDefault="00836483" w:rsidP="00836483">
      <w:pPr>
        <w:pStyle w:val="af1"/>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1"/>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1"/>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1"/>
        <w:numPr>
          <w:ilvl w:val="0"/>
          <w:numId w:val="66"/>
        </w:numPr>
        <w:tabs>
          <w:tab w:val="left" w:pos="1701"/>
        </w:tabs>
        <w:spacing w:line="240" w:lineRule="auto"/>
        <w:ind w:firstLineChars="0"/>
        <w:rPr>
          <w:rFonts w:eastAsia="맑은 고딕"/>
          <w:bCs/>
          <w:sz w:val="21"/>
          <w:szCs w:val="21"/>
          <w:lang w:val="en-GB" w:eastAsia="ko-KR"/>
        </w:rPr>
      </w:pPr>
      <w:r w:rsidRPr="00BB036E">
        <w:rPr>
          <w:rFonts w:eastAsia="맑은 고딕" w:hint="eastAsia"/>
          <w:bCs/>
          <w:sz w:val="21"/>
          <w:szCs w:val="21"/>
          <w:lang w:val="en-GB" w:eastAsia="ko-KR"/>
        </w:rPr>
        <w:t>F</w:t>
      </w:r>
      <w:r w:rsidRPr="00BB036E">
        <w:rPr>
          <w:rFonts w:eastAsia="맑은 고딕"/>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맑은 고딕"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맑은 고딕" w:hAnsi="Times New Roman" w:cs="Times New Roman"/>
                <w:bCs/>
                <w:szCs w:val="21"/>
                <w:lang w:eastAsia="ko-KR"/>
              </w:rPr>
              <w:t xml:space="preserve"> is enabled or absent” because that is the condition when UE accumulates the TPC command.</w:t>
            </w:r>
            <w:r w:rsidRPr="001601CB">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 xml:space="preserve">Since </w:t>
            </w:r>
            <w:r w:rsidRPr="001601CB">
              <w:rPr>
                <w:rFonts w:ascii="Times New Roman" w:eastAsia="맑은 고딕" w:hAnsi="Times New Roman" w:cs="Times New Roman"/>
                <w:bCs/>
                <w:lang w:eastAsia="ko-KR"/>
              </w:rPr>
              <w:t xml:space="preserve">the current </w:t>
            </w:r>
            <w:r>
              <w:rPr>
                <w:rFonts w:ascii="Times New Roman" w:eastAsia="맑은 고딕" w:hAnsi="Times New Roman" w:cs="Times New Roman"/>
                <w:bCs/>
                <w:lang w:eastAsia="ko-KR"/>
              </w:rPr>
              <w:t>single/multiple time domain window</w:t>
            </w:r>
            <w:r w:rsidRPr="001601CB">
              <w:rPr>
                <w:rFonts w:ascii="Times New Roman" w:eastAsia="맑은 고딕" w:hAnsi="Times New Roman" w:cs="Times New Roman"/>
                <w:bCs/>
                <w:lang w:eastAsia="ko-KR"/>
              </w:rPr>
              <w:t xml:space="preserve"> design </w:t>
            </w:r>
            <w:r>
              <w:rPr>
                <w:rFonts w:ascii="Times New Roman" w:eastAsia="맑은 고딕" w:hAnsi="Times New Roman" w:cs="Times New Roman"/>
                <w:bCs/>
                <w:lang w:eastAsia="ko-KR"/>
              </w:rPr>
              <w:t xml:space="preserve">in 6.2.1 </w:t>
            </w:r>
            <w:r w:rsidRPr="001601CB">
              <w:rPr>
                <w:rFonts w:ascii="Times New Roman" w:eastAsia="맑은 고딕" w:hAnsi="Times New Roman" w:cs="Times New Roman"/>
                <w:bCs/>
                <w:lang w:eastAsia="ko-KR"/>
              </w:rPr>
              <w:t>is the most important, so it would be ok to revisit after this is decided.</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1"/>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1"/>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1"/>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1"/>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796A275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바탕"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3ED18B2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1"/>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1"/>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1"/>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1"/>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1"/>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1"/>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1"/>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1"/>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1"/>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1"/>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1"/>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1"/>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1"/>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1"/>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1"/>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1"/>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2"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5"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16"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7"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18"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56389" w14:textId="77777777" w:rsidR="00F76D44" w:rsidRDefault="00F76D44" w:rsidP="008B642E">
      <w:pPr>
        <w:spacing w:after="0" w:line="240" w:lineRule="auto"/>
      </w:pPr>
      <w:r>
        <w:separator/>
      </w:r>
    </w:p>
  </w:endnote>
  <w:endnote w:type="continuationSeparator" w:id="0">
    <w:p w14:paraId="40CDFAC1" w14:textId="77777777" w:rsidR="00F76D44" w:rsidRDefault="00F76D44"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Malgun Gothic Semilight"/>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EA9EB" w14:textId="77777777" w:rsidR="00F76D44" w:rsidRDefault="00F76D44" w:rsidP="008B642E">
      <w:pPr>
        <w:spacing w:after="0" w:line="240" w:lineRule="auto"/>
      </w:pPr>
      <w:r>
        <w:separator/>
      </w:r>
    </w:p>
  </w:footnote>
  <w:footnote w:type="continuationSeparator" w:id="0">
    <w:p w14:paraId="2D6E2782" w14:textId="77777777" w:rsidR="00F76D44" w:rsidRDefault="00F76D44" w:rsidP="008B6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44.vsdx"/><Relationship Id="rId50" Type="http://schemas.openxmlformats.org/officeDocument/2006/relationships/image" Target="media/image26.emf"/><Relationship Id="rId55" Type="http://schemas.openxmlformats.org/officeDocument/2006/relationships/oleObject" Target="embeddings/oleObject13.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2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3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A2DA1D7-8AF4-47CF-91A9-A1E35D87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39271</Words>
  <Characters>223846</Characters>
  <Application>Microsoft Office Word</Application>
  <DocSecurity>0</DocSecurity>
  <Lines>1865</Lines>
  <Paragraphs>525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심재남/선임연구원/미래기술센터 C&amp;M표준(연)5G무선통신표준Task(jaenam.shim@lge.com)</cp:lastModifiedBy>
  <cp:revision>3</cp:revision>
  <cp:lastPrinted>2021-04-15T03:16:00Z</cp:lastPrinted>
  <dcterms:created xsi:type="dcterms:W3CDTF">2021-08-24T08:17:00Z</dcterms:created>
  <dcterms:modified xsi:type="dcterms:W3CDTF">2021-08-24T08:17:00Z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