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7C674291"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1A5662C9"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8"/>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8"/>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1971"/>
        <w:gridCol w:w="1971"/>
        <w:gridCol w:w="1971"/>
        <w:gridCol w:w="1863"/>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F955DCB"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8"/>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CE75A03"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 xml:space="preserve">As long as the </w:t>
            </w:r>
            <w:r w:rsidRPr="00D14577">
              <w:rPr>
                <w:rFonts w:ascii="Times New Roman" w:eastAsia="宋体"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D14577">
              <w:rPr>
                <w:rFonts w:ascii="Times New Roman" w:eastAsia="等线" w:hAnsi="Times New Roman"/>
                <w:bCs/>
                <w:color w:val="000000"/>
                <w:kern w:val="24"/>
                <w:szCs w:val="21"/>
                <w:lang w:val="en-US"/>
              </w:rPr>
              <w:t>A higher data rate is required for PUSCH transmission in coverage enhancement</w:t>
            </w:r>
            <w:r w:rsidRPr="00D14577">
              <w:rPr>
                <w:rFonts w:ascii="Times New Roman" w:eastAsia="等线" w:hAnsi="Times New Roman" w:hint="eastAsia"/>
                <w:bCs/>
                <w:color w:val="000000"/>
                <w:kern w:val="24"/>
                <w:szCs w:val="21"/>
                <w:lang w:val="en-US"/>
              </w:rPr>
              <w:t xml:space="preserve">, e.g. 1Mbps for eMBB, where the number of repetitions is limited; Also, </w:t>
            </w:r>
            <w:r w:rsidRPr="00D14577">
              <w:rPr>
                <w:rFonts w:ascii="Times New Roman" w:eastAsia="等线" w:hAnsi="Times New Roman"/>
                <w:bCs/>
                <w:color w:val="000000"/>
                <w:kern w:val="24"/>
                <w:szCs w:val="21"/>
                <w:lang w:val="en-US"/>
              </w:rPr>
              <w:t xml:space="preserve">A medium </w:t>
            </w:r>
            <w:r w:rsidRPr="00D14577">
              <w:rPr>
                <w:rFonts w:ascii="Times New Roman" w:eastAsia="等线" w:hAnsi="Times New Roman" w:hint="eastAsia"/>
                <w:bCs/>
                <w:color w:val="000000"/>
                <w:kern w:val="24"/>
                <w:szCs w:val="21"/>
                <w:lang w:val="en-US"/>
              </w:rPr>
              <w:t>or</w:t>
            </w:r>
            <w:r w:rsidRPr="00D14577">
              <w:rPr>
                <w:rFonts w:ascii="Times New Roman" w:eastAsia="等线" w:hAnsi="Times New Roman"/>
                <w:bCs/>
                <w:color w:val="000000"/>
                <w:kern w:val="24"/>
                <w:szCs w:val="21"/>
                <w:lang w:val="en-US"/>
              </w:rPr>
              <w:t xml:space="preserve"> low date rate is required for PUSCH transmission in coverage enhancement, </w:t>
            </w:r>
            <w:r w:rsidRPr="00D14577">
              <w:rPr>
                <w:rFonts w:ascii="Times New Roman" w:eastAsia="等线" w:hAnsi="Times New Roman" w:hint="eastAsia"/>
                <w:bCs/>
                <w:color w:val="000000"/>
                <w:kern w:val="24"/>
                <w:szCs w:val="21"/>
                <w:lang w:val="en-US"/>
              </w:rPr>
              <w:t xml:space="preserve">e.g. </w:t>
            </w:r>
            <w:r w:rsidRPr="00D14577">
              <w:rPr>
                <w:rFonts w:ascii="Times New Roman" w:eastAsia="等线" w:hAnsi="Times New Roman"/>
                <w:bCs/>
                <w:color w:val="000000"/>
                <w:kern w:val="24"/>
                <w:szCs w:val="21"/>
                <w:lang w:val="en-US"/>
              </w:rPr>
              <w:t>12.2 kbps for VoIP</w:t>
            </w:r>
            <w:r w:rsidRPr="00D14577">
              <w:rPr>
                <w:rFonts w:ascii="Times New Roman" w:eastAsia="等线" w:hAnsi="Times New Roman" w:hint="eastAsia"/>
                <w:bCs/>
                <w:color w:val="000000"/>
                <w:kern w:val="24"/>
                <w:szCs w:val="21"/>
                <w:lang w:val="en-US"/>
              </w:rPr>
              <w:t xml:space="preserve">, where </w:t>
            </w:r>
            <w:r w:rsidRPr="00D14577">
              <w:rPr>
                <w:rFonts w:ascii="Times New Roman" w:eastAsia="宋体" w:hAnsi="Times New Roman"/>
                <w:szCs w:val="21"/>
                <w:lang w:val="en-US"/>
              </w:rPr>
              <w:t>different TBs with repetitions are transmitted across consecutive slots</w:t>
            </w:r>
            <w:r w:rsidRPr="00D14577">
              <w:rPr>
                <w:rFonts w:ascii="Times New Roman" w:eastAsia="宋体" w:hAnsi="Times New Roman" w:hint="eastAsia"/>
                <w:szCs w:val="21"/>
                <w:lang w:val="en-US"/>
              </w:rPr>
              <w:t>.</w:t>
            </w:r>
            <w:r w:rsidRPr="00D14577">
              <w:rPr>
                <w:rFonts w:ascii="Times New Roman" w:eastAsia="宋体" w:hAnsi="Times New Roman" w:cs="Times New Roman"/>
                <w:kern w:val="0"/>
                <w:szCs w:val="21"/>
                <w:lang w:val="en-US"/>
              </w:rPr>
              <w:t xml:space="preserve"> </w:t>
            </w:r>
            <w:r w:rsidRPr="00D14577">
              <w:rPr>
                <w:rFonts w:ascii="Times New Roman" w:eastAsia="宋体" w:hAnsi="Times New Roman" w:cs="Times New Roman" w:hint="eastAsia"/>
                <w:kern w:val="0"/>
                <w:szCs w:val="21"/>
                <w:lang w:val="en-US"/>
              </w:rPr>
              <w:t>T</w:t>
            </w:r>
            <w:r w:rsidRPr="00D14577">
              <w:rPr>
                <w:rFonts w:ascii="Times New Roman" w:eastAsia="宋体"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hint="eastAsia"/>
                <w:kern w:val="0"/>
                <w:szCs w:val="21"/>
                <w:lang w:val="en-US"/>
              </w:rPr>
              <w:t>N</w:t>
            </w:r>
            <w:r w:rsidRPr="00D14577">
              <w:rPr>
                <w:rFonts w:ascii="Times New Roman" w:eastAsia="宋体" w:hAnsi="Times New Roman" w:cs="Times New Roman"/>
                <w:kern w:val="0"/>
                <w:szCs w:val="21"/>
                <w:lang w:val="en-US"/>
              </w:rPr>
              <w:t>ot targeted for coverage enhancement</w:t>
            </w:r>
            <w:r w:rsidRPr="00D14577">
              <w:rPr>
                <w:rFonts w:ascii="Times New Roman" w:eastAsia="宋体"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宋体" w:hAnsi="Times New Roman" w:cs="Times New Roman"/>
                <w:kern w:val="0"/>
                <w:szCs w:val="21"/>
                <w:lang w:val="en-US"/>
              </w:rPr>
              <w:t>, and the fact that its unlikely to benefit a cell-edge UE</w:t>
            </w:r>
            <w:r w:rsidRPr="00D14577">
              <w:rPr>
                <w:rFonts w:ascii="Times New Roman" w:eastAsia="宋体"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D14577">
              <w:rPr>
                <w:rFonts w:ascii="Times New Roman" w:eastAsia="宋体" w:hAnsi="Times New Roman" w:cs="Times New Roman"/>
                <w:kern w:val="0"/>
                <w:szCs w:val="21"/>
                <w:lang w:val="en-US"/>
              </w:rPr>
              <w:t>Restrictions on scheduling of multiple TBs, same number of PRBs/same frequency location, same transmission power, same</w:t>
            </w:r>
            <w:r w:rsidRPr="00D14577">
              <w:rPr>
                <w:rFonts w:ascii="Times New Roman" w:eastAsia="宋体" w:hAnsi="Times New Roman" w:cs="Times New Roman" w:hint="eastAsia"/>
                <w:kern w:val="0"/>
                <w:szCs w:val="21"/>
                <w:lang w:val="en-US"/>
              </w:rPr>
              <w:t xml:space="preserve"> TPMI</w:t>
            </w:r>
            <w:r w:rsidRPr="00D14577">
              <w:rPr>
                <w:rFonts w:ascii="Times New Roman" w:eastAsia="宋体" w:hAnsi="Times New Roman" w:cs="Times New Roman"/>
                <w:kern w:val="0"/>
                <w:szCs w:val="21"/>
                <w:lang w:val="en-US"/>
              </w:rPr>
              <w:t xml:space="preserve"> precoder etc.</w:t>
            </w:r>
          </w:p>
        </w:tc>
      </w:tr>
    </w:tbl>
    <w:p w14:paraId="2D575F2D" w14:textId="77777777" w:rsidR="002D34FC" w:rsidRDefault="002D34FC">
      <w:pPr>
        <w:pStyle w:val="a8"/>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39"/>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D68CDE1" w14:textId="77777777" w:rsidR="002D34FC" w:rsidRDefault="002D34FC">
      <w:pPr>
        <w:pStyle w:val="af8"/>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5"/>
        <w:gridCol w:w="5528"/>
      </w:tblGrid>
      <w:tr w:rsidR="002D34FC" w14:paraId="527FDB59" w14:textId="77777777">
        <w:tc>
          <w:tcPr>
            <w:tcW w:w="3685" w:type="dxa"/>
          </w:tcPr>
          <w:p w14:paraId="2B98F144"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67ABE270"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06B8B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9FACCF0" w14:textId="77777777" w:rsidR="002D34FC" w:rsidRDefault="007B5577">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0595092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50D1D0C6"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55DA8A66"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8"/>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5"/>
        <w:gridCol w:w="5528"/>
      </w:tblGrid>
      <w:tr w:rsidR="002D34FC" w14:paraId="6111A1C5" w14:textId="77777777">
        <w:tc>
          <w:tcPr>
            <w:tcW w:w="3685" w:type="dxa"/>
          </w:tcPr>
          <w:p w14:paraId="4537E251"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20FE2909"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1790ED1"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87BEFCD"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15B8093E"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473F1A" w14:textId="77777777" w:rsidR="002D34FC" w:rsidRDefault="007B5577">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169400F" w14:textId="77777777" w:rsidR="002D34FC" w:rsidRDefault="007B5577">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CB4282" w14:textId="77777777" w:rsidR="002D34FC" w:rsidRDefault="007B5577">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8"/>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39"/>
      </w:tblGrid>
      <w:tr w:rsidR="002D34FC" w14:paraId="1250A323" w14:textId="77777777">
        <w:tc>
          <w:tcPr>
            <w:tcW w:w="9639" w:type="dxa"/>
          </w:tcPr>
          <w:p w14:paraId="37C27652" w14:textId="77777777" w:rsidR="002D34FC" w:rsidRDefault="007B5577">
            <w:pPr>
              <w:pStyle w:val="a8"/>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8"/>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73"/>
        <w:gridCol w:w="4766"/>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9pt;height:59.95pt;mso-width-percent:0;mso-height-percent:0;mso-width-percent:0;mso-height-percent:0" o:ole="">
            <v:imagedata r:id="rId16" o:title=""/>
          </v:shape>
          <o:OLEObject Type="Embed" ProgID="Visio.Drawing.11" ShapeID="_x0000_i1025" DrawAspect="Content" ObjectID="_1691325173"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0.9pt;height:93.65pt;mso-width-percent:0;mso-height-percent:0;mso-width-percent:0;mso-height-percent:0" o:ole="">
            <v:imagedata r:id="rId18" o:title=""/>
          </v:shape>
          <o:OLEObject Type="Embed" ProgID="Visio.Drawing.11" ShapeID="_x0000_i1026" DrawAspect="Content" ObjectID="_1691325174"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2752F2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35DE1B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0.9pt;height:59.95pt;mso-width-percent:0;mso-height-percent:0;mso-width-percent:0;mso-height-percent:0" o:ole="">
            <v:imagedata r:id="rId20" o:title=""/>
          </v:shape>
          <o:OLEObject Type="Embed" ProgID="Visio.Drawing.11" ShapeID="_x0000_i1027" DrawAspect="Content" ObjectID="_1691325175"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0.9pt;height:59.95pt;mso-width-percent:0;mso-height-percent:0;mso-width-percent:0;mso-height-percent:0" o:ole="">
            <v:imagedata r:id="rId22" o:title=""/>
          </v:shape>
          <o:OLEObject Type="Embed" ProgID="Visio.Drawing.11" ShapeID="_x0000_i1028" DrawAspect="Content" ObjectID="_1691325176"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0.9pt;height:93.65pt;mso-width-percent:0;mso-height-percent:0;mso-width-percent:0;mso-height-percent:0" o:ole="">
            <v:imagedata r:id="rId24" o:title=""/>
          </v:shape>
          <o:OLEObject Type="Embed" ProgID="Visio.Drawing.11" ShapeID="_x0000_i1029" DrawAspect="Content" ObjectID="_1691325177"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宋体"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等线"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EC4DB0" w14:textId="77777777" w:rsidR="002D34FC" w:rsidRDefault="007B5577">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8"/>
        <w:gridCol w:w="6175"/>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8"/>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8"/>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af8"/>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8"/>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8"/>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8"/>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8"/>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宋体"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微软雅黑"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D4BE20D" w14:textId="77777777" w:rsidR="002D34FC" w:rsidRDefault="007B5577">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8"/>
        <w:spacing w:beforeLines="0" w:before="0" w:after="0" w:line="240" w:lineRule="auto"/>
        <w:rPr>
          <w:rFonts w:ascii="Times New Roman" w:eastAsia="宋体"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pt;height:97.4pt;mso-width-percent:0;mso-height-percent:0;mso-width-percent:0;mso-height-percent:0" o:ole="">
            <v:imagedata r:id="rId29" o:title=""/>
          </v:shape>
          <o:OLEObject Type="Embed" ProgID="Visio.Drawing.15" ShapeID="_x0000_i1030" DrawAspect="Content" ObjectID="_1691325178" r:id="rId30"/>
        </w:object>
      </w:r>
    </w:p>
    <w:p w14:paraId="6A5B6815"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FB4D8DA"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宋体"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lastRenderedPageBreak/>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等线"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981"/>
        <w:gridCol w:w="4981"/>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w:t>
      </w:r>
      <w:r>
        <w:rPr>
          <w:rFonts w:ascii="Times New Roman" w:eastAsia="宋体"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6591B8C9"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pt;height:99.9pt;mso-width-percent:0;mso-height-percent:0;mso-width-percent:0;mso-height-percent:0" o:ole="">
            <v:imagedata r:id="rId32" o:title=""/>
          </v:shape>
          <o:OLEObject Type="Embed" ProgID="Visio.Drawing.15" ShapeID="_x0000_i1031" DrawAspect="Content" ObjectID="_1691325179"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35pt;height:148.6pt;mso-width-percent:0;mso-height-percent:0;mso-width-percent:0;mso-height-percent:0" o:ole="">
            <v:imagedata r:id="rId35" o:title=""/>
          </v:shape>
          <o:OLEObject Type="Embed" ProgID="Visio.Drawing.15" ShapeID="_x0000_i1032" DrawAspect="Content" ObjectID="_1691325180"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49F6A2"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EC0FB25"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w:t>
            </w:r>
            <w:r>
              <w:rPr>
                <w:rFonts w:ascii="Times New Roman" w:eastAsia="MS Mincho" w:hAnsi="Times New Roman" w:cs="Times New Roman"/>
                <w:bCs/>
                <w:lang w:val="en-GB" w:eastAsia="ja-JP"/>
              </w:rPr>
              <w:lastRenderedPageBreak/>
              <w:t>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Alt 2. JCE across different TBs requires several additional design considerations. </w:t>
            </w:r>
            <w:r>
              <w:rPr>
                <w:rFonts w:ascii="Times New Roman" w:hAnsi="Times New Roman" w:cs="Times New Roman"/>
                <w:bCs/>
                <w:lang w:val="en-GB"/>
              </w:rPr>
              <w:lastRenderedPageBreak/>
              <w:t>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8"/>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w:t>
            </w:r>
            <w:r>
              <w:lastRenderedPageBreak/>
              <w:t>20 RBs for FDD and 32 RBs for TDD are scheduled as assumed in TR 38.830.</w:t>
            </w:r>
          </w:p>
          <w:p w14:paraId="43034DE7" w14:textId="77777777" w:rsidR="002D34FC" w:rsidRDefault="007B5577">
            <w:pPr>
              <w:pStyle w:val="af8"/>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af8"/>
              <w:numPr>
                <w:ilvl w:val="0"/>
                <w:numId w:val="25"/>
              </w:numPr>
              <w:ind w:firstLineChars="0"/>
              <w:rPr>
                <w:bCs/>
                <w:lang w:val="en-GB"/>
              </w:rPr>
            </w:pPr>
            <w:r>
              <w:rPr>
                <w:bCs/>
                <w:lang w:val="en-GB" w:eastAsia="zh-CN"/>
              </w:rPr>
              <w:t xml:space="preserve">The issue of potential UE events raised in S2.3.4 is the only potential unique </w:t>
            </w:r>
            <w:r>
              <w:rPr>
                <w:bCs/>
                <w:lang w:val="en-GB" w:eastAsia="zh-CN"/>
              </w:rPr>
              <w:lastRenderedPageBreak/>
              <w:t>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When repetition is used, there is a single grant or the parameters are configured, so the same MCS, FDRA, power, etc., are all used.  With multiple TBs, there are generally </w:t>
            </w:r>
            <w:r>
              <w:rPr>
                <w:rFonts w:ascii="Times New Roman" w:eastAsia="Malgun Gothic" w:hAnsi="Times New Roman" w:cs="Times New Roman"/>
                <w:bCs/>
                <w:lang w:val="en-GB" w:eastAsia="ko-KR"/>
              </w:rPr>
              <w:lastRenderedPageBreak/>
              <w:t>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w:t>
            </w:r>
            <w:r>
              <w:rPr>
                <w:rFonts w:ascii="Times New Roman" w:eastAsia="Malgun Gothic" w:hAnsi="Times New Roman" w:cs="Times New Roman" w:hint="eastAsia"/>
                <w:bCs/>
              </w:rPr>
              <w:lastRenderedPageBreak/>
              <w:t xml:space="preserve">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w:t>
            </w:r>
            <w:r>
              <w:rPr>
                <w:rFonts w:ascii="Times New Roman" w:eastAsia="Malgun Gothic" w:hAnsi="Times New Roman" w:cs="Times New Roman"/>
                <w:bCs/>
                <w:lang w:val="en-GB" w:eastAsia="ko-KR"/>
              </w:rPr>
              <w:lastRenderedPageBreak/>
              <w:t xml:space="preserve">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w:t>
            </w:r>
            <w:r>
              <w:rPr>
                <w:rFonts w:ascii="Times New Roman" w:eastAsia="宋体" w:hAnsi="Times New Roman" w:cs="Times New Roman"/>
                <w:kern w:val="0"/>
                <w:szCs w:val="21"/>
                <w:lang w:val="en-GB"/>
              </w:rPr>
              <w:lastRenderedPageBreak/>
              <w:t xml:space="preserve">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lastRenderedPageBreak/>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w:t>
            </w:r>
            <w:r>
              <w:rPr>
                <w:rFonts w:ascii="Times New Roman" w:hAnsi="Times New Roman" w:cs="Times New Roman"/>
              </w:rPr>
              <w:lastRenderedPageBreak/>
              <w:t xml:space="preserve">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lastRenderedPageBreak/>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 xml:space="preserve">A UE assigns nominal TDW locations based on available slots. The UE plans around these TDW locations and reprograms its TA, FTL, Power control loops to operate around these TDW boundaries. As each PUSCH repetition occurs or alternately gets cancelled, </w:t>
            </w:r>
            <w:r>
              <w:rPr>
                <w:rFonts w:ascii="Times New Roman" w:hAnsi="Times New Roman" w:cs="Times New Roman"/>
              </w:rPr>
              <w:lastRenderedPageBreak/>
              <w:t>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lastRenderedPageBreak/>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 xml:space="preserve">power consistency and phase continuity should be avoided during the TDW? From FL understanding, if such events are not prohibited, multiple TDWs or sub-windows (actual windows) are necessary, since UE can only maintain power consistency and phase continuity during part of the </w:t>
            </w:r>
            <w:r>
              <w:rPr>
                <w:rFonts w:ascii="Times New Roman" w:eastAsia="Batang" w:hAnsi="Times New Roman" w:cs="Times New Roman"/>
                <w:kern w:val="0"/>
                <w:szCs w:val="21"/>
                <w:lang w:val="en-GB"/>
              </w:rPr>
              <w:lastRenderedPageBreak/>
              <w:t>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lastRenderedPageBreak/>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w:t>
            </w:r>
            <w:r>
              <w:rPr>
                <w:rFonts w:ascii="Times New Roman" w:hAnsi="Times New Roman" w:cs="Times New Roman"/>
                <w:bCs/>
                <w:sz w:val="20"/>
                <w:szCs w:val="20"/>
                <w:lang w:val="en-GB"/>
              </w:rPr>
              <w:lastRenderedPageBreak/>
              <w:t xml:space="preserve">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6985518A" w14:textId="77777777" w:rsidR="002D34FC" w:rsidRDefault="007B5577">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宋体"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CD44CE1"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w:t>
            </w:r>
            <w:r>
              <w:rPr>
                <w:bCs/>
                <w:lang w:val="en-GB"/>
              </w:rPr>
              <w:lastRenderedPageBreak/>
              <w:t xml:space="preserve">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F6091B6" w14:textId="77777777" w:rsidR="002D34FC" w:rsidRDefault="007B5577">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w:t>
            </w:r>
            <w:r>
              <w:rPr>
                <w:rFonts w:ascii="Times New Roman" w:hAnsi="Times New Roman" w:cs="Times New Roman"/>
                <w:bCs/>
                <w:lang w:val="en-GB"/>
              </w:rPr>
              <w:lastRenderedPageBreak/>
              <w:t>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e.g. frequency error correction, </w:t>
            </w:r>
            <w:r>
              <w:rPr>
                <w:rFonts w:ascii="Times New Roman" w:hAnsi="Times New Roman" w:cs="Times New Roman"/>
                <w:bCs/>
                <w:lang w:val="en-GB"/>
              </w:rPr>
              <w:lastRenderedPageBreak/>
              <w:t>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64BB3023"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Alt. 1 because special slots are very common in TDD carriers and has not been fully utilized by the R16 style of TDRA indication for PUSCH repetition. As </w:t>
            </w:r>
            <w:r>
              <w:rPr>
                <w:rFonts w:ascii="Times New Roman" w:hAnsi="Times New Roman" w:cs="Times New Roman"/>
                <w:bCs/>
                <w:lang w:val="en-GB"/>
              </w:rPr>
              <w:lastRenderedPageBreak/>
              <w:t>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lastRenderedPageBreak/>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8"/>
        <w:numPr>
          <w:ilvl w:val="0"/>
          <w:numId w:val="38"/>
        </w:numPr>
        <w:ind w:firstLineChars="0"/>
        <w:rPr>
          <w:sz w:val="21"/>
          <w:szCs w:val="21"/>
        </w:rPr>
      </w:pPr>
      <w:r>
        <w:rPr>
          <w:sz w:val="21"/>
          <w:szCs w:val="21"/>
        </w:rPr>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t>
            </w:r>
            <w:r>
              <w:rPr>
                <w:rFonts w:ascii="Times New Roman" w:hAnsi="Times New Roman" w:cs="Times New Roman"/>
                <w:bCs/>
                <w:lang w:val="en-GB"/>
              </w:rPr>
              <w:lastRenderedPageBreak/>
              <w:t xml:space="preserve">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4F6F79FA" w14:textId="77777777" w:rsidR="002D34FC" w:rsidRDefault="007B5577">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0EAC5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01A0A0A7"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A3FC637"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lastRenderedPageBreak/>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08C64C94" w14:textId="77777777" w:rsidR="002D34FC" w:rsidRDefault="002D34FC">
      <w:pPr>
        <w:rPr>
          <w:rFonts w:ascii="Times New Roman" w:eastAsia="宋体"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宋体" w:hAnsi="Times New Roman" w:cs="Times New Roman"/>
          <w:kern w:val="0"/>
          <w:szCs w:val="21"/>
          <w:lang w:eastAsia="en-US"/>
        </w:rPr>
      </w:pPr>
    </w:p>
    <w:p w14:paraId="293D64C1" w14:textId="77777777" w:rsidR="002D34FC" w:rsidRDefault="007B5577">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xml:space="preserve">,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w:t>
            </w:r>
            <w:r>
              <w:rPr>
                <w:rFonts w:ascii="Times New Roman" w:hAnsi="Times New Roman" w:cs="Times New Roman"/>
                <w:bCs/>
                <w:lang w:val="en-GB"/>
              </w:rPr>
              <w:lastRenderedPageBreak/>
              <w:t>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宋体"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lastRenderedPageBreak/>
        <w:t xml:space="preserve">Postpone: Nokia, NSB, Qualcomm, </w:t>
      </w:r>
      <w:r>
        <w:rPr>
          <w:rFonts w:ascii="Times New Roman" w:eastAsia="宋体"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the conditions for the end of other </w:t>
      </w:r>
      <w:r>
        <w:rPr>
          <w:rFonts w:ascii="Times New Roman" w:hAnsi="Times New Roman" w:cs="Times New Roman" w:hint="eastAsia"/>
          <w:b/>
          <w:kern w:val="0"/>
          <w:szCs w:val="21"/>
          <w:highlight w:val="yellow"/>
          <w:lang w:val="en-GB"/>
        </w:rPr>
        <w:lastRenderedPageBreak/>
        <w:t>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w:t>
            </w:r>
            <w:r>
              <w:rPr>
                <w:rFonts w:ascii="Times New Roman" w:hAnsi="Times New Roman" w:cs="Times New Roman"/>
                <w:bCs/>
                <w:lang w:val="en-GB"/>
              </w:rPr>
              <w:lastRenderedPageBreak/>
              <w:t xml:space="preserve">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xml:space="preserve">” so the actual length of the last PUSCH transmission </w:t>
            </w:r>
            <w:r>
              <w:rPr>
                <w:rFonts w:ascii="Times New Roman" w:eastAsia="MS Mincho" w:hAnsi="Times New Roman" w:cs="Times New Roman"/>
                <w:bCs/>
                <w:lang w:val="en-GB" w:eastAsia="ja-JP"/>
              </w:rPr>
              <w:lastRenderedPageBreak/>
              <w:t>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w:t>
            </w:r>
            <w:r>
              <w:rPr>
                <w:rFonts w:ascii="Times New Roman" w:hAnsi="Times New Roman" w:cs="Times New Roman"/>
                <w:bCs/>
                <w:szCs w:val="21"/>
                <w:lang w:val="en-GB"/>
              </w:rPr>
              <w:lastRenderedPageBreak/>
              <w:t xml:space="preserve">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8"/>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lastRenderedPageBreak/>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w:t>
            </w:r>
            <w:r>
              <w:rPr>
                <w:rFonts w:ascii="Times New Roman" w:hAnsi="Times New Roman" w:cs="Times New Roman"/>
                <w:bCs/>
                <w:lang w:val="en-GB"/>
              </w:rPr>
              <w:lastRenderedPageBreak/>
              <w:t>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@Intel, For Alt 2-B, it UE has and reports the capability the maximum duration, and if </w:t>
            </w:r>
            <w:r>
              <w:rPr>
                <w:rFonts w:ascii="Times New Roman" w:hAnsi="Times New Roman" w:cs="Times New Roman"/>
                <w:bCs/>
                <w:lang w:val="en-GB"/>
              </w:rPr>
              <w:lastRenderedPageBreak/>
              <w:t>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 xml:space="preserve">This is also the reason we prefer 2-C over 2-C’. 2-C’ seems to revisit the original decisions on TDW locations. We don’t want to do this --- an early termination of a TDW must have a localized impact. If 2-C’ is intended to behave this way, and I am </w:t>
            </w:r>
            <w:r>
              <w:rPr>
                <w:bCs/>
                <w:lang w:val="en-GB"/>
              </w:rPr>
              <w:lastRenderedPageBreak/>
              <w:t>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8187FB4"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557CA72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10C92A11" w14:textId="77777777" w:rsidR="002D34FC" w:rsidRDefault="007B5577">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 xml:space="preserve">Regarding whether coherent transmission indication is necessary, companies’ views are summarized. </w:t>
      </w:r>
      <w:r>
        <w:rPr>
          <w:rFonts w:ascii="Times New Roman" w:hAnsi="Times New Roman" w:cs="Times New Roman"/>
          <w:b/>
          <w:szCs w:val="21"/>
          <w:highlight w:val="yellow"/>
        </w:rPr>
        <w:lastRenderedPageBreak/>
        <w:t>Considering the current situation, let’s discuss it later after we make more progress in TDW.</w:t>
      </w:r>
    </w:p>
    <w:p w14:paraId="78061C3F"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1D7691A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E63BDAC" w14:textId="77777777" w:rsidR="002D34FC" w:rsidRDefault="007B5577">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8"/>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slection at </w:t>
            </w:r>
            <w:r>
              <w:rPr>
                <w:rFonts w:ascii="Times New Roman" w:hAnsi="Times New Roman" w:cs="Times New Roman"/>
                <w:bCs/>
                <w:lang w:val="en-GB"/>
              </w:rPr>
              <w:lastRenderedPageBreak/>
              <w:t>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8"/>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F920F8"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0A7D32E"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w:t>
      </w:r>
      <w:r w:rsidR="00CA5D8F" w:rsidRPr="00CA5D8F">
        <w:rPr>
          <w:rFonts w:ascii="Times New Roman" w:eastAsia="宋体"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宋体"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 xml:space="preserve">Events to violate the power consistency and phase </w:t>
            </w:r>
            <w:r>
              <w:rPr>
                <w:rFonts w:ascii="Times New Roman" w:hAnsi="Times New Roman" w:cs="Times New Roman"/>
                <w:szCs w:val="21"/>
              </w:rPr>
              <w:lastRenderedPageBreak/>
              <w:t>continuity</w:t>
            </w:r>
          </w:p>
        </w:tc>
        <w:tc>
          <w:tcPr>
            <w:tcW w:w="4636" w:type="dxa"/>
          </w:tcPr>
          <w:p w14:paraId="05541DBF"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lastRenderedPageBreak/>
              <w:t xml:space="preserve">Additional events may be needed, e.g., different </w:t>
            </w:r>
            <w:r>
              <w:rPr>
                <w:rFonts w:ascii="Times New Roman" w:hAnsi="Times New Roman" w:cs="Times New Roman"/>
                <w:szCs w:val="21"/>
              </w:rPr>
              <w:lastRenderedPageBreak/>
              <w:t>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宋体" w:hAnsi="Times New Roman" w:cs="Times New Roman"/>
          <w:kern w:val="0"/>
          <w:szCs w:val="21"/>
          <w:lang w:eastAsia="en-US"/>
        </w:rPr>
      </w:pPr>
    </w:p>
    <w:p w14:paraId="261DB772"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TBoMS and/or PUSCH repetition.  We share similar views with respect to potential extra complexity of the time domain window, and </w:t>
            </w:r>
            <w:r>
              <w:rPr>
                <w:rFonts w:ascii="Times New Roman" w:hAnsi="Times New Roman" w:cs="Times New Roman"/>
                <w:bCs/>
              </w:rPr>
              <w:lastRenderedPageBreak/>
              <w:t>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lastRenderedPageBreak/>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25pt;height:277.6pt;mso-width-percent:0;mso-height-percent:0;mso-width-percent:0;mso-height-percent:0" o:ole="">
            <v:imagedata r:id="rId39" o:title=""/>
          </v:shape>
          <o:OLEObject Type="Embed" ProgID="Visio.Drawing.11" ShapeID="_x0000_i1033" DrawAspect="Content" ObjectID="_1691325181" r:id="rId40"/>
        </w:object>
      </w:r>
    </w:p>
    <w:p w14:paraId="041C73DD" w14:textId="77777777" w:rsidR="002D34FC" w:rsidRDefault="004522A6">
      <w:pPr>
        <w:jc w:val="center"/>
      </w:pPr>
      <w:r>
        <w:rPr>
          <w:noProof/>
        </w:rPr>
        <w:object w:dxaOrig="6860" w:dyaOrig="6290" w14:anchorId="1D6BD28D">
          <v:shape id="_x0000_i1034" type="#_x0000_t75" alt="" style="width:342.5pt;height:313.8pt;mso-width-percent:0;mso-height-percent:0;mso-width-percent:0;mso-height-percent:0" o:ole="">
            <v:imagedata r:id="rId41" o:title=""/>
          </v:shape>
          <o:OLEObject Type="Embed" ProgID="Visio.Drawing.11" ShapeID="_x0000_i1034" DrawAspect="Content" ObjectID="_1691325182" r:id="rId42"/>
        </w:object>
      </w:r>
    </w:p>
    <w:p w14:paraId="52959F5B" w14:textId="77777777" w:rsidR="002D34FC" w:rsidRDefault="004522A6">
      <w:pPr>
        <w:jc w:val="center"/>
      </w:pPr>
      <w:r>
        <w:rPr>
          <w:noProof/>
        </w:rPr>
        <w:object w:dxaOrig="6970" w:dyaOrig="5180" w14:anchorId="4C791A34">
          <v:shape id="_x0000_i1035" type="#_x0000_t75" alt="" style="width:349.2pt;height:258.05pt;mso-width-percent:0;mso-height-percent:0;mso-width-percent:0;mso-height-percent:0" o:ole="">
            <v:imagedata r:id="rId43" o:title=""/>
          </v:shape>
          <o:OLEObject Type="Embed" ProgID="Visio.Drawing.11" ShapeID="_x0000_i1035" DrawAspect="Content" ObjectID="_1691325183" r:id="rId44"/>
        </w:object>
      </w:r>
    </w:p>
    <w:p w14:paraId="510F372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宋体" w:hAnsi="Times New Roman" w:cs="Times New Roman"/>
          <w:b/>
          <w:kern w:val="0"/>
          <w:szCs w:val="21"/>
          <w:highlight w:val="yellow"/>
          <w:lang w:eastAsia="en-US"/>
        </w:rPr>
      </w:pPr>
    </w:p>
    <w:p w14:paraId="71D01AD4" w14:textId="77777777" w:rsidR="002D34FC" w:rsidRDefault="007B5577">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Separately, we agree with Qualcomm comment on following two points from UE </w:t>
            </w:r>
            <w:r>
              <w:rPr>
                <w:rFonts w:ascii="Times New Roman" w:eastAsia="MS Mincho" w:hAnsi="Times New Roman" w:cs="Times New Roman"/>
                <w:bCs/>
                <w:lang w:val="en-GB" w:eastAsia="ja-JP"/>
              </w:rPr>
              <w:lastRenderedPageBreak/>
              <w:t>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lastRenderedPageBreak/>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w:t>
            </w:r>
            <w:r>
              <w:rPr>
                <w:rFonts w:ascii="Times New Roman" w:hAnsi="Times New Roman" w:cs="Times New Roman"/>
                <w:bCs/>
              </w:rPr>
              <w:lastRenderedPageBreak/>
              <w:t>for more advanced operation. Option 2 is assumed for short PUCCH, and it is only 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0.9pt;height:116.95pt;mso-width-percent:0;mso-height-percent:0;mso-width-percent:0;mso-height-percent:0" o:ole="">
                  <v:imagedata r:id="rId46" o:title=""/>
                </v:shape>
                <o:OLEObject Type="Embed" ProgID="Visio.Drawing.15" ShapeID="_x0000_i1036" DrawAspect="Content" ObjectID="_1691325184"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af8"/>
              <w:ind w:firstLineChars="0" w:firstLine="0"/>
              <w:rPr>
                <w:bCs/>
                <w:sz w:val="20"/>
                <w:szCs w:val="20"/>
                <w:lang w:eastAsia="zh-CN"/>
              </w:rPr>
            </w:pPr>
          </w:p>
          <w:p w14:paraId="044CF341" w14:textId="77777777" w:rsidR="002D34FC" w:rsidRDefault="007B5577">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8"/>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8"/>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lastRenderedPageBreak/>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TDWs can be explicitly configured or implicitly </w:t>
            </w:r>
            <w:r>
              <w:rPr>
                <w:rFonts w:ascii="Times New Roman" w:hAnsi="Times New Roman" w:cs="Times New Roman"/>
                <w:color w:val="FF0000"/>
              </w:rPr>
              <w:lastRenderedPageBreak/>
              <w:t>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1.25pt;height:297.15pt" o:ole="">
                  <v:imagedata r:id="rId48" o:title=""/>
                </v:shape>
                <o:OLEObject Type="Embed" ProgID="Visio.Drawing.11" ShapeID="_x0000_i1037" DrawAspect="Content" ObjectID="_1691325185"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1pt;height:334.2pt" o:ole="">
                  <v:imagedata r:id="rId50" o:title=""/>
                </v:shape>
                <o:OLEObject Type="Embed" ProgID="Visio.Drawing.11" ShapeID="_x0000_i1038" DrawAspect="Content" ObjectID="_1691325186"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6pt;height:280.9pt" o:ole="">
                  <v:imagedata r:id="rId52" o:title=""/>
                </v:shape>
                <o:OLEObject Type="Embed" ProgID="Visio.Drawing.11" ShapeID="_x0000_i1039" DrawAspect="Content" ObjectID="_1691325187"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w:t>
            </w:r>
            <w:r>
              <w:rPr>
                <w:rFonts w:ascii="Times New Roman" w:hAnsi="Times New Roman" w:cs="Times New Roman"/>
                <w:bCs/>
              </w:rPr>
              <w:lastRenderedPageBreak/>
              <w:t>for bundled DMRS.  If coherence can’t be reliably maintained, the benefit of joint 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宋体" w:hAnsi="Times New Roman" w:cs="Times New Roman"/>
                <w:bCs/>
              </w:rPr>
            </w:pPr>
            <w:r>
              <w:rPr>
                <w:rFonts w:ascii="Times New Roman" w:eastAsia="宋体"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8"/>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w:t>
            </w:r>
            <w:r>
              <w:rPr>
                <w:rFonts w:ascii="Times New Roman" w:eastAsia="Malgun Gothic" w:hAnsi="Times New Roman" w:cs="Times New Roman"/>
                <w:bCs/>
                <w:lang w:val="en-GB" w:eastAsia="ko-KR"/>
              </w:rPr>
              <w:lastRenderedPageBreak/>
              <w:t>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 xml:space="preserve">In our view, the UE can apply the TPC command in a first slot for PUSCH   within the TDW but the UE should not apply the TPC command in other slots for PUSCH within </w:t>
            </w:r>
            <w:r>
              <w:rPr>
                <w:rFonts w:ascii="Times New Roman" w:hAnsi="Times New Roman" w:cs="Times New Roman"/>
                <w:bCs/>
              </w:rPr>
              <w:lastRenderedPageBreak/>
              <w:t>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8"/>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8"/>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2"/>
        <w:spacing w:before="156" w:after="156"/>
        <w:rPr>
          <w:rFonts w:ascii="Arial" w:hAnsi="Arial" w:cs="Arial"/>
        </w:rPr>
      </w:pPr>
      <w:r>
        <w:rPr>
          <w:rFonts w:ascii="Arial" w:hAnsi="Arial" w:cs="Arial"/>
        </w:rPr>
        <w:t>6.1 Use cases</w:t>
      </w:r>
    </w:p>
    <w:p w14:paraId="1357BA65" w14:textId="77777777" w:rsidR="00836483" w:rsidRDefault="00836483" w:rsidP="00836483">
      <w:pPr>
        <w:pStyle w:val="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3"/>
        <w:spacing w:before="156" w:after="156"/>
        <w:rPr>
          <w:rFonts w:ascii="Arial" w:hAnsi="Arial" w:cs="Arial"/>
        </w:rPr>
      </w:pPr>
      <w:r>
        <w:rPr>
          <w:rFonts w:ascii="Arial" w:hAnsi="Arial" w:cs="Arial"/>
        </w:rPr>
        <w:t>6.1.2 TBoMS (on hold)</w:t>
      </w:r>
    </w:p>
    <w:p w14:paraId="4051C8FA" w14:textId="77777777" w:rsidR="00836483" w:rsidRDefault="00836483" w:rsidP="0083648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1.25pt;height:297.15pt" o:ole="">
            <v:imagedata r:id="rId48" o:title=""/>
          </v:shape>
          <o:OLEObject Type="Embed" ProgID="Visio.Drawing.11" ShapeID="_x0000_i1040" DrawAspect="Content" ObjectID="_1691325188"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1pt;height:334.2pt" o:ole="">
            <v:imagedata r:id="rId50" o:title=""/>
          </v:shape>
          <o:OLEObject Type="Embed" ProgID="Visio.Drawing.11" ShapeID="_x0000_i1041" DrawAspect="Content" ObjectID="_1691325189"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9.6pt;height:280.9pt" o:ole="">
            <v:imagedata r:id="rId52" o:title=""/>
          </v:shape>
          <o:OLEObject Type="Embed" ProgID="Visio.Drawing.11" ShapeID="_x0000_i1042" DrawAspect="Content" ObjectID="_1691325190"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6E0B76">
        <w:rPr>
          <w:rFonts w:ascii="Times New Roman" w:eastAsia="宋体" w:hAnsi="Times New Roman" w:cs="Times New Roman"/>
          <w:b/>
          <w:kern w:val="0"/>
          <w:szCs w:val="21"/>
          <w:highlight w:val="yellow"/>
          <w:lang w:eastAsia="en-US"/>
        </w:rPr>
        <w:t xml:space="preserve"> There are following observations based on companies’ comments.</w:t>
      </w:r>
    </w:p>
    <w:tbl>
      <w:tblPr>
        <w:tblStyle w:val="af4"/>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lastRenderedPageBreak/>
              <w:t>It can provide better performance than Alt 2-C.</w:t>
            </w:r>
          </w:p>
          <w:p w14:paraId="0B51B3CE" w14:textId="77777777" w:rsidR="00836483" w:rsidRPr="008F3551" w:rsidRDefault="00836483" w:rsidP="00A6352D">
            <w:pPr>
              <w:pStyle w:val="af8"/>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77777777" w:rsidR="00836483" w:rsidRPr="00137AF7" w:rsidRDefault="00836483" w:rsidP="00A6352D">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77777777"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宋体" w:hAnsi="Times New Roman" w:cs="Times New Roman"/>
          <w:b/>
          <w:kern w:val="0"/>
          <w:szCs w:val="21"/>
          <w:highlight w:val="yellow"/>
          <w:lang w:eastAsia="en-US"/>
        </w:rPr>
      </w:pPr>
    </w:p>
    <w:p w14:paraId="67856019" w14:textId="77777777" w:rsidR="00836483" w:rsidRDefault="00836483" w:rsidP="0083648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af8"/>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af8"/>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af8"/>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w:t>
            </w:r>
            <w:r w:rsidRPr="00100607">
              <w:rPr>
                <w:rFonts w:eastAsia="MS Mincho"/>
                <w:bCs/>
                <w:sz w:val="21"/>
                <w:szCs w:val="21"/>
                <w:lang w:val="en-GB" w:eastAsia="ja-JP"/>
              </w:rPr>
              <w:lastRenderedPageBreak/>
              <w:t>hopping and precoder cycling are different. Therefore, with this parameter, we ensure to say "it can achieve the best performance for joint channel estimation".</w:t>
            </w:r>
          </w:p>
          <w:p w14:paraId="3078DADB" w14:textId="77777777" w:rsidR="00100607"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af8"/>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af8"/>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7.6pt;height:341.25pt" o:ole="">
                  <v:imagedata r:id="rId57" o:title=""/>
                </v:shape>
                <o:OLEObject Type="Embed" ProgID="Visio.Drawing.11" ShapeID="_x0000_i1043" DrawAspect="Content" ObjectID="_1691325191"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w:t>
            </w:r>
            <w:r>
              <w:rPr>
                <w:rFonts w:ascii="Times New Roman" w:hAnsi="Times New Roman" w:cs="Times New Roman"/>
                <w:bCs/>
              </w:rPr>
              <w:lastRenderedPageBreak/>
              <w:t xml:space="preserve">prefer to 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Pr="004172D6">
              <w:rPr>
                <w:rFonts w:ascii="Times New Roman" w:eastAsia="MS Mincho" w:hAnsi="Times New Roman" w:cs="Times New Roman"/>
                <w:bCs/>
                <w:lang w:val="en-GB" w:eastAsia="ja-JP"/>
              </w:rPr>
              <w:t xml:space="preserve">"actual TDW" or "sub-window" in alt 2-C and alt 2-C', not for "nominal TDW" or "TDW"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hint="eastAsia"/>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w:t>
            </w:r>
            <w:r>
              <w:rPr>
                <w:rFonts w:ascii="Times New Roman" w:hAnsi="Times New Roman" w:cs="Times New Roman"/>
                <w:bCs/>
                <w:lang w:val="en-GB"/>
              </w:rPr>
              <w:t>Panasonic</w:t>
            </w:r>
            <w:r>
              <w:rPr>
                <w:rFonts w:ascii="Times New Roman" w:hAnsi="Times New Roman" w:cs="Times New Roman"/>
                <w:bCs/>
                <w:lang w:val="en-GB"/>
              </w:rPr>
              <w:t>, Understand your point. Due to the 2-step determination of TDW</w:t>
            </w:r>
            <w:r w:rsidR="00793233">
              <w:rPr>
                <w:rFonts w:ascii="Times New Roman" w:hAnsi="Times New Roman" w:cs="Times New Roman"/>
                <w:bCs/>
                <w:lang w:val="en-GB"/>
              </w:rPr>
              <w:t xml:space="preserve"> for Alt 2-C’</w:t>
            </w:r>
            <w:bookmarkStart w:id="11" w:name="_GoBack"/>
            <w:bookmarkEnd w:id="11"/>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w:t>
      </w:r>
      <w:r w:rsidRPr="00D411AB">
        <w:rPr>
          <w:rFonts w:ascii="Times New Roman" w:eastAsia="宋体" w:hAnsi="Times New Roman" w:cs="Times New Roman"/>
          <w:b/>
          <w:kern w:val="0"/>
          <w:szCs w:val="21"/>
          <w:highlight w:val="yellow"/>
          <w:lang w:eastAsia="en-US"/>
        </w:rPr>
        <w:t xml:space="preserve"> Based on companies’ comments, </w:t>
      </w:r>
      <w:r>
        <w:rPr>
          <w:rFonts w:ascii="Times New Roman" w:eastAsia="宋体" w:hAnsi="Times New Roman" w:cs="Times New Roman"/>
          <w:b/>
          <w:kern w:val="0"/>
          <w:szCs w:val="21"/>
          <w:highlight w:val="yellow"/>
          <w:lang w:eastAsia="en-US"/>
        </w:rPr>
        <w:t xml:space="preserve">the </w:t>
      </w:r>
      <w:r w:rsidRPr="00D411AB">
        <w:rPr>
          <w:rFonts w:ascii="Times New Roman" w:eastAsia="宋体" w:hAnsi="Times New Roman" w:cs="Times New Roman"/>
          <w:b/>
          <w:kern w:val="0"/>
          <w:szCs w:val="21"/>
          <w:highlight w:val="yellow"/>
          <w:lang w:eastAsia="en-US"/>
        </w:rPr>
        <w:t>fo</w:t>
      </w:r>
      <w:r>
        <w:rPr>
          <w:rFonts w:ascii="Times New Roman" w:eastAsia="宋体" w:hAnsi="Times New Roman" w:cs="Times New Roman"/>
          <w:b/>
          <w:kern w:val="0"/>
          <w:szCs w:val="21"/>
          <w:highlight w:val="yellow"/>
          <w:lang w:eastAsia="en-US"/>
        </w:rPr>
        <w:t>llowing observation</w:t>
      </w:r>
      <w:r w:rsidRPr="00D411AB">
        <w:rPr>
          <w:rFonts w:ascii="Times New Roman" w:eastAsia="宋体" w:hAnsi="Times New Roman" w:cs="Times New Roman"/>
          <w:b/>
          <w:kern w:val="0"/>
          <w:szCs w:val="21"/>
          <w:highlight w:val="yellow"/>
          <w:lang w:eastAsia="en-US"/>
        </w:rPr>
        <w:t xml:space="preserve"> can be drawn. </w:t>
      </w:r>
      <w:r w:rsidRPr="00E1214E">
        <w:rPr>
          <w:rFonts w:ascii="Times New Roman" w:eastAsia="宋体"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宋体" w:hAnsi="Times New Roman" w:cs="Times New Roman"/>
          <w:b/>
          <w:kern w:val="0"/>
          <w:szCs w:val="21"/>
          <w:highlight w:val="yellow"/>
          <w:lang w:eastAsia="en-US"/>
        </w:rPr>
        <w:t>Companies are encouraged to p</w:t>
      </w:r>
      <w:r>
        <w:rPr>
          <w:rFonts w:ascii="Times New Roman" w:eastAsia="宋体" w:hAnsi="Times New Roman" w:cs="Times New Roman"/>
          <w:b/>
          <w:kern w:val="0"/>
          <w:szCs w:val="21"/>
          <w:highlight w:val="yellow"/>
          <w:lang w:eastAsia="en-US"/>
        </w:rPr>
        <w:t>rovide views on the observation</w:t>
      </w:r>
      <w:r w:rsidRPr="00E1214E">
        <w:rPr>
          <w:rFonts w:ascii="Times New Roman" w:eastAsia="宋体"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af8"/>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af8"/>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af8"/>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af8"/>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w:t>
            </w:r>
            <w:r>
              <w:rPr>
                <w:rFonts w:ascii="Times New Roman" w:eastAsia="MS Mincho" w:hAnsi="Times New Roman" w:cs="Times New Roman"/>
                <w:bCs/>
                <w:lang w:val="en-GB" w:eastAsia="ja-JP"/>
              </w:rPr>
              <w:lastRenderedPageBreak/>
              <w:t xml:space="preserve">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2"/>
        <w:spacing w:before="156" w:after="156"/>
        <w:rPr>
          <w:rFonts w:ascii="Arial" w:hAnsi="Arial" w:cs="Arial"/>
        </w:rPr>
      </w:pPr>
      <w:r>
        <w:rPr>
          <w:rFonts w:ascii="Arial" w:hAnsi="Arial" w:cs="Arial"/>
        </w:rPr>
        <w:t>6.3 Others</w:t>
      </w:r>
    </w:p>
    <w:p w14:paraId="4204B21A" w14:textId="77777777" w:rsidR="00836483" w:rsidRDefault="00836483" w:rsidP="00836483">
      <w:pPr>
        <w:pStyle w:val="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hint="eastAsia"/>
          <w:b/>
          <w:kern w:val="0"/>
          <w:szCs w:val="21"/>
          <w:highlight w:val="yellow"/>
          <w:lang w:eastAsia="en-US"/>
        </w:rPr>
        <w:t>F</w:t>
      </w:r>
      <w:r w:rsidRPr="00157A9B">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2006BB">
        <w:rPr>
          <w:rFonts w:ascii="Times New Roman" w:eastAsia="宋体"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af8"/>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af8"/>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sidRPr="00157A9B">
        <w:rPr>
          <w:rFonts w:ascii="Times New Roman" w:eastAsia="宋体" w:hAnsi="Times New Roman" w:cs="Times New Roman"/>
          <w:b/>
          <w:kern w:val="0"/>
          <w:szCs w:val="21"/>
          <w:highlight w:val="yellow"/>
          <w:lang w:eastAsia="en-US"/>
        </w:rPr>
        <w:lastRenderedPageBreak/>
        <w:t xml:space="preserve">For 1) Based on companies’ comments, it seems we have two cases, i.e., larger than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 xml:space="preserve">, and within K symbols before the </w:t>
      </w:r>
      <w:r>
        <w:rPr>
          <w:rFonts w:ascii="Times New Roman" w:eastAsia="宋体" w:hAnsi="Times New Roman" w:cs="Times New Roman"/>
          <w:b/>
          <w:kern w:val="0"/>
          <w:szCs w:val="21"/>
          <w:highlight w:val="yellow"/>
          <w:lang w:eastAsia="en-US"/>
        </w:rPr>
        <w:t>start of one TDW</w:t>
      </w:r>
      <w:r w:rsidRPr="00157A9B">
        <w:rPr>
          <w:rFonts w:ascii="Times New Roman" w:eastAsia="宋体"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larger than K symbols before the </w:t>
      </w:r>
      <w:r>
        <w:rPr>
          <w:rFonts w:ascii="Times New Roman" w:eastAsia="宋体" w:hAnsi="Times New Roman" w:cs="Times New Roman"/>
          <w:b/>
          <w:kern w:val="0"/>
          <w:szCs w:val="21"/>
          <w:highlight w:val="yellow"/>
          <w:lang w:eastAsia="en-US"/>
        </w:rPr>
        <w:t xml:space="preserve">start of one TDW, </w:t>
      </w:r>
      <w:r w:rsidRPr="0052438B">
        <w:rPr>
          <w:rFonts w:ascii="Times New Roman" w:eastAsia="宋体" w:hAnsi="Times New Roman" w:cs="Times New Roman"/>
          <w:b/>
          <w:kern w:val="0"/>
          <w:szCs w:val="21"/>
          <w:highlight w:val="yellow"/>
          <w:lang w:eastAsia="en-US"/>
        </w:rPr>
        <w:t xml:space="preserve">TPC commands takes effect at the beginning of the time domain </w:t>
      </w:r>
      <w:r w:rsidRPr="0052438B">
        <w:rPr>
          <w:rFonts w:ascii="Times New Roman" w:eastAsia="宋体" w:hAnsi="Times New Roman" w:cs="Times New Roman" w:hint="eastAsia"/>
          <w:b/>
          <w:kern w:val="0"/>
          <w:szCs w:val="21"/>
          <w:highlight w:val="yellow"/>
          <w:lang w:eastAsia="en-US"/>
        </w:rPr>
        <w:t>windo</w:t>
      </w:r>
      <w:r w:rsidRPr="0052438B">
        <w:rPr>
          <w:rFonts w:ascii="Times New Roman" w:eastAsia="宋体"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w:t>
      </w:r>
      <w:r w:rsidRPr="000C4502">
        <w:rPr>
          <w:rFonts w:ascii="Times New Roman" w:eastAsia="宋体" w:hAnsi="Times New Roman" w:cs="Times New Roman"/>
          <w:b/>
          <w:kern w:val="0"/>
          <w:szCs w:val="21"/>
          <w:highlight w:val="yellow"/>
          <w:lang w:eastAsia="en-US"/>
        </w:rPr>
        <w:t>UE receives TPC commands</w:t>
      </w:r>
      <w:r>
        <w:rPr>
          <w:rFonts w:ascii="Times New Roman" w:eastAsia="宋体" w:hAnsi="Times New Roman" w:cs="Times New Roman"/>
          <w:b/>
          <w:kern w:val="0"/>
          <w:szCs w:val="21"/>
          <w:highlight w:val="yellow"/>
          <w:lang w:eastAsia="en-US"/>
        </w:rPr>
        <w:t xml:space="preserve"> </w:t>
      </w:r>
      <w:r w:rsidRPr="00157A9B">
        <w:rPr>
          <w:rFonts w:ascii="Times New Roman" w:eastAsia="宋体" w:hAnsi="Times New Roman" w:cs="Times New Roman"/>
          <w:b/>
          <w:kern w:val="0"/>
          <w:szCs w:val="21"/>
          <w:highlight w:val="yellow"/>
          <w:lang w:eastAsia="en-US"/>
        </w:rPr>
        <w:t xml:space="preserve">within K symbols before the </w:t>
      </w:r>
      <w:r>
        <w:rPr>
          <w:rFonts w:ascii="Times New Roman" w:eastAsia="宋体"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af8"/>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af8"/>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宋体"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宋体" w:hAnsi="Times New Roman" w:cs="Times New Roman"/>
          <w:b/>
          <w:kern w:val="0"/>
          <w:szCs w:val="21"/>
          <w:highlight w:val="yellow"/>
        </w:rPr>
      </w:pPr>
      <w:r w:rsidRPr="00157A9B">
        <w:rPr>
          <w:rFonts w:ascii="Times New Roman" w:eastAsia="宋体" w:hAnsi="Times New Roman" w:cs="Times New Roman" w:hint="eastAsia"/>
          <w:b/>
          <w:kern w:val="0"/>
          <w:szCs w:val="21"/>
          <w:highlight w:val="yellow"/>
        </w:rPr>
        <w:t>P</w:t>
      </w:r>
      <w:r w:rsidRPr="00157A9B">
        <w:rPr>
          <w:rFonts w:ascii="Times New Roman" w:eastAsia="宋体" w:hAnsi="Times New Roman" w:cs="Times New Roman"/>
          <w:b/>
          <w:kern w:val="0"/>
          <w:szCs w:val="21"/>
          <w:highlight w:val="yellow"/>
        </w:rPr>
        <w:t xml:space="preserve">roposal: </w:t>
      </w:r>
    </w:p>
    <w:p w14:paraId="3268A5D0" w14:textId="77777777" w:rsidR="00836483" w:rsidRDefault="00836483" w:rsidP="00836483">
      <w:pPr>
        <w:pStyle w:val="af8"/>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af8"/>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af8"/>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af8"/>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af8"/>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3"/>
        <w:spacing w:before="156" w:after="156"/>
        <w:rPr>
          <w:rFonts w:ascii="Arial" w:hAnsi="Arial" w:cs="Arial"/>
        </w:rPr>
      </w:pPr>
      <w:r>
        <w:rPr>
          <w:rFonts w:ascii="Arial" w:hAnsi="Arial" w:cs="Arial"/>
        </w:rPr>
        <w:lastRenderedPageBreak/>
        <w:t>6.3.2 TA adjustment</w:t>
      </w:r>
    </w:p>
    <w:p w14:paraId="5E794862" w14:textId="77777777" w:rsidR="00836483" w:rsidRDefault="00836483" w:rsidP="0083648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w:t>
      </w:r>
      <w:r w:rsidRPr="00CA0F18">
        <w:rPr>
          <w:rFonts w:ascii="Times New Roman" w:eastAsia="宋体"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af8"/>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af8"/>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af8"/>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af8"/>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8"/>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8"/>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8"/>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8"/>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8"/>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等线"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等线"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C24CA00" w14:textId="77777777" w:rsidR="002D34FC" w:rsidRDefault="007B5577">
      <w:pPr>
        <w:pStyle w:val="af8"/>
        <w:numPr>
          <w:ilvl w:val="1"/>
          <w:numId w:val="21"/>
        </w:numPr>
        <w:adjustRightInd/>
        <w:spacing w:line="252" w:lineRule="auto"/>
        <w:ind w:left="780" w:firstLineChars="0"/>
        <w:rPr>
          <w:sz w:val="21"/>
          <w:szCs w:val="21"/>
        </w:rPr>
      </w:pPr>
      <w:r>
        <w:rPr>
          <w:sz w:val="21"/>
          <w:szCs w:val="21"/>
        </w:rPr>
        <w:lastRenderedPageBreak/>
        <w:t>Option 1: The unit of the time domain window is defined separately for the following PUSCH transmissions:</w:t>
      </w:r>
    </w:p>
    <w:p w14:paraId="1A661C39"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8"/>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8"/>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8"/>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8"/>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af8"/>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宋体"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69952A83" w14:textId="77777777" w:rsidR="002D34FC" w:rsidRDefault="007B5577">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8"/>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8"/>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8"/>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8"/>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8"/>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8"/>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8"/>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8"/>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8"/>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8"/>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8"/>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8"/>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8"/>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8"/>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8"/>
        <w:numPr>
          <w:ilvl w:val="2"/>
          <w:numId w:val="10"/>
        </w:numPr>
        <w:adjustRightInd/>
        <w:spacing w:line="252" w:lineRule="auto"/>
        <w:ind w:firstLineChars="0"/>
        <w:rPr>
          <w:sz w:val="21"/>
          <w:szCs w:val="21"/>
        </w:rPr>
      </w:pPr>
      <w:r>
        <w:rPr>
          <w:sz w:val="21"/>
          <w:szCs w:val="21"/>
        </w:rPr>
        <w:lastRenderedPageBreak/>
        <w:t>DMRS located in special slots</w:t>
      </w:r>
    </w:p>
    <w:p w14:paraId="62B60941" w14:textId="77777777" w:rsidR="002D34FC" w:rsidRDefault="007B5577">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2"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2"/>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3" w:name="_Ref76651243"/>
      <w:bookmarkStart w:id="14"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14"/>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5"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5"/>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16"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6"/>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7"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7"/>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18"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8"/>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FFDFC" w14:textId="77777777" w:rsidR="00CC29F3" w:rsidRDefault="00CC29F3" w:rsidP="008B642E">
      <w:pPr>
        <w:spacing w:after="0" w:line="240" w:lineRule="auto"/>
      </w:pPr>
      <w:r>
        <w:separator/>
      </w:r>
    </w:p>
  </w:endnote>
  <w:endnote w:type="continuationSeparator" w:id="0">
    <w:p w14:paraId="28AAC695" w14:textId="77777777" w:rsidR="00CC29F3" w:rsidRDefault="00CC29F3"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8FF8A" w14:textId="77777777" w:rsidR="00CC29F3" w:rsidRDefault="00CC29F3" w:rsidP="008B642E">
      <w:pPr>
        <w:spacing w:after="0" w:line="240" w:lineRule="auto"/>
      </w:pPr>
      <w:r>
        <w:separator/>
      </w:r>
    </w:p>
  </w:footnote>
  <w:footnote w:type="continuationSeparator" w:id="0">
    <w:p w14:paraId="498B8951" w14:textId="77777777" w:rsidR="00CC29F3" w:rsidRDefault="00CC29F3"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宋体" w:eastAsia="宋体" w:hAnsi="宋体"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9B4"/>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목록 단락"/>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3">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9"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7CF56661-432F-4BDA-8F2B-30B982E27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122</Pages>
  <Words>39058</Words>
  <Characters>222631</Characters>
  <Application>Microsoft Office Word</Application>
  <DocSecurity>0</DocSecurity>
  <Lines>1855</Lines>
  <Paragraphs>522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P R C</Company>
  <LinksUpToDate>false</LinksUpToDate>
  <CharactersWithSpaces>261167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12</cp:revision>
  <cp:lastPrinted>2021-04-15T03:16:00Z</cp:lastPrinted>
  <dcterms:created xsi:type="dcterms:W3CDTF">2021-08-24T07:28:00Z</dcterms:created>
  <dcterms:modified xsi:type="dcterms:W3CDTF">2021-08-24T07:45:00Z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