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lastRenderedPageBreak/>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lastRenderedPageBreak/>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1"/>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1"/>
        <w:numPr>
          <w:ilvl w:val="0"/>
          <w:numId w:val="10"/>
        </w:numPr>
        <w:spacing w:line="240" w:lineRule="auto"/>
        <w:ind w:firstLineChars="0"/>
        <w:rPr>
          <w:sz w:val="21"/>
          <w:szCs w:val="21"/>
        </w:rPr>
      </w:pPr>
      <w:r>
        <w:rPr>
          <w:sz w:val="21"/>
          <w:szCs w:val="21"/>
        </w:rPr>
        <w:lastRenderedPageBreak/>
        <w:t>RB allocation in terms of length and frequency position should not be changed, and intra-slot and inter-slot frequency hopping is not enabled within a repetition bundle.</w:t>
      </w:r>
    </w:p>
    <w:p w14:paraId="2B1D4769" w14:textId="77777777" w:rsidR="002D34FC" w:rsidRDefault="007B5577">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1"/>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w:t>
      </w:r>
      <w:r>
        <w:rPr>
          <w:rFonts w:ascii="Times New Roman" w:hAnsi="Times New Roman"/>
          <w:sz w:val="21"/>
          <w:szCs w:val="21"/>
          <w:lang w:eastAsia="zh-CN"/>
        </w:rPr>
        <w:lastRenderedPageBreak/>
        <w:t xml:space="preserve">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6"/>
        <w:spacing w:beforeLines="0" w:before="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1"/>
        <w:numPr>
          <w:ilvl w:val="0"/>
          <w:numId w:val="10"/>
        </w:numPr>
        <w:spacing w:line="240" w:lineRule="auto"/>
        <w:ind w:firstLineChars="0"/>
        <w:rPr>
          <w:sz w:val="21"/>
          <w:szCs w:val="21"/>
        </w:rPr>
      </w:pPr>
      <w:r>
        <w:rPr>
          <w:sz w:val="21"/>
          <w:szCs w:val="21"/>
        </w:rPr>
        <w:lastRenderedPageBreak/>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lastRenderedPageBreak/>
        <w:t xml:space="preserve">2.2 Use cases for joint channel estimation </w:t>
      </w:r>
    </w:p>
    <w:p w14:paraId="51C06D40" w14:textId="77777777" w:rsidR="002D34FC" w:rsidRDefault="007B5577">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0881F4DD"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lastRenderedPageBreak/>
        <w:t xml:space="preserve">Note: intervening “other uplink transmissions” can be either on the same component carrier or a different component carrier. </w:t>
      </w:r>
    </w:p>
    <w:p w14:paraId="72FCA7B4"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6"/>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9985448"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13E6418D"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036D6736" w14:textId="77777777" w:rsidR="002D34FC"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171D43CF" w14:textId="77777777" w:rsidR="002D34FC"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58BF10B9" w14:textId="77777777" w:rsidR="002D34FC"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2D575F2D" w14:textId="77777777" w:rsidR="002D34FC" w:rsidRDefault="002D34FC">
      <w:pPr>
        <w:pStyle w:val="a6"/>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lastRenderedPageBreak/>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af1"/>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lastRenderedPageBreak/>
        <w:t>Other considerations for use case 4a:</w:t>
      </w:r>
    </w:p>
    <w:p w14:paraId="5AC31624" w14:textId="77777777" w:rsidR="002D34FC" w:rsidRDefault="007B5577">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6"/>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p>
        </w:tc>
        <w:tc>
          <w:tcPr>
            <w:tcW w:w="5528" w:type="dxa"/>
          </w:tcPr>
          <w:p w14:paraId="1E7DBB02"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Transmissions with different TBs</w:t>
            </w:r>
          </w:p>
        </w:tc>
        <w:tc>
          <w:tcPr>
            <w:tcW w:w="5528" w:type="dxa"/>
          </w:tcPr>
          <w:p w14:paraId="15B8093E"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6"/>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6"/>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lastRenderedPageBreak/>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lastRenderedPageBreak/>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signalling UE capability (if supported). A new parameter (maximum time domain window </w:t>
      </w:r>
      <w:r>
        <w:rPr>
          <w:rFonts w:ascii="Times New Roman" w:hAnsi="Times New Roman" w:cs="Times New Roman"/>
          <w:szCs w:val="21"/>
        </w:rPr>
        <w:lastRenderedPageBreak/>
        <w:t>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2pt;height:60.2pt" o:ole="">
            <v:imagedata r:id="rId16" o:title=""/>
          </v:shape>
          <o:OLEObject Type="Embed" ProgID="Visio.Drawing.11" ShapeID="_x0000_i1025" DrawAspect="Content" ObjectID="_1691235672"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51DC87E6">
          <v:shape id="_x0000_i1026" type="#_x0000_t75" style="width:291.2pt;height:94.05pt" o:ole="">
            <v:imagedata r:id="rId18" o:title=""/>
          </v:shape>
          <o:OLEObject Type="Embed" ProgID="Visio.Drawing.11" ShapeID="_x0000_i1026" DrawAspect="Content" ObjectID="_1691235673"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14567439">
          <v:shape id="_x0000_i1027" type="#_x0000_t75" style="width:291.2pt;height:60.2pt" o:ole="">
            <v:imagedata r:id="rId20" o:title=""/>
          </v:shape>
          <o:OLEObject Type="Embed" ProgID="Visio.Drawing.11" ShapeID="_x0000_i1027" DrawAspect="Content" ObjectID="_1691235674"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3B5773D">
          <v:shape id="_x0000_i1028" type="#_x0000_t75" style="width:291.2pt;height:60.2pt" o:ole="">
            <v:imagedata r:id="rId22" o:title=""/>
          </v:shape>
          <o:OLEObject Type="Embed" ProgID="Visio.Drawing.11" ShapeID="_x0000_i1028" DrawAspect="Content" ObjectID="_1691235675"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73AC3267">
          <v:shape id="_x0000_i1029" type="#_x0000_t75" style="width:291.2pt;height:94.05pt" o:ole="">
            <v:imagedata r:id="rId24" o:title=""/>
          </v:shape>
          <o:OLEObject Type="Embed" ProgID="Visio.Drawing.11" ShapeID="_x0000_i1029" DrawAspect="Content" ObjectID="_1691235676"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1"/>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1"/>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1"/>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1"/>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1"/>
              <w:numPr>
                <w:ilvl w:val="1"/>
                <w:numId w:val="20"/>
              </w:numPr>
              <w:spacing w:after="0"/>
              <w:ind w:firstLineChars="0"/>
              <w:rPr>
                <w:sz w:val="21"/>
                <w:szCs w:val="21"/>
              </w:rPr>
            </w:pPr>
            <w:r>
              <w:rPr>
                <w:rFonts w:hint="eastAsia"/>
                <w:sz w:val="21"/>
                <w:szCs w:val="21"/>
                <w:lang w:eastAsia="zh-CN"/>
              </w:rPr>
              <w:t xml:space="preserve">Xiaomi, </w:t>
            </w:r>
          </w:p>
          <w:p w14:paraId="07CE46A8"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1"/>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TBoMS</w:t>
            </w:r>
          </w:p>
        </w:tc>
        <w:tc>
          <w:tcPr>
            <w:tcW w:w="6175" w:type="dxa"/>
          </w:tcPr>
          <w:p w14:paraId="7FD6A86A"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1"/>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1"/>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1"/>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6"/>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7B5577">
      <w:pPr>
        <w:tabs>
          <w:tab w:val="left" w:pos="1701"/>
        </w:tabs>
        <w:spacing w:after="120" w:line="240" w:lineRule="auto"/>
        <w:rPr>
          <w:rFonts w:ascii="Times New Roman" w:hAnsi="Times New Roman" w:cs="Times New Roman"/>
          <w:b/>
          <w:u w:val="single"/>
        </w:rPr>
      </w:pPr>
      <w:r>
        <w:rPr>
          <w:rFonts w:ascii="Times New Roman" w:eastAsia="바탕" w:hAnsi="Times New Roman" w:cs="Times New Roman"/>
          <w:kern w:val="0"/>
          <w:sz w:val="20"/>
          <w:szCs w:val="20"/>
          <w:lang w:eastAsia="ko-KR"/>
        </w:rPr>
        <w:object w:dxaOrig="9780" w:dyaOrig="1940" w14:anchorId="34EFF948">
          <v:shape id="_x0000_i1030" type="#_x0000_t75" style="width:488.95pt;height:97.25pt" o:ole="">
            <v:imagedata r:id="rId29" o:title=""/>
          </v:shape>
          <o:OLEObject Type="Embed" ProgID="Visio.Drawing.15" ShapeID="_x0000_i1030" DrawAspect="Content" ObjectID="_1691235677"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(InterDigital)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7B5577">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1990" w14:anchorId="1604A22F">
          <v:shape id="_x0000_i1031" type="#_x0000_t75" style="width:436.85pt;height:99.4pt" o:ole="">
            <v:imagedata r:id="rId32" o:title=""/>
          </v:shape>
          <o:OLEObject Type="Embed" ProgID="Visio.Drawing.15" ShapeID="_x0000_i1031" DrawAspect="Content" ObjectID="_1691235678"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7B5577">
      <w:pPr>
        <w:tabs>
          <w:tab w:val="left" w:pos="1701"/>
        </w:tabs>
        <w:spacing w:after="120" w:line="240" w:lineRule="auto"/>
        <w:jc w:val="center"/>
      </w:pPr>
      <w:r>
        <w:object w:dxaOrig="8010" w:dyaOrig="2970" w14:anchorId="1E7B2B58">
          <v:shape id="_x0000_i1032" type="#_x0000_t75" style="width:400.3pt;height:148.3pt" o:ole="">
            <v:imagedata r:id="rId35" o:title=""/>
          </v:shape>
          <o:OLEObject Type="Embed" ProgID="Visio.Drawing.15" ShapeID="_x0000_i1032" DrawAspect="Content" ObjectID="_1691235679"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1"/>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맑은 고딕"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5778B58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맑은 고딕"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6E83DC17" w14:textId="77777777" w:rsidR="002D34FC" w:rsidRDefault="007B5577">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바탕"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1"/>
              <w:numPr>
                <w:ilvl w:val="0"/>
                <w:numId w:val="6"/>
              </w:numPr>
              <w:ind w:firstLineChars="0"/>
              <w:rPr>
                <w:bCs/>
                <w:sz w:val="20"/>
                <w:szCs w:val="20"/>
                <w:lang w:val="en-GB"/>
              </w:rPr>
            </w:pPr>
            <w:r>
              <w:rPr>
                <w:bCs/>
                <w:sz w:val="20"/>
                <w:szCs w:val="20"/>
                <w:lang w:val="en-GB"/>
              </w:rPr>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77A3876D" w14:textId="77777777" w:rsidR="002D34FC" w:rsidRDefault="007B5577">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05867DB0" w14:textId="77777777" w:rsidR="002D34FC" w:rsidRDefault="007B5577">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6985518A" w14:textId="77777777" w:rsidR="002D34FC" w:rsidRDefault="007B5577">
            <w:pPr>
              <w:pStyle w:val="af1"/>
              <w:numPr>
                <w:ilvl w:val="0"/>
                <w:numId w:val="35"/>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바탕"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1"/>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맑은 고딕"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맑은 고딕"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1"/>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17478073" w14:textId="77777777">
        <w:trPr>
          <w:trHeight w:val="409"/>
          <w:jc w:val="center"/>
        </w:trPr>
        <w:tc>
          <w:tcPr>
            <w:tcW w:w="1733" w:type="dxa"/>
            <w:shd w:val="clear" w:color="auto" w:fill="auto"/>
            <w:vAlign w:val="center"/>
          </w:tcPr>
          <w:p w14:paraId="23B35834"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324B8C06" w14:textId="77777777" w:rsidR="002D34FC" w:rsidRDefault="002D34FC">
            <w:pPr>
              <w:rPr>
                <w:rFonts w:ascii="Times New Roman" w:eastAsia="MS Mincho" w:hAnsi="Times New Roman" w:cs="Times New Roman"/>
                <w:bCs/>
                <w:lang w:val="en-GB" w:eastAsia="ja-JP"/>
              </w:rPr>
            </w:pP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587CDBA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바탕"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바탕"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바탕"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바탕" w:hAnsi="Times New Roman" w:cs="Times New Roman" w:hint="eastAsia"/>
          <w:b/>
          <w:kern w:val="0"/>
          <w:szCs w:val="21"/>
          <w:highlight w:val="yellow"/>
          <w:lang w:val="en-GB"/>
        </w:rPr>
        <w:t xml:space="preserve"> is</w:t>
      </w:r>
      <w:r>
        <w:rPr>
          <w:rFonts w:ascii="Times New Roman" w:eastAsia="바탕" w:hAnsi="Times New Roman" w:cs="Times New Roman" w:hint="eastAsia"/>
          <w:b/>
          <w:color w:val="FF0000"/>
          <w:kern w:val="0"/>
          <w:szCs w:val="21"/>
          <w:highlight w:val="yellow"/>
          <w:lang w:val="en-GB"/>
        </w:rPr>
        <w:t xml:space="preserve"> the </w:t>
      </w:r>
      <w:r>
        <w:rPr>
          <w:rFonts w:ascii="Times New Roman" w:eastAsia="바탕"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맑은 고딕"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맑은 고딕"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맑은 고딕"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맑은 고딕"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맑은 고딕" w:hAnsi="Times New Roman" w:cs="Times New Roman"/>
                <w:bCs/>
                <w:sz w:val="20"/>
                <w:szCs w:val="20"/>
                <w:lang w:val="en-GB" w:eastAsia="ko-KR"/>
              </w:rPr>
              <w:t>“</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맑은 고딕" w:hAnsi="Times New Roman" w:cs="Times New Roman"/>
                <w:bCs/>
                <w:sz w:val="20"/>
                <w:szCs w:val="20"/>
                <w:lang w:val="en-GB" w:eastAsia="ko-KR"/>
              </w:rPr>
              <w:t>”. We still suggest to update this as “</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맑은 고딕" w:hAnsi="Times New Roman" w:cs="Times New Roman"/>
                <w:bCs/>
                <w:color w:val="FF0000"/>
                <w:sz w:val="20"/>
                <w:szCs w:val="20"/>
                <w:lang w:val="en-GB" w:eastAsia="ko-KR"/>
              </w:rPr>
              <w:t>event</w:t>
            </w:r>
            <w:r>
              <w:rPr>
                <w:rFonts w:ascii="Times New Roman" w:eastAsia="맑은 고딕"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맑은 고딕"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68202941"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If delaying is not possible then our 2</w:t>
            </w:r>
            <w:r>
              <w:rPr>
                <w:rFonts w:ascii="Times New Roman" w:eastAsia="맑은 고딕" w:hAnsi="Times New Roman" w:cs="Times New Roman"/>
                <w:bCs/>
                <w:sz w:val="20"/>
                <w:szCs w:val="20"/>
                <w:vertAlign w:val="superscript"/>
                <w:lang w:val="en-GB" w:eastAsia="ko-KR"/>
              </w:rPr>
              <w:t>nd</w:t>
            </w:r>
            <w:r>
              <w:rPr>
                <w:rFonts w:ascii="Times New Roman" w:eastAsia="맑은 고딕"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eastAsia="바탕"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맑은 고딕" w:hAnsi="Times New Roman" w:cs="Times New Roman"/>
                <w:bCs/>
                <w:szCs w:val="21"/>
                <w:lang w:val="en-GB" w:eastAsia="ko-KR"/>
              </w:rPr>
              <w:t>“</w:t>
            </w:r>
            <w:r>
              <w:rPr>
                <w:rFonts w:ascii="Times New Roman" w:eastAsia="바탕"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맑은 고딕" w:hAnsi="Times New Roman" w:cs="Times New Roman"/>
                <w:bCs/>
                <w:color w:val="FF0000"/>
                <w:szCs w:val="21"/>
                <w:lang w:val="en-GB" w:eastAsia="ko-KR"/>
              </w:rPr>
              <w:t>event</w:t>
            </w:r>
            <w:r>
              <w:rPr>
                <w:rFonts w:ascii="Times New Roman" w:eastAsia="맑은 고딕"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1"/>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7CC4D66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1"/>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맑은 고딕"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1B0A58F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1"/>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Pr>
                <w:rFonts w:ascii="Times New Roman" w:eastAsia="맑은 고딕"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bookmarkStart w:id="11" w:name="_GoBack"/>
      <w:bookmarkEnd w:id="11"/>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77777777"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59E8C94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맑은 고딕"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맑은 고딕" w:hAnsi="Times New Roman" w:cs="Times New Roman" w:hint="eastAsia"/>
                <w:bCs/>
                <w:lang w:eastAsia="ko-KR"/>
              </w:rPr>
              <w:t>We are fine with the FL</w:t>
            </w:r>
            <w:r>
              <w:rPr>
                <w:rFonts w:ascii="Times New Roman" w:eastAsia="맑은 고딕"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맑은 고딕"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7B5577">
      <w:pPr>
        <w:jc w:val="center"/>
      </w:pPr>
      <w:r>
        <w:object w:dxaOrig="6820" w:dyaOrig="5530" w14:anchorId="42B463F7">
          <v:shape id="_x0000_i1033" type="#_x0000_t75" style="width:341.2pt;height:276.7pt" o:ole="">
            <v:imagedata r:id="rId39" o:title=""/>
          </v:shape>
          <o:OLEObject Type="Embed" ProgID="Visio.Drawing.11" ShapeID="_x0000_i1033" DrawAspect="Content" ObjectID="_1691235680" r:id="rId40"/>
        </w:object>
      </w:r>
    </w:p>
    <w:p w14:paraId="041C73DD" w14:textId="77777777" w:rsidR="002D34FC" w:rsidRDefault="007B5577">
      <w:pPr>
        <w:jc w:val="center"/>
      </w:pPr>
      <w:r>
        <w:object w:dxaOrig="6860" w:dyaOrig="6290" w14:anchorId="1D6BD28D">
          <v:shape id="_x0000_i1034" type="#_x0000_t75" style="width:342.8pt;height:314.35pt" o:ole="">
            <v:imagedata r:id="rId41" o:title=""/>
          </v:shape>
          <o:OLEObject Type="Embed" ProgID="Visio.Drawing.11" ShapeID="_x0000_i1034" DrawAspect="Content" ObjectID="_1691235681" r:id="rId42"/>
        </w:object>
      </w:r>
    </w:p>
    <w:p w14:paraId="52959F5B" w14:textId="77777777" w:rsidR="002D34FC" w:rsidRDefault="007B5577">
      <w:pPr>
        <w:jc w:val="center"/>
      </w:pPr>
      <w:r>
        <w:object w:dxaOrig="6970" w:dyaOrig="5180" w14:anchorId="4C791A34">
          <v:shape id="_x0000_i1035" type="#_x0000_t75" style="width:348.7pt;height:259pt" o:ole="">
            <v:imagedata r:id="rId43" o:title=""/>
          </v:shape>
          <o:OLEObject Type="Embed" ProgID="Visio.Drawing.11" ShapeID="_x0000_i1035" DrawAspect="Content" ObjectID="_1691235682"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DA8ECC0" w14:textId="77777777">
        <w:tc>
          <w:tcPr>
            <w:tcW w:w="1413" w:type="dxa"/>
          </w:tcPr>
          <w:p w14:paraId="58FE7C58"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7777777" w:rsidR="002D34FC" w:rsidRDefault="007B5577">
            <w:pPr>
              <w:jc w:val="center"/>
              <w:rPr>
                <w:rFonts w:ascii="Times New Roman" w:eastAsia="맑은 고딕"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맑은 고딕" w:hAnsi="Times New Roman" w:cs="Times New Roman" w:hint="eastAsia"/>
                <w:lang w:val="es-US" w:eastAsia="ko-KR"/>
              </w:rPr>
              <w:t>W</w:t>
            </w:r>
            <w:r>
              <w:rPr>
                <w:rFonts w:ascii="Times New Roman" w:eastAsia="맑은 고딕" w:hAnsi="Times New Roman" w:cs="Times New Roman"/>
                <w:lang w:val="es-US" w:eastAsia="ko-KR"/>
              </w:rPr>
              <w:t>ILUS, Ericsson, Sharp</w:t>
            </w:r>
          </w:p>
        </w:tc>
        <w:tc>
          <w:tcPr>
            <w:tcW w:w="4354" w:type="dxa"/>
          </w:tcPr>
          <w:p w14:paraId="17D3A68B" w14:textId="77777777" w:rsidR="002D34FC" w:rsidRDefault="002D34FC">
            <w:pPr>
              <w:jc w:val="center"/>
              <w:rPr>
                <w:rFonts w:ascii="Times New Roman" w:hAnsi="Times New Roman" w:cs="Times New Roman"/>
                <w:lang w:val="es-US"/>
              </w:rPr>
            </w:pPr>
          </w:p>
        </w:tc>
      </w:tr>
      <w:tr w:rsidR="002D34FC" w14:paraId="47E1EE28" w14:textId="77777777">
        <w:tc>
          <w:tcPr>
            <w:tcW w:w="1413" w:type="dxa"/>
          </w:tcPr>
          <w:p w14:paraId="448F5BD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AC22124" w14:textId="77777777" w:rsidR="002D34FC" w:rsidRDefault="002D34FC">
            <w:pPr>
              <w:jc w:val="center"/>
              <w:rPr>
                <w:rFonts w:ascii="Times New Roman" w:hAnsi="Times New Roman" w:cs="Times New Roman"/>
              </w:rPr>
            </w:pPr>
          </w:p>
        </w:tc>
        <w:tc>
          <w:tcPr>
            <w:tcW w:w="4354" w:type="dxa"/>
          </w:tcPr>
          <w:p w14:paraId="147E2F1B" w14:textId="77777777" w:rsidR="002D34FC" w:rsidRDefault="007B5577">
            <w:pPr>
              <w:jc w:val="center"/>
              <w:rPr>
                <w:rFonts w:ascii="Times New Roman" w:hAnsi="Times New Roman" w:cs="Times New Roman"/>
              </w:rPr>
            </w:pPr>
            <w:r>
              <w:rPr>
                <w:rFonts w:ascii="Times New Roman" w:hAnsi="Times New Roman" w:cs="Times New Roman"/>
              </w:rPr>
              <w:t>Nokia/NSB</w:t>
            </w:r>
          </w:p>
        </w:tc>
      </w:tr>
      <w:tr w:rsidR="002D34FC" w14:paraId="12A55091" w14:textId="77777777">
        <w:tc>
          <w:tcPr>
            <w:tcW w:w="1413" w:type="dxa"/>
          </w:tcPr>
          <w:p w14:paraId="417A5C15"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0E2B6C85" w14:textId="77777777" w:rsidR="002D34FC" w:rsidRDefault="007B557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N</w:t>
            </w:r>
            <w:r>
              <w:rPr>
                <w:rFonts w:ascii="Times New Roman" w:eastAsia="MS Mincho" w:hAnsi="Times New Roman" w:cs="Times New Roman"/>
                <w:lang w:eastAsia="ja-JP"/>
              </w:rPr>
              <w:t>TT DOCOMO</w:t>
            </w:r>
          </w:p>
        </w:tc>
        <w:tc>
          <w:tcPr>
            <w:tcW w:w="4354" w:type="dxa"/>
          </w:tcPr>
          <w:p w14:paraId="32EEEA75" w14:textId="77777777" w:rsidR="002D34FC" w:rsidRDefault="007B5577">
            <w:pPr>
              <w:jc w:val="center"/>
              <w:rPr>
                <w:rFonts w:ascii="Times New Roman" w:hAnsi="Times New Roman" w:cs="Times New Roman"/>
              </w:rPr>
            </w:pPr>
            <w:r>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바탕"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1"/>
              <w:numPr>
                <w:ilvl w:val="1"/>
                <w:numId w:val="40"/>
              </w:numPr>
              <w:ind w:firstLineChars="0"/>
              <w:rPr>
                <w:b/>
                <w:sz w:val="21"/>
                <w:szCs w:val="21"/>
                <w:highlight w:val="yellow"/>
              </w:rPr>
            </w:pPr>
            <w:r>
              <w:rPr>
                <w:rFonts w:eastAsia="맑은 고딕"/>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7B5577">
            <w:pPr>
              <w:rPr>
                <w:rFonts w:ascii="Times New Roman" w:hAnsi="Times New Roman" w:cs="Times New Roman"/>
                <w:bCs/>
              </w:rPr>
            </w:pPr>
            <w:r>
              <w:rPr>
                <w:sz w:val="20"/>
                <w:szCs w:val="20"/>
              </w:rPr>
              <w:object w:dxaOrig="6440" w:dyaOrig="2340" w14:anchorId="602CE0EE">
                <v:shape id="_x0000_i1036" type="#_x0000_t75" style="width:321.85pt;height:117.15pt" o:ole="">
                  <v:imagedata r:id="rId46" o:title=""/>
                </v:shape>
                <o:OLEObject Type="Embed" ProgID="Visio.Drawing.15" ShapeID="_x0000_i1036" DrawAspect="Content" ObjectID="_1691235683"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1"/>
              <w:ind w:firstLineChars="0" w:firstLine="0"/>
              <w:rPr>
                <w:bCs/>
                <w:sz w:val="20"/>
                <w:szCs w:val="20"/>
                <w:lang w:eastAsia="zh-CN"/>
              </w:rPr>
            </w:pPr>
          </w:p>
          <w:p w14:paraId="044CF341" w14:textId="77777777" w:rsidR="002D34FC" w:rsidRDefault="007B5577">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바탕"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1"/>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hint="eastAsia"/>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are deeply appreciated </w:t>
            </w:r>
            <w:r>
              <w:rPr>
                <w:rFonts w:ascii="Times New Roman" w:eastAsia="맑은 고딕" w:hAnsi="Times New Roman" w:cs="Times New Roman" w:hint="eastAsia"/>
                <w:bCs/>
                <w:sz w:val="22"/>
                <w:lang w:val="en-GB" w:eastAsia="ko-KR"/>
              </w:rPr>
              <w:t>to FL for clarifying three options.</w:t>
            </w:r>
            <w:r>
              <w:rPr>
                <w:rFonts w:ascii="Times New Roman" w:eastAsia="맑은 고딕" w:hAnsi="Times New Roman" w:cs="Times New Roman"/>
                <w:bCs/>
                <w:sz w:val="22"/>
                <w:lang w:val="en-GB" w:eastAsia="ko-KR"/>
              </w:rPr>
              <w:t xml:space="preserve"> Thank you for the effort as a FL.</w:t>
            </w:r>
            <w:r>
              <w:rPr>
                <w:rFonts w:ascii="Times New Roman" w:eastAsia="맑은 고딕" w:hAnsi="Times New Roman" w:cs="Times New Roman" w:hint="eastAsia"/>
                <w:bCs/>
                <w:sz w:val="22"/>
                <w:lang w:val="en-GB" w:eastAsia="ko-KR"/>
              </w:rPr>
              <w:t xml:space="preserve"> </w:t>
            </w:r>
            <w:r>
              <w:rPr>
                <w:rFonts w:ascii="Times New Roman" w:eastAsia="맑은 고딕"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1"/>
              <w:ind w:firstLineChars="0" w:firstLine="0"/>
              <w:rPr>
                <w:bCs/>
                <w:sz w:val="20"/>
                <w:szCs w:val="20"/>
              </w:rPr>
            </w:pPr>
            <w:r>
              <w:rPr>
                <w:rFonts w:eastAsia="맑은 고딕"/>
                <w:bCs/>
                <w:lang w:val="en-GB" w:eastAsia="ko-KR"/>
              </w:rPr>
              <w:t>Regarding the event, we are aligned with Nokia that t</w:t>
            </w:r>
            <w:r w:rsidRPr="00B66DDF">
              <w:rPr>
                <w:rFonts w:eastAsia="맑은 고딕"/>
                <w:bCs/>
                <w:lang w:val="en-GB" w:eastAsia="ko-KR"/>
              </w:rPr>
              <w:t>he notion of “events that break phase continuity and power consistency” is needed in all alternatives</w:t>
            </w:r>
            <w:r>
              <w:rPr>
                <w:rFonts w:eastAsia="맑은 고딕"/>
                <w:bCs/>
                <w:lang w:val="en-GB" w:eastAsia="ko-KR"/>
              </w:rPr>
              <w:t>.</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w:t>
            </w:r>
            <w:r>
              <w:rPr>
                <w:rFonts w:ascii="Times New Roman" w:eastAsia="맑은 고딕" w:hAnsi="Times New Roman" w:cs="Times New Roman"/>
                <w:bCs/>
                <w:lang w:val="en-GB" w:eastAsia="ko-KR"/>
              </w:rPr>
              <w:t>un</w:t>
            </w:r>
            <w:r>
              <w:rPr>
                <w:rFonts w:ascii="Times New Roman" w:eastAsia="맑은 고딕"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1"/>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Pr>
                <w:rFonts w:ascii="Times New Roman" w:eastAsia="맑은 고딕" w:hAnsi="Times New Roman" w:cs="Times New Roman"/>
                <w:bCs/>
                <w:lang w:val="en-GB" w:eastAsia="ko-KR"/>
              </w:rPr>
              <w:t xml:space="preserve"> I think there was a misunderstanding.</w:t>
            </w:r>
          </w:p>
          <w:p w14:paraId="72E11823"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1"/>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맑은 고딕"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맑은 고딕" w:hAnsi="Times New Roman" w:cs="Times New Roman" w:hint="eastAsia"/>
                <w:bCs/>
                <w:lang w:eastAsia="ko-KR"/>
              </w:rPr>
              <w:t>Support the FL</w:t>
            </w:r>
            <w:r>
              <w:rPr>
                <w:rFonts w:ascii="Times New Roman" w:eastAsia="맑은 고딕"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bl>
    <w:p w14:paraId="473A7B2B" w14:textId="77777777" w:rsidR="002D34FC" w:rsidRDefault="002D34FC">
      <w:pPr>
        <w:tabs>
          <w:tab w:val="left" w:pos="1701"/>
        </w:tabs>
        <w:spacing w:after="120" w:line="240" w:lineRule="auto"/>
        <w:jc w:val="left"/>
        <w:rPr>
          <w:lang w:val="en-GB"/>
        </w:rPr>
      </w:pPr>
    </w:p>
    <w:p w14:paraId="2993E9D4"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796A275E" w14:textId="77777777" w:rsidR="002D34FC" w:rsidRDefault="007B5577">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1"/>
        <w:numPr>
          <w:ilvl w:val="1"/>
          <w:numId w:val="18"/>
        </w:numPr>
        <w:spacing w:line="256" w:lineRule="auto"/>
        <w:ind w:firstLineChars="0"/>
        <w:rPr>
          <w:rFonts w:eastAsia="바탕"/>
          <w:sz w:val="21"/>
          <w:szCs w:val="21"/>
          <w:lang w:val="en-GB"/>
        </w:rPr>
      </w:pPr>
      <w:r>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바탕"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바탕"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바탕"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바탕"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바탕"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3ED18B24"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1"/>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1"/>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1"/>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1"/>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1"/>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1"/>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1"/>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1"/>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1"/>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1"/>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1"/>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1"/>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1"/>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1"/>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1"/>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1"/>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1"/>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1"/>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1"/>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1"/>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1"/>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1"/>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1"/>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1"/>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1"/>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1"/>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1"/>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1"/>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1"/>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1"/>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2"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5"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16"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7"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18"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CDEED" w14:textId="77777777" w:rsidR="007B5577" w:rsidRDefault="007B5577" w:rsidP="008B642E">
      <w:pPr>
        <w:spacing w:after="0" w:line="240" w:lineRule="auto"/>
      </w:pPr>
      <w:r>
        <w:separator/>
      </w:r>
    </w:p>
  </w:endnote>
  <w:endnote w:type="continuationSeparator" w:id="0">
    <w:p w14:paraId="2288615B" w14:textId="77777777" w:rsidR="007B5577" w:rsidRDefault="007B5577"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바탕체">
    <w:panose1 w:val="02030609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E7A5F" w14:textId="77777777" w:rsidR="007B5577" w:rsidRDefault="007B5577" w:rsidP="008B642E">
      <w:pPr>
        <w:spacing w:after="0" w:line="240" w:lineRule="auto"/>
      </w:pPr>
      <w:r>
        <w:separator/>
      </w:r>
    </w:p>
  </w:footnote>
  <w:footnote w:type="continuationSeparator" w:id="0">
    <w:p w14:paraId="12034C1D" w14:textId="77777777" w:rsidR="007B5577" w:rsidRDefault="007B5577" w:rsidP="008B6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5"/>
  </w:num>
  <w:num w:numId="3">
    <w:abstractNumId w:val="45"/>
  </w:num>
  <w:num w:numId="4">
    <w:abstractNumId w:val="57"/>
  </w:num>
  <w:num w:numId="5">
    <w:abstractNumId w:val="35"/>
  </w:num>
  <w:num w:numId="6">
    <w:abstractNumId w:val="31"/>
  </w:num>
  <w:num w:numId="7">
    <w:abstractNumId w:val="22"/>
  </w:num>
  <w:num w:numId="8">
    <w:abstractNumId w:val="61"/>
  </w:num>
  <w:num w:numId="9">
    <w:abstractNumId w:val="15"/>
  </w:num>
  <w:num w:numId="10">
    <w:abstractNumId w:val="52"/>
  </w:num>
  <w:num w:numId="11">
    <w:abstractNumId w:val="54"/>
  </w:num>
  <w:num w:numId="12">
    <w:abstractNumId w:val="59"/>
  </w:num>
  <w:num w:numId="13">
    <w:abstractNumId w:val="41"/>
  </w:num>
  <w:num w:numId="14">
    <w:abstractNumId w:val="60"/>
  </w:num>
  <w:num w:numId="15">
    <w:abstractNumId w:val="43"/>
  </w:num>
  <w:num w:numId="16">
    <w:abstractNumId w:val="56"/>
  </w:num>
  <w:num w:numId="17">
    <w:abstractNumId w:val="6"/>
  </w:num>
  <w:num w:numId="18">
    <w:abstractNumId w:val="47"/>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5"/>
  </w:num>
  <w:num w:numId="26">
    <w:abstractNumId w:val="12"/>
  </w:num>
  <w:num w:numId="27">
    <w:abstractNumId w:val="50"/>
  </w:num>
  <w:num w:numId="28">
    <w:abstractNumId w:val="26"/>
  </w:num>
  <w:num w:numId="29">
    <w:abstractNumId w:val="0"/>
  </w:num>
  <w:num w:numId="30">
    <w:abstractNumId w:val="3"/>
  </w:num>
  <w:num w:numId="31">
    <w:abstractNumId w:val="38"/>
  </w:num>
  <w:num w:numId="32">
    <w:abstractNumId w:val="24"/>
  </w:num>
  <w:num w:numId="33">
    <w:abstractNumId w:val="2"/>
  </w:num>
  <w:num w:numId="34">
    <w:abstractNumId w:val="53"/>
  </w:num>
  <w:num w:numId="35">
    <w:abstractNumId w:val="49"/>
  </w:num>
  <w:num w:numId="36">
    <w:abstractNumId w:val="44"/>
  </w:num>
  <w:num w:numId="37">
    <w:abstractNumId w:val="8"/>
  </w:num>
  <w:num w:numId="38">
    <w:abstractNumId w:val="29"/>
  </w:num>
  <w:num w:numId="39">
    <w:abstractNumId w:val="9"/>
  </w:num>
  <w:num w:numId="40">
    <w:abstractNumId w:val="17"/>
  </w:num>
  <w:num w:numId="41">
    <w:abstractNumId w:val="63"/>
  </w:num>
  <w:num w:numId="42">
    <w:abstractNumId w:val="23"/>
  </w:num>
  <w:num w:numId="43">
    <w:abstractNumId w:val="10"/>
  </w:num>
  <w:num w:numId="44">
    <w:abstractNumId w:val="48"/>
  </w:num>
  <w:num w:numId="45">
    <w:abstractNumId w:val="21"/>
  </w:num>
  <w:num w:numId="46">
    <w:abstractNumId w:val="46"/>
  </w:num>
  <w:num w:numId="47">
    <w:abstractNumId w:val="20"/>
  </w:num>
  <w:num w:numId="48">
    <w:abstractNumId w:val="40"/>
  </w:num>
  <w:num w:numId="49">
    <w:abstractNumId w:val="58"/>
  </w:num>
  <w:num w:numId="50">
    <w:abstractNumId w:val="62"/>
  </w:num>
  <w:num w:numId="51">
    <w:abstractNumId w:val="51"/>
  </w:num>
  <w:num w:numId="52">
    <w:abstractNumId w:val="4"/>
  </w:num>
  <w:num w:numId="53">
    <w:abstractNumId w:val="5"/>
  </w:num>
  <w:num w:numId="54">
    <w:abstractNumId w:val="36"/>
  </w:num>
  <w:num w:numId="55">
    <w:abstractNumId w:val="30"/>
  </w:num>
  <w:num w:numId="56">
    <w:abstractNumId w:val="42"/>
  </w:num>
  <w:num w:numId="57">
    <w:abstractNumId w:val="34"/>
  </w:num>
  <w:num w:numId="58">
    <w:abstractNumId w:val="13"/>
  </w:num>
  <w:num w:numId="59">
    <w:abstractNumId w:val="37"/>
  </w:num>
  <w:num w:numId="60">
    <w:abstractNumId w:val="33"/>
  </w:num>
  <w:num w:numId="61">
    <w:abstractNumId w:val="39"/>
  </w:num>
  <w:num w:numId="62">
    <w:abstractNumId w:val="7"/>
  </w:num>
  <w:num w:numId="63">
    <w:abstractNumId w:val="18"/>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__44.vsd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__33.vsdx"/><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1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__22.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www.w3.org/XML/1998/namespace"/>
    <ds:schemaRef ds:uri="77e7d536-9cde-4514-95f2-d894f5dbb2f2"/>
    <ds:schemaRef ds:uri="http://schemas.microsoft.com/office/2006/documentManagement/types"/>
    <ds:schemaRef ds:uri="http://purl.org/dc/elements/1.1/"/>
    <ds:schemaRef ds:uri="40013046-717f-4449-8614-b21769059c69"/>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8EA868C5-3779-49E0-904C-05CF28ED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34920</Words>
  <Characters>199045</Characters>
  <Application>Microsoft Office Word</Application>
  <DocSecurity>4</DocSecurity>
  <Lines>1658</Lines>
  <Paragraphs>466</Paragraphs>
  <ScaleCrop>false</ScaleCrop>
  <HeadingPairs>
    <vt:vector size="2" baseType="variant">
      <vt:variant>
        <vt:lpstr>제목</vt:lpstr>
      </vt:variant>
      <vt:variant>
        <vt:i4>1</vt:i4>
      </vt:variant>
    </vt:vector>
  </HeadingPairs>
  <TitlesOfParts>
    <vt:vector size="1" baseType="lpstr">
      <vt:lpstr/>
    </vt:vector>
  </TitlesOfParts>
  <Company>P R C</Company>
  <LinksUpToDate>false</LinksUpToDate>
  <CharactersWithSpaces>233499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심재남/선임연구원/미래기술센터 C&amp;M표준(연)5G무선통신표준Task(jaenam.shim@lge.com)</cp:lastModifiedBy>
  <cp:revision>2</cp:revision>
  <cp:lastPrinted>2021-04-15T03:16:00Z</cp:lastPrinted>
  <dcterms:created xsi:type="dcterms:W3CDTF">2021-08-23T05:54:00Z</dcterms:created>
  <dcterms:modified xsi:type="dcterms:W3CDTF">2021-08-23T05:54:00Z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