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ＭＳ 明朝" w:hAnsi="Arial" w:cs="Arial"/>
          <w:b/>
          <w:bCs/>
          <w:kern w:val="0"/>
          <w:sz w:val="24"/>
          <w:szCs w:val="24"/>
          <w:lang w:val="en-GB" w:eastAsia="ja-JP"/>
        </w:rPr>
        <w:t>e-Meeting, August 16</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xml:space="preserve"> – 27</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7"/>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7"/>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7"/>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7"/>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7"/>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7"/>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7"/>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7"/>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7"/>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7"/>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3"/>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af7"/>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3"/>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7"/>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7"/>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7"/>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3"/>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7"/>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7"/>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7"/>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3"/>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ko-KR"/>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lang w:eastAsia="ko-KR"/>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3"/>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5pt" o:ole="">
            <v:imagedata r:id="rId16" o:title=""/>
          </v:shape>
          <o:OLEObject Type="Embed" ProgID="Visio.Drawing.11" ShapeID="_x0000_i1025" DrawAspect="Content" ObjectID="_1690869171"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5pt" o:ole="">
            <v:imagedata r:id="rId18" o:title=""/>
          </v:shape>
          <o:OLEObject Type="Embed" ProgID="Visio.Drawing.11" ShapeID="_x0000_i1026" DrawAspect="Content" ObjectID="_1690869172"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5pt" o:ole="">
            <v:imagedata r:id="rId20" o:title=""/>
          </v:shape>
          <o:OLEObject Type="Embed" ProgID="Visio.Drawing.11" ShapeID="_x0000_i1027" DrawAspect="Content" ObjectID="_1690869173"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5pt" o:ole="">
            <v:imagedata r:id="rId22" o:title=""/>
          </v:shape>
          <o:OLEObject Type="Embed" ProgID="Visio.Drawing.11" ShapeID="_x0000_i1028" DrawAspect="Content" ObjectID="_1690869174"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7"/>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7"/>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7"/>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5pt" o:ole="">
            <v:imagedata r:id="rId24" o:title=""/>
          </v:shape>
          <o:OLEObject Type="Embed" ProgID="Visio.Drawing.11" ShapeID="_x0000_i1029" DrawAspect="Content" ObjectID="_1690869175"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7"/>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游明朝"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游明朝"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游明朝" w:hAnsi="Times New Roman" w:cs="Times New Roman"/>
          <w:szCs w:val="21"/>
        </w:rPr>
      </w:pPr>
      <w:r>
        <w:rPr>
          <w:rFonts w:ascii="Times New Roman" w:eastAsia="游明朝" w:hAnsi="Times New Roman" w:cs="Times New Roman"/>
          <w:szCs w:val="21"/>
        </w:rPr>
        <w:lastRenderedPageBreak/>
        <w:t>In case TDW is defined for any PUSCH transmissions,</w:t>
      </w:r>
      <w:r>
        <w:rPr>
          <w:rFonts w:ascii="Times New Roman" w:eastAsia="游明朝" w:hAnsi="Times New Roman" w:cs="Times New Roman" w:hint="eastAsia"/>
          <w:szCs w:val="21"/>
        </w:rPr>
        <w:t xml:space="preserve"> </w:t>
      </w:r>
      <w:r>
        <w:rPr>
          <w:rFonts w:ascii="Times New Roman" w:eastAsia="游明朝"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游明朝" w:hAnsi="Times New Roman" w:cs="Times New Roman" w:hint="eastAsia"/>
          <w:szCs w:val="21"/>
        </w:rPr>
        <w:t>.</w:t>
      </w:r>
    </w:p>
    <w:p w14:paraId="7285FB9C" w14:textId="77777777" w:rsidR="00673CE0" w:rsidRDefault="003508A8">
      <w:pPr>
        <w:spacing w:after="120" w:line="240" w:lineRule="auto"/>
        <w:rPr>
          <w:rFonts w:ascii="Times New Roman" w:eastAsia="游明朝" w:hAnsi="Times New Roman" w:cs="Times New Roman"/>
          <w:szCs w:val="21"/>
        </w:rPr>
      </w:pPr>
      <w:r>
        <w:rPr>
          <w:rFonts w:ascii="Times New Roman" w:hAnsi="Times New Roman" w:cs="Times New Roman"/>
          <w:b/>
          <w:szCs w:val="21"/>
        </w:rPr>
        <w:t>Samsung</w:t>
      </w:r>
      <w:r>
        <w:rPr>
          <w:rFonts w:ascii="Times New Roman" w:eastAsia="游明朝" w:hAnsi="Times New Roman" w:cs="Times New Roman"/>
          <w:b/>
          <w:szCs w:val="21"/>
        </w:rPr>
        <w:t>:</w:t>
      </w:r>
      <w:r>
        <w:rPr>
          <w:rFonts w:ascii="Times New Roman" w:eastAsia="游明朝"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游明朝" w:hAnsi="Times New Roman" w:cs="Times New Roman"/>
          <w:szCs w:val="21"/>
        </w:rPr>
        <w:t>Time domain window size should be determined dynamically according to the channel quality</w:t>
      </w:r>
      <w:r>
        <w:rPr>
          <w:rFonts w:ascii="Times New Roman" w:eastAsia="游明朝"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7"/>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7"/>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af7"/>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7"/>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7"/>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f3"/>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7"/>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7"/>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7"/>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7"/>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7"/>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7"/>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7"/>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7"/>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7"/>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7"/>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7"/>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7"/>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7"/>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7"/>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7"/>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7"/>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ＭＳ 明朝" w:hAnsi="Times New Roman"/>
          <w:kern w:val="0"/>
          <w:szCs w:val="21"/>
          <w:lang w:eastAsia="en-US"/>
        </w:rPr>
      </w:pPr>
      <w:r>
        <w:rPr>
          <w:rFonts w:ascii="Times New Roman" w:eastAsia="ＭＳ 明朝" w:hAnsi="Times New Roman"/>
          <w:b/>
          <w:kern w:val="0"/>
          <w:szCs w:val="21"/>
          <w:lang w:eastAsia="en-US"/>
        </w:rPr>
        <w:t xml:space="preserve">WILUS: </w:t>
      </w:r>
      <w:r>
        <w:rPr>
          <w:rFonts w:ascii="Times New Roman" w:eastAsia="ＭＳ 明朝"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ＭＳ 明朝" w:hAnsi="Times New Roman"/>
          <w:b/>
          <w:kern w:val="0"/>
          <w:szCs w:val="21"/>
          <w:lang w:eastAsia="en-US"/>
        </w:rPr>
        <w:t xml:space="preserve">Nokia/NSB: </w:t>
      </w:r>
      <w:r>
        <w:rPr>
          <w:rFonts w:ascii="Times New Roman" w:eastAsia="ＭＳ 明朝"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“maximum capable duration” is exceeded.</w:t>
      </w:r>
    </w:p>
    <w:p w14:paraId="58895E64"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“maximum unscheduled gap” between two successive PUSCHs is exceeded.</w:t>
      </w:r>
    </w:p>
    <w:p w14:paraId="28F6FE58"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UE is expected to monitor/receive a DL reception occasion.</w:t>
      </w:r>
    </w:p>
    <w:p w14:paraId="2688428C"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7"/>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7"/>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869176"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7"/>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7"/>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3"/>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5pt" o:ole="">
            <v:imagedata r:id="rId32" o:title=""/>
          </v:shape>
          <o:OLEObject Type="Embed" ProgID="Visio.Drawing.15" ShapeID="_x0000_i1031" DrawAspect="Content" ObjectID="_1690869177"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pt;height:148pt" o:ole="">
            <v:imagedata r:id="rId35" o:title=""/>
          </v:shape>
          <o:OLEObject Type="Embed" ProgID="Visio.Drawing.15" ShapeID="_x0000_i1032" DrawAspect="Content" ObjectID="_1690869178"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ＭＳ 明朝"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ＭＳ 明朝"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ＭＳ 明朝"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ＭＳ 明朝"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7"/>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7"/>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7"/>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7"/>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7"/>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7"/>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7"/>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7"/>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7"/>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7"/>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ＭＳ 明朝"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ＭＳ 明朝"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ＭＳ 明朝"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ＭＳ 明朝"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ＭＳ 明朝"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t>
            </w:r>
            <w:r>
              <w:rPr>
                <w:rFonts w:ascii="Times New Roman" w:eastAsia="ＭＳ 明朝"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t>
            </w:r>
            <w:r>
              <w:rPr>
                <w:rFonts w:ascii="Times New Roman" w:eastAsia="ＭＳ 明朝"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ＭＳ 明朝"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ＭＳ 明朝"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support Alt.2 as it keeps the power consistency and phase continuity</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ＭＳ 明朝" w:hAnsi="Times New Roman" w:cs="Times New Roman"/>
                <w:bCs/>
                <w:lang w:val="en-GB" w:eastAsia="ja-JP"/>
              </w:rPr>
              <w:t>power consistency and phase continuity are assumed</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7"/>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7"/>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lang w:eastAsia="ko-KR"/>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ＭＳ 明朝"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7"/>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ＭＳ 明朝" w:hAnsi="Times New Roman" w:cs="Times New Roman"/>
                <w:bCs/>
                <w:lang w:eastAsia="ja-JP"/>
              </w:rPr>
            </w:pPr>
            <w:r>
              <w:rPr>
                <w:rFonts w:ascii="Times New Roman" w:eastAsia="ＭＳ 明朝"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ＭＳ 明朝"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ＭＳ 明朝" w:hAnsi="Times New Roman" w:cs="Times New Roman"/>
                <w:bCs/>
                <w:lang w:val="en-GB" w:eastAsia="ja-JP"/>
              </w:rPr>
              <w:t>power consistency and phase continuity are assumed</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ＭＳ 明朝"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ＭＳ 明朝"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ＭＳ 明朝"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ＭＳ 明朝"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ＭＳ 明朝"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7"/>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7"/>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7"/>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ＭＳ 明朝" w:hAnsi="Times New Roman" w:cs="Times New Roman" w:hint="eastAsia"/>
                <w:bCs/>
                <w:sz w:val="20"/>
                <w:szCs w:val="20"/>
                <w:lang w:val="en-GB" w:eastAsia="ja-JP"/>
              </w:rPr>
              <w:t xml:space="preserve"> </w:t>
            </w:r>
            <w:r>
              <w:rPr>
                <w:rFonts w:ascii="Times New Roman" w:eastAsia="ＭＳ 明朝"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ＭＳ 明朝"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7"/>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af7"/>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7"/>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af7"/>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ＭＳ 明朝"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ＭＳ 明朝"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ＭＳ 明朝"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7"/>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D</w:t>
            </w:r>
            <w:r>
              <w:rPr>
                <w:rFonts w:ascii="Times New Roman" w:eastAsia="ＭＳ 明朝"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C</w:t>
            </w:r>
            <w:r>
              <w:rPr>
                <w:rFonts w:ascii="Times New Roman" w:eastAsia="ＭＳ 明朝"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ＭＳ 明朝" w:hAnsi="Times New Roman" w:cs="Times New Roman"/>
                <w:bCs/>
                <w:lang w:val="en-GB" w:eastAsia="ja-JP"/>
              </w:rPr>
              <w:t xml:space="preserve">. However, these factors are not problem if time domain window is not too long. For this reason, selecting appropriate </w:t>
            </w:r>
            <w:r>
              <w:rPr>
                <w:rFonts w:ascii="Times New Roman" w:eastAsia="ＭＳ 明朝"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ＭＳ 明朝" w:hAnsi="Times New Roman" w:cs="Times New Roman"/>
                <w:bCs/>
                <w:lang w:eastAsia="ja-JP"/>
              </w:rPr>
            </w:pPr>
            <w:r>
              <w:rPr>
                <w:rFonts w:ascii="Times New Roman" w:eastAsia="ＭＳ 明朝"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ＭＳ 明朝"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ＭＳ 明朝"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af7"/>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7"/>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ＭＳ 明朝"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7"/>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7"/>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7"/>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ＭＳ 明朝"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ＭＳ 明朝"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ＭＳ 明朝"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7"/>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ＭＳ 明朝"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ＭＳ 明朝"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af3"/>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7"/>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ＭＳ 明朝"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s why we have different </w:t>
      </w:r>
      <w:r w:rsidRPr="00EA184C">
        <w:rPr>
          <w:rFonts w:ascii="Times New Roman" w:hAnsi="Times New Roman" w:cs="Times New Roman" w:hint="eastAsia"/>
          <w:b/>
          <w:bCs/>
          <w:szCs w:val="21"/>
          <w:highlight w:val="yellow"/>
          <w:lang w:val="en-GB"/>
        </w:rPr>
        <w:lastRenderedPageBreak/>
        <w:t>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3"/>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ＭＳ 明朝"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ＭＳ 明朝"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lastRenderedPageBreak/>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ＭＳ 明朝"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ＭＳ 明朝"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ＭＳ 明朝"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ＭＳ 明朝" w:hAnsi="Times New Roman" w:cs="Times New Roman"/>
                <w:bCs/>
                <w:lang w:val="en-GB" w:eastAsia="ja-JP"/>
              </w:rPr>
              <w:t xml:space="preserve">UE is expected to maintain the power consistency and phase continuity during each TDW. </w:t>
            </w:r>
            <w:r w:rsidRPr="00C85F82">
              <w:rPr>
                <w:rFonts w:ascii="Times New Roman" w:eastAsia="ＭＳ 明朝" w:hAnsi="Times New Roman" w:cs="Times New Roman"/>
                <w:bCs/>
                <w:lang w:val="en-GB" w:eastAsia="ja-JP"/>
              </w:rPr>
              <w:lastRenderedPageBreak/>
              <w:t xml:space="preserve">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ＭＳ 明朝"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lastRenderedPageBreak/>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lastRenderedPageBreak/>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t>
            </w:r>
            <w:r w:rsidRPr="00C85F82">
              <w:rPr>
                <w:rFonts w:ascii="Times New Roman" w:eastAsia="ＭＳ 明朝"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Pr>
                <w:rFonts w:ascii="Times New Roman" w:eastAsia="ＭＳ 明朝"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lastRenderedPageBreak/>
              <w:t>S</w:t>
            </w:r>
            <w:r>
              <w:rPr>
                <w:rFonts w:ascii="Times New Roman" w:eastAsia="ＭＳ 明朝"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We prefer Alt 2-B to Alt 2-C if the events include the duration explicitly indicated by the gNB.</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af7"/>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lastRenderedPageBreak/>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af7"/>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3"/>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hint="eastAsia"/>
                <w:b/>
                <w:bCs/>
                <w:lang w:val="en-GB" w:eastAsia="ja-JP"/>
              </w:rPr>
              <w:t>S</w:t>
            </w:r>
            <w:r w:rsidRPr="00D82028">
              <w:rPr>
                <w:rFonts w:ascii="Times New Roman" w:eastAsia="ＭＳ 明朝"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ＭＳ 明朝"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ＭＳ 明朝" w:hAnsi="Times New Roman" w:cs="Times New Roman"/>
                <w:b/>
                <w:bCs/>
                <w:lang w:val="en-GB" w:eastAsia="ja-JP"/>
              </w:rPr>
              <w:t xml:space="preserve">Nokia, </w:t>
            </w:r>
            <w:r w:rsidRPr="00D82028">
              <w:rPr>
                <w:rFonts w:ascii="Times New Roman" w:eastAsia="ＭＳ 明朝"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hint="eastAsia"/>
                <w:b/>
                <w:bCs/>
                <w:lang w:val="en-GB" w:eastAsia="ja-JP"/>
              </w:rPr>
              <w:t>N</w:t>
            </w:r>
            <w:r w:rsidRPr="00D82028">
              <w:rPr>
                <w:rFonts w:ascii="Times New Roman" w:eastAsia="ＭＳ 明朝"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ＭＳ 明朝" w:hAnsi="Times New Roman" w:cs="Times New Roman" w:hint="eastAsia"/>
                <w:b/>
                <w:bCs/>
                <w:lang w:val="en-GB" w:eastAsia="ja-JP"/>
              </w:rPr>
              <w:t>N</w:t>
            </w:r>
            <w:r w:rsidRPr="00D82028">
              <w:rPr>
                <w:rFonts w:ascii="Times New Roman" w:eastAsia="ＭＳ 明朝"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7"/>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7"/>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 xml:space="preserve">upport. </w:t>
            </w:r>
            <w:r w:rsidR="00B2311D">
              <w:rPr>
                <w:rFonts w:ascii="Times New Roman" w:eastAsia="ＭＳ 明朝" w:hAnsi="Times New Roman" w:cs="Times New Roman"/>
                <w:bCs/>
                <w:lang w:val="en-GB" w:eastAsia="ja-JP"/>
              </w:rPr>
              <w:t>We slightly prefer Alt 1.</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7"/>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ＭＳ 明朝"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ＭＳ 明朝"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ＭＳ 明朝"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ＭＳ 明朝" w:hAnsi="Times New Roman" w:cs="Times New Roman" w:hint="eastAsia"/>
          <w:b/>
          <w:bCs/>
          <w:highlight w:val="cyan"/>
          <w:lang w:val="en-GB" w:eastAsia="ja-JP"/>
        </w:rPr>
        <w:t>N</w:t>
      </w:r>
      <w:r w:rsidRPr="001E0CFC">
        <w:rPr>
          <w:rFonts w:ascii="Times New Roman" w:eastAsia="ＭＳ 明朝"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 xml:space="preserve">Once the indicated TDW is used in this proposal, UE would </w:t>
            </w:r>
            <w:r w:rsidR="00D05098">
              <w:rPr>
                <w:rFonts w:ascii="Times New Roman" w:hAnsi="Times New Roman" w:cs="Times New Roman"/>
                <w:bCs/>
                <w:lang w:val="en-GB"/>
              </w:rPr>
              <w:lastRenderedPageBreak/>
              <w:t>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3"/>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7"/>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7"/>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7"/>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7"/>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7"/>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7"/>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7"/>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7"/>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lastRenderedPageBreak/>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af7"/>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7"/>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7"/>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7"/>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7"/>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7"/>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7"/>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7"/>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7"/>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7"/>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7"/>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7"/>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7"/>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7"/>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7"/>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7"/>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7"/>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7"/>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7"/>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7"/>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7"/>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7"/>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7"/>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7"/>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7"/>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7"/>
        <w:numPr>
          <w:ilvl w:val="1"/>
          <w:numId w:val="10"/>
        </w:numPr>
        <w:adjustRightInd/>
        <w:spacing w:line="252" w:lineRule="auto"/>
        <w:ind w:firstLineChars="0"/>
        <w:rPr>
          <w:sz w:val="21"/>
          <w:szCs w:val="21"/>
        </w:rPr>
      </w:pPr>
      <w:r>
        <w:rPr>
          <w:sz w:val="21"/>
          <w:szCs w:val="21"/>
        </w:rPr>
        <w:lastRenderedPageBreak/>
        <w:t>Simulations results</w:t>
      </w:r>
    </w:p>
    <w:p w14:paraId="28024B05" w14:textId="77777777" w:rsidR="00673CE0" w:rsidRDefault="003508A8">
      <w:pPr>
        <w:pStyle w:val="af7"/>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7"/>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7"/>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7"/>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7"/>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7"/>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7"/>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7"/>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7"/>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7"/>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7"/>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7"/>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7"/>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7"/>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1" w:name="_Ref58743353"/>
      <w:r>
        <w:rPr>
          <w:rStyle w:val="af5"/>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5"/>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lastRenderedPageBreak/>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4" w:name="_Ref65746764"/>
      <w:r>
        <w:rPr>
          <w:rStyle w:val="af5"/>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hAnsi="Times New Roman" w:cs="Times New Roman"/>
          <w:color w:val="auto"/>
          <w:szCs w:val="21"/>
          <w:u w:val="none"/>
          <w:lang w:val="en-US"/>
        </w:rPr>
      </w:pPr>
      <w:bookmarkStart w:id="15" w:name="_Ref70436752"/>
      <w:r>
        <w:rPr>
          <w:rStyle w:val="af5"/>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6" w:name="_Ref79658027"/>
      <w:r>
        <w:rPr>
          <w:rStyle w:val="af5"/>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hAnsi="Times New Roman" w:cs="Times New Roman"/>
          <w:color w:val="auto"/>
          <w:szCs w:val="21"/>
          <w:u w:val="none"/>
          <w:lang w:val="en-US"/>
        </w:rPr>
      </w:pPr>
      <w:bookmarkStart w:id="17" w:name="_Ref79670386"/>
      <w:r>
        <w:rPr>
          <w:rStyle w:val="af5"/>
          <w:rFonts w:ascii="Times New Roman" w:eastAsia="SimSun" w:hAnsi="Times New Roman" w:cs="Times New Roman"/>
          <w:color w:val="auto"/>
          <w:kern w:val="0"/>
          <w:sz w:val="20"/>
          <w:szCs w:val="20"/>
          <w:u w:val="none"/>
          <w:lang w:eastAsia="en-US"/>
        </w:rPr>
        <w:t xml:space="preserve">3GPP </w:t>
      </w:r>
      <w:r>
        <w:rPr>
          <w:rStyle w:val="af5"/>
          <w:rFonts w:ascii="Times New Roman" w:hAnsi="Times New Roman" w:cs="Times New Roman"/>
          <w:color w:val="auto"/>
          <w:szCs w:val="21"/>
          <w:u w:val="none"/>
          <w:lang w:val="en-US"/>
        </w:rPr>
        <w:t>R4-2107880</w:t>
      </w:r>
      <w:r>
        <w:rPr>
          <w:rStyle w:val="af5"/>
          <w:rFonts w:ascii="Times New Roman" w:hAnsi="Times New Roman" w:cs="Times New Roman" w:hint="eastAsia"/>
          <w:color w:val="auto"/>
          <w:szCs w:val="21"/>
          <w:u w:val="none"/>
          <w:lang w:val="en-US"/>
        </w:rPr>
        <w:t>,</w:t>
      </w:r>
      <w:r>
        <w:rPr>
          <w:rStyle w:val="af5"/>
          <w:rFonts w:ascii="Times New Roman" w:hAnsi="Times New Roman" w:cs="Times New Roman"/>
          <w:color w:val="auto"/>
          <w:szCs w:val="21"/>
          <w:u w:val="none"/>
          <w:lang w:val="en-US"/>
        </w:rPr>
        <w:t xml:space="preserve"> “Reply LS on PUCCH and PUSCH repetition”, Qualcomm</w:t>
      </w:r>
      <w:r>
        <w:rPr>
          <w:rStyle w:val="af5"/>
          <w:rFonts w:ascii="Times New Roman" w:eastAsia="SimSun" w:hAnsi="Times New Roman" w:cs="Times New Roman"/>
          <w:color w:val="auto"/>
          <w:kern w:val="0"/>
          <w:sz w:val="20"/>
          <w:szCs w:val="20"/>
          <w:u w:val="none"/>
          <w:lang w:eastAsia="en-US"/>
        </w:rPr>
        <w:t>, RAN4#9</w:t>
      </w:r>
      <w:r>
        <w:rPr>
          <w:rStyle w:val="af5"/>
          <w:rFonts w:ascii="Times New Roman" w:eastAsia="SimSun" w:hAnsi="Times New Roman" w:cs="Times New Roman" w:hint="eastAsia"/>
          <w:color w:val="auto"/>
          <w:kern w:val="0"/>
          <w:sz w:val="20"/>
          <w:szCs w:val="20"/>
          <w:u w:val="none"/>
        </w:rPr>
        <w:t>9</w:t>
      </w:r>
      <w:r>
        <w:rPr>
          <w:rStyle w:val="af5"/>
          <w:rFonts w:ascii="Times New Roman" w:eastAsia="SimSun" w:hAnsi="Times New Roman" w:cs="Times New Roman"/>
          <w:color w:val="auto"/>
          <w:kern w:val="0"/>
          <w:sz w:val="20"/>
          <w:szCs w:val="20"/>
          <w:u w:val="none"/>
          <w:lang w:eastAsia="en-US"/>
        </w:rPr>
        <w:t>-e</w:t>
      </w:r>
      <w:r>
        <w:rPr>
          <w:rStyle w:val="af5"/>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R1-2106497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R1-2106613</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R1-2106657</w:t>
      </w:r>
      <w:r>
        <w:rPr>
          <w:rStyle w:val="af5"/>
          <w:rFonts w:ascii="Times New Roman" w:eastAsia="SimSun" w:hAnsi="Times New Roman" w:cs="Times New Roman"/>
          <w:color w:val="auto"/>
          <w:kern w:val="0"/>
          <w:sz w:val="20"/>
          <w:szCs w:val="20"/>
          <w:u w:val="none"/>
          <w:lang w:eastAsia="en-US"/>
        </w:rPr>
        <w:tab/>
        <w:t>Joint channel estimation for PUSCH coverage enhancements</w:t>
      </w:r>
      <w:r>
        <w:rPr>
          <w:rStyle w:val="af5"/>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R1-2106711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R1-2106741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R1-2106817</w:t>
      </w:r>
      <w:r>
        <w:rPr>
          <w:rStyle w:val="af5"/>
          <w:rFonts w:ascii="Times New Roman" w:eastAsia="SimSun" w:hAnsi="Times New Roman" w:cs="Times New Roman"/>
          <w:color w:val="auto"/>
          <w:kern w:val="0"/>
          <w:sz w:val="20"/>
          <w:szCs w:val="20"/>
          <w:u w:val="none"/>
          <w:lang w:eastAsia="en-US"/>
        </w:rPr>
        <w:tab/>
        <w:t>On joint channel estimation for PUSCH</w:t>
      </w:r>
      <w:r>
        <w:rPr>
          <w:rStyle w:val="af5"/>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R1-2106904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R1-2106990</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R1-2107125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R1-2107192</w:t>
      </w:r>
      <w:r>
        <w:rPr>
          <w:rStyle w:val="af5"/>
          <w:rFonts w:ascii="Times New Roman" w:eastAsia="SimSun" w:hAnsi="Times New Roman" w:cs="Times New Roman"/>
          <w:color w:val="auto"/>
          <w:kern w:val="0"/>
          <w:sz w:val="20"/>
          <w:szCs w:val="20"/>
          <w:u w:val="none"/>
          <w:lang w:eastAsia="en-US"/>
        </w:rPr>
        <w:tab/>
        <w:t>Enhancements for joint channel estimation for multiple PUSCH</w:t>
      </w:r>
      <w:r>
        <w:rPr>
          <w:rStyle w:val="af5"/>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R1-2107258</w:t>
      </w:r>
      <w:r>
        <w:rPr>
          <w:rStyle w:val="af5"/>
          <w:rFonts w:ascii="Times New Roman" w:eastAsia="SimSun" w:hAnsi="Times New Roman" w:cs="Times New Roman"/>
          <w:color w:val="auto"/>
          <w:kern w:val="0"/>
          <w:sz w:val="20"/>
          <w:szCs w:val="20"/>
          <w:u w:val="none"/>
          <w:lang w:eastAsia="en-US"/>
        </w:rPr>
        <w:tab/>
        <w:t>Consideration on Joint channel estimation for PUSCH</w:t>
      </w:r>
      <w:r>
        <w:rPr>
          <w:rStyle w:val="af5"/>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R1-2107361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R1-2107419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R1-2107524</w:t>
      </w:r>
      <w:r>
        <w:rPr>
          <w:rStyle w:val="af5"/>
          <w:rFonts w:ascii="Times New Roman" w:eastAsia="SimSun" w:hAnsi="Times New Roman" w:cs="Times New Roman"/>
          <w:color w:val="auto"/>
          <w:kern w:val="0"/>
          <w:sz w:val="20"/>
          <w:szCs w:val="20"/>
          <w:u w:val="none"/>
          <w:lang w:eastAsia="en-US"/>
        </w:rPr>
        <w:tab/>
        <w:t>Discussion on Joint channel estimation over multi-slot PUSCH</w:t>
      </w:r>
      <w:r>
        <w:rPr>
          <w:rStyle w:val="af5"/>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R1-2107550</w:t>
      </w:r>
      <w:r>
        <w:rPr>
          <w:rStyle w:val="af5"/>
          <w:rFonts w:ascii="Times New Roman" w:eastAsia="SimSun" w:hAnsi="Times New Roman" w:cs="Times New Roman"/>
          <w:color w:val="auto"/>
          <w:kern w:val="0"/>
          <w:sz w:val="20"/>
          <w:szCs w:val="20"/>
          <w:u w:val="none"/>
          <w:lang w:eastAsia="en-US"/>
        </w:rPr>
        <w:tab/>
        <w:t>Discussions on joint channel estimation for PUSCH</w:t>
      </w:r>
      <w:r>
        <w:rPr>
          <w:rStyle w:val="af5"/>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R1-2107604</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R1-2107633</w:t>
      </w:r>
      <w:r>
        <w:rPr>
          <w:rStyle w:val="af5"/>
          <w:rFonts w:ascii="Times New Roman" w:eastAsia="SimSun" w:hAnsi="Times New Roman" w:cs="Times New Roman"/>
          <w:color w:val="auto"/>
          <w:kern w:val="0"/>
          <w:sz w:val="20"/>
          <w:szCs w:val="20"/>
          <w:u w:val="none"/>
          <w:lang w:eastAsia="en-US"/>
        </w:rPr>
        <w:tab/>
        <w:t>Design Considerations for Joint channel estimation for PUSCH</w:t>
      </w:r>
      <w:r>
        <w:rPr>
          <w:rStyle w:val="af5"/>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R1-2107652</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R1-2107755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R1-2107801</w:t>
      </w:r>
      <w:r>
        <w:rPr>
          <w:rStyle w:val="af5"/>
          <w:rFonts w:ascii="Times New Roman" w:eastAsia="SimSun" w:hAnsi="Times New Roman" w:cs="Times New Roman"/>
          <w:color w:val="auto"/>
          <w:kern w:val="0"/>
          <w:sz w:val="20"/>
          <w:szCs w:val="20"/>
          <w:u w:val="none"/>
          <w:lang w:eastAsia="en-US"/>
        </w:rPr>
        <w:tab/>
        <w:t>Joint channel estimation for multiple PUSCH transmission</w:t>
      </w:r>
      <w:r>
        <w:rPr>
          <w:rStyle w:val="af5"/>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R1-2107832</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R1-2107874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R1-2107937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R1-2108159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4559" w14:textId="77777777" w:rsidR="0020631C" w:rsidRDefault="0020631C" w:rsidP="003508A8">
      <w:pPr>
        <w:spacing w:after="0" w:line="240" w:lineRule="auto"/>
      </w:pPr>
      <w:r>
        <w:separator/>
      </w:r>
    </w:p>
  </w:endnote>
  <w:endnote w:type="continuationSeparator" w:id="0">
    <w:p w14:paraId="783F567D" w14:textId="77777777" w:rsidR="0020631C" w:rsidRDefault="0020631C"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CCFF" w14:textId="77777777" w:rsidR="0020631C" w:rsidRDefault="0020631C" w:rsidP="003508A8">
      <w:pPr>
        <w:spacing w:after="0" w:line="240" w:lineRule="auto"/>
      </w:pPr>
      <w:r>
        <w:separator/>
      </w:r>
    </w:p>
  </w:footnote>
  <w:footnote w:type="continuationSeparator" w:id="0">
    <w:p w14:paraId="1FC07684" w14:textId="77777777" w:rsidR="0020631C" w:rsidRDefault="0020631C"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We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ＭＳ 明朝" w:hAnsi="Calibri" w:cs="Times New Roman"/>
      <w:b/>
      <w:kern w:val="0"/>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af8"/>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ＭＳ 明朝"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599E5-CED6-48B1-96ED-9E35E31E683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25832</Words>
  <Characters>147247</Characters>
  <Application>Microsoft Office Word</Application>
  <DocSecurity>0</DocSecurity>
  <Lines>1227</Lines>
  <Paragraphs>345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福井崇久/研究員</cp:lastModifiedBy>
  <cp:revision>9</cp:revision>
  <cp:lastPrinted>2021-04-15T03:16:00Z</cp:lastPrinted>
  <dcterms:created xsi:type="dcterms:W3CDTF">2021-08-18T23:36:00Z</dcterms:created>
  <dcterms:modified xsi:type="dcterms:W3CDTF">2021-08-19T00:05:00Z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