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39"/>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73"/>
        <w:gridCol w:w="4766"/>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58.5pt" o:ole="">
            <v:imagedata r:id="rId16" o:title=""/>
          </v:shape>
          <o:OLEObject Type="Embed" ProgID="Visio.Drawing.11" ShapeID="_x0000_i1025" DrawAspect="Content" ObjectID="_1690820253"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25pt;height:92.25pt" o:ole="">
            <v:imagedata r:id="rId18" o:title=""/>
          </v:shape>
          <o:OLEObject Type="Embed" ProgID="Visio.Drawing.11" ShapeID="_x0000_i1026" DrawAspect="Content" ObjectID="_1690820254"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25pt;height:58.5pt" o:ole="">
            <v:imagedata r:id="rId20" o:title=""/>
          </v:shape>
          <o:OLEObject Type="Embed" ProgID="Visio.Drawing.11" ShapeID="_x0000_i1027" DrawAspect="Content" ObjectID="_1690820255"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25pt;height:58.5pt" o:ole="">
            <v:imagedata r:id="rId22" o:title=""/>
          </v:shape>
          <o:OLEObject Type="Embed" ProgID="Visio.Drawing.11" ShapeID="_x0000_i1028" DrawAspect="Content" ObjectID="_1690820256"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25pt;height:92.25pt" o:ole="">
            <v:imagedata r:id="rId24" o:title=""/>
          </v:shape>
          <o:OLEObject Type="Embed" ProgID="Visio.Drawing.11" ShapeID="_x0000_i1029" DrawAspect="Content" ObjectID="_1690820257"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5pt;height:96.75pt" o:ole="">
            <v:imagedata r:id="rId29" o:title=""/>
          </v:shape>
          <o:OLEObject Type="Embed" ProgID="Visio.Drawing.15" ShapeID="_x0000_i1030" DrawAspect="Content" ObjectID="_1690820258"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981"/>
        <w:gridCol w:w="4981"/>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75pt;height:99.75pt" o:ole="">
            <v:imagedata r:id="rId32" o:title=""/>
          </v:shape>
          <o:OLEObject Type="Embed" ProgID="Visio.Drawing.15" ShapeID="_x0000_i1031" DrawAspect="Content" ObjectID="_1690820259"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pt;height:147.75pt" o:ole="">
            <v:imagedata r:id="rId35" o:title=""/>
          </v:shape>
          <o:OLEObject Type="Embed" ProgID="Visio.Drawing.15" ShapeID="_x0000_i1032" DrawAspect="Content" ObjectID="_1690820260"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w:t>
            </w:r>
            <w:r>
              <w:rPr>
                <w:rFonts w:ascii="Times New Roman" w:eastAsia="MS Mincho" w:hAnsi="Times New Roman" w:cs="Times New Roman"/>
                <w:bCs/>
                <w:lang w:val="en-GB" w:eastAsia="ja-JP"/>
              </w:rPr>
              <w:lastRenderedPageBreak/>
              <w:t>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Alt 2. JCE across different TBs requires several additional design considerations. </w:t>
            </w:r>
            <w:r>
              <w:rPr>
                <w:rFonts w:ascii="Times New Roman" w:hAnsi="Times New Roman" w:cs="Times New Roman"/>
                <w:bCs/>
                <w:lang w:val="en-GB"/>
              </w:rPr>
              <w:lastRenderedPageBreak/>
              <w:t>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w:t>
            </w:r>
            <w:r>
              <w:lastRenderedPageBreak/>
              <w:t>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 xml:space="preserve">The issue of potential UE events raised in S2.3.4 is the only potential unique </w:t>
            </w:r>
            <w:r>
              <w:rPr>
                <w:bCs/>
                <w:lang w:val="en-GB" w:eastAsia="zh-CN"/>
              </w:rPr>
              <w:lastRenderedPageBreak/>
              <w:t>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When repetition is used, there is a single grant or the parameters are configured, so the same MCS, FDRA, power, etc., are all used.  With multiple TBs, there are generally </w:t>
            </w:r>
            <w:r>
              <w:rPr>
                <w:rFonts w:ascii="Times New Roman" w:eastAsia="Malgun Gothic" w:hAnsi="Times New Roman" w:cs="Times New Roman"/>
                <w:bCs/>
                <w:lang w:val="en-GB" w:eastAsia="ko-KR"/>
              </w:rPr>
              <w:lastRenderedPageBreak/>
              <w:t>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w:t>
            </w:r>
            <w:r>
              <w:rPr>
                <w:rFonts w:ascii="Times New Roman" w:eastAsia="Malgun Gothic" w:hAnsi="Times New Roman" w:cs="Times New Roman" w:hint="eastAsia"/>
                <w:bCs/>
              </w:rPr>
              <w:lastRenderedPageBreak/>
              <w:t xml:space="preserve">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lastRenderedPageBreak/>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w:t>
            </w:r>
            <w:r>
              <w:rPr>
                <w:rFonts w:ascii="Times New Roman" w:eastAsia="Malgun Gothic" w:hAnsi="Times New Roman" w:cs="Times New Roman"/>
                <w:bCs/>
                <w:lang w:val="en-GB" w:eastAsia="ko-KR"/>
              </w:rPr>
              <w:lastRenderedPageBreak/>
              <w:t xml:space="preserve">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r>
              <w:rPr>
                <w:rFonts w:ascii="Times New Roman" w:eastAsia="Batang" w:hAnsi="Times New Roman" w:cs="Times New Roman"/>
                <w:color w:val="FF0000"/>
                <w:kern w:val="0"/>
                <w:szCs w:val="21"/>
                <w:lang w:val="en-GB"/>
              </w:rPr>
              <w:lastRenderedPageBreak/>
              <w:t>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w:t>
            </w:r>
            <w:r>
              <w:rPr>
                <w:rFonts w:ascii="Times New Roman" w:eastAsia="SimSun" w:hAnsi="Times New Roman" w:cs="Times New Roman"/>
                <w:kern w:val="0"/>
                <w:szCs w:val="21"/>
                <w:lang w:val="en-GB"/>
              </w:rPr>
              <w:lastRenderedPageBreak/>
              <w:t xml:space="preserve">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w:t>
            </w:r>
            <w:r>
              <w:rPr>
                <w:rFonts w:ascii="Times New Roman" w:hAnsi="Times New Roman" w:cs="Times New Roman"/>
              </w:rPr>
              <w:lastRenderedPageBreak/>
              <w:t xml:space="preserve">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 xml:space="preserve">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w:t>
            </w:r>
            <w:r>
              <w:rPr>
                <w:rFonts w:ascii="Times New Roman" w:hAnsi="Times New Roman" w:cs="Times New Roman"/>
              </w:rPr>
              <w:lastRenderedPageBreak/>
              <w:t>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 xml:space="preserve">Single TDW can be viewed as a collection of multiple TDWs. However, if the general </w:t>
            </w:r>
            <w:r>
              <w:rPr>
                <w:rFonts w:ascii="Times New Roman" w:hAnsi="Times New Roman" w:cs="Times New Roman"/>
                <w:kern w:val="0"/>
                <w:szCs w:val="21"/>
                <w:lang w:val="en-GB"/>
              </w:rPr>
              <w:lastRenderedPageBreak/>
              <w:t>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 xml:space="preserve">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w:t>
            </w:r>
            <w:r>
              <w:rPr>
                <w:rFonts w:ascii="Times New Roman" w:eastAsia="Batang" w:hAnsi="Times New Roman" w:cs="Times New Roman"/>
                <w:kern w:val="0"/>
                <w:szCs w:val="21"/>
                <w:lang w:val="en-GB"/>
              </w:rPr>
              <w:lastRenderedPageBreak/>
              <w:t>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lastRenderedPageBreak/>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w:t>
            </w:r>
            <w:r>
              <w:rPr>
                <w:rFonts w:ascii="Times New Roman" w:hAnsi="Times New Roman" w:cs="Times New Roman"/>
                <w:bCs/>
                <w:lang w:val="en-GB"/>
              </w:rPr>
              <w:lastRenderedPageBreak/>
              <w:t>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w:t>
            </w:r>
            <w:r>
              <w:rPr>
                <w:rFonts w:ascii="Times New Roman" w:eastAsia="MS Mincho" w:hAnsi="Times New Roman" w:cs="Times New Roman"/>
                <w:bCs/>
                <w:lang w:val="en-GB" w:eastAsia="ja-JP"/>
              </w:rPr>
              <w:lastRenderedPageBreak/>
              <w:t xml:space="preserve">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lastRenderedPageBreak/>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w:t>
            </w:r>
            <w:r>
              <w:rPr>
                <w:rFonts w:ascii="Times New Roman" w:hAnsi="Times New Roman" w:cs="Times New Roman"/>
                <w:bCs/>
                <w:lang w:val="en-GB"/>
              </w:rPr>
              <w:lastRenderedPageBreak/>
              <w:t>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lastRenderedPageBreak/>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w:t>
            </w:r>
            <w:r>
              <w:rPr>
                <w:rFonts w:ascii="Times New Roman" w:hAnsi="Times New Roman" w:cs="Times New Roman"/>
                <w:bCs/>
                <w:lang w:val="en-GB"/>
              </w:rPr>
              <w:lastRenderedPageBreak/>
              <w:t xml:space="preserve">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lastRenderedPageBreak/>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77777777"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lastRenderedPageBreak/>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w:t>
            </w:r>
            <w:r w:rsidR="001401A2">
              <w:rPr>
                <w:rFonts w:ascii="Times New Roman" w:hAnsi="Times New Roman" w:cs="Times New Roman"/>
                <w:bCs/>
                <w:lang w:val="en-GB"/>
              </w:rPr>
              <w:lastRenderedPageBreak/>
              <w:t>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of down-selection. Our preference is Alt. 2 considering the remaining time for the WI. The conclusion of not having additional impact in some </w:t>
            </w:r>
            <w:proofErr w:type="gramStart"/>
            <w:r>
              <w:rPr>
                <w:rFonts w:ascii="Times New Roman" w:hAnsi="Times New Roman" w:cs="Times New Roman"/>
                <w:bCs/>
                <w:lang w:val="en-GB"/>
              </w:rPr>
              <w:t>aspects</w:t>
            </w:r>
            <w:proofErr w:type="gramEnd"/>
            <w:r>
              <w:rPr>
                <w:rFonts w:ascii="Times New Roman" w:hAnsi="Times New Roman" w:cs="Times New Roman"/>
                <w:bCs/>
                <w:lang w:val="en-GB"/>
              </w:rPr>
              <w:t xml:space="preserve"> at this stage doesn’t mean that additional efforts are not needed to design a unified solution to accommodate also the scenario of different </w:t>
            </w:r>
            <w:proofErr w:type="spellStart"/>
            <w:r>
              <w:rPr>
                <w:rFonts w:ascii="Times New Roman" w:hAnsi="Times New Roman" w:cs="Times New Roman"/>
                <w:bCs/>
                <w:lang w:val="en-GB"/>
              </w:rPr>
              <w:t>TBs.</w:t>
            </w:r>
            <w:proofErr w:type="spellEnd"/>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77777777"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lastRenderedPageBreak/>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lastRenderedPageBreak/>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 1</w:t>
            </w:r>
          </w:p>
        </w:tc>
        <w:tc>
          <w:tcPr>
            <w:tcW w:w="4211" w:type="dxa"/>
          </w:tcPr>
          <w:p w14:paraId="6D1B9D28" w14:textId="77777777"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77777777"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lastRenderedPageBreak/>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77777777"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77777777"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lastRenderedPageBreak/>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7777777"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 xml:space="preserve">Whether “no TA adjustment in between PUCCH transmissions or PUSCH transmissions” is another necessary condition to keep phase continuity </w:t>
                  </w:r>
                  <w:r w:rsidRPr="00390EEF">
                    <w:rPr>
                      <w:rFonts w:ascii="Times New Roman" w:hAnsi="Times New Roman" w:cs="Times New Roman"/>
                      <w:i/>
                      <w:szCs w:val="21"/>
                    </w:rPr>
                    <w:lastRenderedPageBreak/>
                    <w:t>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lastRenderedPageBreak/>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lastRenderedPageBreak/>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lastRenderedPageBreak/>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lastRenderedPageBreak/>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73BFA" w14:textId="77777777" w:rsidR="00150B0D" w:rsidRDefault="00150B0D" w:rsidP="003508A8">
      <w:pPr>
        <w:spacing w:after="0" w:line="240" w:lineRule="auto"/>
      </w:pPr>
      <w:r>
        <w:separator/>
      </w:r>
    </w:p>
  </w:endnote>
  <w:endnote w:type="continuationSeparator" w:id="0">
    <w:p w14:paraId="58097783" w14:textId="77777777" w:rsidR="00150B0D" w:rsidRDefault="00150B0D"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68BA" w14:textId="77777777" w:rsidR="00150B0D" w:rsidRDefault="00150B0D" w:rsidP="003508A8">
      <w:pPr>
        <w:spacing w:after="0" w:line="240" w:lineRule="auto"/>
      </w:pPr>
      <w:r>
        <w:separator/>
      </w:r>
    </w:p>
  </w:footnote>
  <w:footnote w:type="continuationSeparator" w:id="0">
    <w:p w14:paraId="64221CFE" w14:textId="77777777" w:rsidR="00150B0D" w:rsidRDefault="00150B0D"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798"/>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4BE0F-6120-4D1F-84C1-284D6A3D8D63}">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76</Pages>
  <Words>25221</Words>
  <Characters>143763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ANKIT BHAMRI</cp:lastModifiedBy>
  <cp:revision>25</cp:revision>
  <cp:lastPrinted>2021-04-15T03:16:00Z</cp:lastPrinted>
  <dcterms:created xsi:type="dcterms:W3CDTF">2021-08-18T13:26:00Z</dcterms:created>
  <dcterms:modified xsi:type="dcterms:W3CDTF">2021-08-18T17:30:00Z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