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5pt" o:ole="">
            <v:imagedata r:id="rId16" o:title=""/>
          </v:shape>
          <o:OLEObject Type="Embed" ProgID="Visio.Drawing.11" ShapeID="_x0000_i1025" DrawAspect="Content" ObjectID="_1690783150"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4pt" o:ole="">
            <v:imagedata r:id="rId18" o:title=""/>
          </v:shape>
          <o:OLEObject Type="Embed" ProgID="Visio.Drawing.11" ShapeID="_x0000_i1026" DrawAspect="Content" ObjectID="_1690783151"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5pt" o:ole="">
            <v:imagedata r:id="rId20" o:title=""/>
          </v:shape>
          <o:OLEObject Type="Embed" ProgID="Visio.Drawing.11" ShapeID="_x0000_i1027" DrawAspect="Content" ObjectID="_1690783152"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5pt" o:ole="">
            <v:imagedata r:id="rId22" o:title=""/>
          </v:shape>
          <o:OLEObject Type="Embed" ProgID="Visio.Drawing.11" ShapeID="_x0000_i1028" DrawAspect="Content" ObjectID="_1690783153"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4pt" o:ole="">
            <v:imagedata r:id="rId24" o:title=""/>
          </v:shape>
          <o:OLEObject Type="Embed" ProgID="Visio.Drawing.11" ShapeID="_x0000_i1029" DrawAspect="Content" ObjectID="_1690783154"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pt;height:96.65pt" o:ole="">
            <v:imagedata r:id="rId29" o:title=""/>
          </v:shape>
          <o:OLEObject Type="Embed" ProgID="Visio.Drawing.15" ShapeID="_x0000_i1030" DrawAspect="Content" ObjectID="_1690783155"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95pt;height:99.35pt" o:ole="">
            <v:imagedata r:id="rId32" o:title=""/>
          </v:shape>
          <o:OLEObject Type="Embed" ProgID="Visio.Drawing.15" ShapeID="_x0000_i1031" DrawAspect="Content" ObjectID="_1690783156"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25pt;height:148.25pt" o:ole="">
            <v:imagedata r:id="rId35" o:title=""/>
          </v:shape>
          <o:OLEObject Type="Embed" ProgID="Visio.Drawing.15" ShapeID="_x0000_i1032" DrawAspect="Content" ObjectID="_1690783157"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SimSun"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lastRenderedPageBreak/>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533735" w14:paraId="434F6EAB" w14:textId="77777777" w:rsidTr="003B11E7">
        <w:trPr>
          <w:trHeight w:val="409"/>
          <w:jc w:val="center"/>
        </w:trPr>
        <w:tc>
          <w:tcPr>
            <w:tcW w:w="1733" w:type="dxa"/>
            <w:shd w:val="clear" w:color="auto" w:fill="auto"/>
            <w:vAlign w:val="center"/>
          </w:tcPr>
          <w:p w14:paraId="5D3CAACC" w14:textId="77777777" w:rsidR="00533735" w:rsidRDefault="00533735" w:rsidP="003B11E7">
            <w:pPr>
              <w:jc w:val="center"/>
              <w:rPr>
                <w:rFonts w:ascii="Times New Roman" w:hAnsi="Times New Roman" w:cs="Times New Roman"/>
                <w:bCs/>
                <w:lang w:val="en-GB"/>
              </w:rPr>
            </w:pPr>
          </w:p>
        </w:tc>
        <w:tc>
          <w:tcPr>
            <w:tcW w:w="7744" w:type="dxa"/>
            <w:shd w:val="clear" w:color="auto" w:fill="auto"/>
            <w:vAlign w:val="center"/>
          </w:tcPr>
          <w:p w14:paraId="7B714420" w14:textId="77777777" w:rsidR="00533735" w:rsidRDefault="00533735" w:rsidP="003B11E7">
            <w:pPr>
              <w:rPr>
                <w:rFonts w:ascii="Times New Roman" w:hAnsi="Times New Roman" w:cs="Times New Roman"/>
                <w:bCs/>
                <w:lang w:val="en-GB"/>
              </w:rPr>
            </w:pP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lastRenderedPageBreak/>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lastRenderedPageBreak/>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w:t>
      </w:r>
      <w:r w:rsidRPr="00FC5720">
        <w:rPr>
          <w:rFonts w:ascii="Times New Roman" w:eastAsia="SimSun" w:hAnsi="Times New Roman" w:cs="Times New Roman"/>
          <w:kern w:val="0"/>
          <w:szCs w:val="21"/>
          <w:highlight w:val="cyan"/>
        </w:rPr>
        <w:lastRenderedPageBreak/>
        <w:t xml:space="preserve">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251C50" w14:paraId="275E0442" w14:textId="77777777" w:rsidTr="003B11E7">
        <w:trPr>
          <w:trHeight w:val="409"/>
          <w:jc w:val="center"/>
        </w:trPr>
        <w:tc>
          <w:tcPr>
            <w:tcW w:w="1733" w:type="dxa"/>
            <w:shd w:val="clear" w:color="auto" w:fill="auto"/>
            <w:vAlign w:val="center"/>
          </w:tcPr>
          <w:p w14:paraId="55183103" w14:textId="77777777" w:rsidR="00251C50" w:rsidRDefault="00251C50" w:rsidP="003B11E7">
            <w:pPr>
              <w:jc w:val="center"/>
              <w:rPr>
                <w:rFonts w:ascii="Times New Roman" w:hAnsi="Times New Roman" w:cs="Times New Roman"/>
                <w:bCs/>
                <w:lang w:val="en-GB"/>
              </w:rPr>
            </w:pPr>
          </w:p>
        </w:tc>
        <w:tc>
          <w:tcPr>
            <w:tcW w:w="7744" w:type="dxa"/>
            <w:shd w:val="clear" w:color="auto" w:fill="auto"/>
            <w:vAlign w:val="center"/>
          </w:tcPr>
          <w:p w14:paraId="1C1D33EE" w14:textId="77777777" w:rsidR="00251C50" w:rsidRDefault="00251C50" w:rsidP="003B11E7">
            <w:pPr>
              <w:rPr>
                <w:rFonts w:ascii="Times New Roman" w:hAnsi="Times New Roman" w:cs="Times New Roman"/>
                <w:bCs/>
                <w:lang w:val="en-GB"/>
              </w:rPr>
            </w:pP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lastRenderedPageBreak/>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451887" w14:paraId="3C2CC91E" w14:textId="77777777" w:rsidTr="003B11E7">
        <w:trPr>
          <w:trHeight w:val="409"/>
          <w:jc w:val="center"/>
        </w:trPr>
        <w:tc>
          <w:tcPr>
            <w:tcW w:w="1733" w:type="dxa"/>
            <w:shd w:val="clear" w:color="auto" w:fill="auto"/>
            <w:vAlign w:val="center"/>
          </w:tcPr>
          <w:p w14:paraId="49513768" w14:textId="77777777" w:rsidR="00451887" w:rsidRDefault="00451887" w:rsidP="003B11E7">
            <w:pPr>
              <w:jc w:val="center"/>
              <w:rPr>
                <w:rFonts w:ascii="Times New Roman" w:hAnsi="Times New Roman" w:cs="Times New Roman"/>
                <w:bCs/>
                <w:lang w:val="en-GB"/>
              </w:rPr>
            </w:pPr>
          </w:p>
        </w:tc>
        <w:tc>
          <w:tcPr>
            <w:tcW w:w="7744" w:type="dxa"/>
            <w:shd w:val="clear" w:color="auto" w:fill="auto"/>
            <w:vAlign w:val="center"/>
          </w:tcPr>
          <w:p w14:paraId="4BC769A5" w14:textId="77777777" w:rsidR="00451887" w:rsidRDefault="00451887" w:rsidP="003B11E7">
            <w:pPr>
              <w:rPr>
                <w:rFonts w:ascii="Times New Roman" w:hAnsi="Times New Roman" w:cs="Times New Roman"/>
                <w:bCs/>
                <w:lang w:val="en-GB"/>
              </w:rPr>
            </w:pP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lastRenderedPageBreak/>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4C0F2F">
              <w:tc>
                <w:tcPr>
                  <w:tcW w:w="7513" w:type="dxa"/>
                </w:tcPr>
                <w:p w14:paraId="1FD7C1E0" w14:textId="77777777" w:rsidR="00390EEF" w:rsidRDefault="00390EEF" w:rsidP="004C0F2F">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lastRenderedPageBreak/>
                    <w:t xml:space="preserve">RAN1 Question 2: </w:t>
                  </w:r>
                </w:p>
                <w:p w14:paraId="33356C44" w14:textId="77777777" w:rsidR="00390EEF" w:rsidRPr="00390EEF" w:rsidRDefault="00390EEF" w:rsidP="004C0F2F">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4C0F2F">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lastRenderedPageBreak/>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CFC8" w14:textId="77777777" w:rsidR="006A5A49" w:rsidRDefault="006A5A49" w:rsidP="003508A8">
      <w:pPr>
        <w:spacing w:after="0" w:line="240" w:lineRule="auto"/>
      </w:pPr>
      <w:r>
        <w:separator/>
      </w:r>
    </w:p>
  </w:endnote>
  <w:endnote w:type="continuationSeparator" w:id="0">
    <w:p w14:paraId="5CC45F0E" w14:textId="77777777" w:rsidR="006A5A49" w:rsidRDefault="006A5A49"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6ECA" w14:textId="77777777" w:rsidR="006A5A49" w:rsidRDefault="006A5A49" w:rsidP="003508A8">
      <w:pPr>
        <w:spacing w:after="0" w:line="240" w:lineRule="auto"/>
      </w:pPr>
      <w:r>
        <w:separator/>
      </w:r>
    </w:p>
  </w:footnote>
  <w:footnote w:type="continuationSeparator" w:id="0">
    <w:p w14:paraId="66F2E7A6" w14:textId="77777777" w:rsidR="006A5A49" w:rsidRDefault="006A5A49"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75</Pages>
  <Words>24856</Words>
  <Characters>141680</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Xiong, Gang</cp:lastModifiedBy>
  <cp:revision>18</cp:revision>
  <cp:lastPrinted>2021-04-15T03:16:00Z</cp:lastPrinted>
  <dcterms:created xsi:type="dcterms:W3CDTF">2021-08-18T13:26:00Z</dcterms:created>
  <dcterms:modified xsi:type="dcterms:W3CDTF">2021-08-18T16:13:00Z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