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There are many simulation results of joint channel estimation among different TBs with large gains are provided by companies, which are captured in TR 38.830, </w:t>
            </w:r>
            <w:proofErr w:type="gramStart"/>
            <w:r w:rsidRPr="003018A6">
              <w:rPr>
                <w:rFonts w:ascii="Times New Roman" w:eastAsia="SimSun" w:hAnsi="Times New Roman" w:cs="Times New Roman"/>
                <w:kern w:val="0"/>
                <w:szCs w:val="21"/>
                <w:lang w:val="en-US"/>
              </w:rPr>
              <w:t>e.g.</w:t>
            </w:r>
            <w:proofErr w:type="gramEnd"/>
            <w:r w:rsidRPr="003018A6">
              <w:rPr>
                <w:rFonts w:ascii="Times New Roman" w:eastAsia="SimSun" w:hAnsi="Times New Roman" w:cs="Times New Roman"/>
                <w:kern w:val="0"/>
                <w:szCs w:val="21"/>
                <w:lang w:val="en-US"/>
              </w:rPr>
              <w:t xml:space="preserve">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Huawei/</w:t>
            </w:r>
            <w:proofErr w:type="spellStart"/>
            <w:r w:rsidRPr="003018A6">
              <w:rPr>
                <w:rFonts w:ascii="Times New Roman" w:eastAsia="SimSun" w:hAnsi="Times New Roman" w:cs="Times New Roman"/>
                <w:kern w:val="0"/>
                <w:szCs w:val="21"/>
                <w:lang w:val="en-US"/>
              </w:rPr>
              <w:t>HiSilicon</w:t>
            </w:r>
            <w:proofErr w:type="spellEnd"/>
            <w:r w:rsidRPr="003018A6">
              <w:rPr>
                <w:rFonts w:ascii="Times New Roman" w:eastAsia="SimSun" w:hAnsi="Times New Roman" w:cs="Times New Roman"/>
                <w:kern w:val="0"/>
                <w:szCs w:val="21"/>
                <w:lang w:val="en-US"/>
              </w:rPr>
              <w:t>: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Vivo: about 0.6 dB for PUSCH transmissions with different </w:t>
            </w:r>
            <w:proofErr w:type="spellStart"/>
            <w:r w:rsidRPr="003018A6">
              <w:rPr>
                <w:rFonts w:ascii="Times New Roman" w:eastAsia="SimSun" w:hAnsi="Times New Roman" w:cs="Times New Roman"/>
                <w:kern w:val="0"/>
                <w:szCs w:val="21"/>
                <w:lang w:val="en-US"/>
              </w:rPr>
              <w:t>TBs.</w:t>
            </w:r>
            <w:proofErr w:type="spellEnd"/>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proofErr w:type="gramStart"/>
            <w:r w:rsidRPr="003018A6">
              <w:rPr>
                <w:rFonts w:ascii="Times New Roman" w:eastAsia="SimSun" w:hAnsi="Times New Roman" w:cs="Times New Roman"/>
                <w:kern w:val="0"/>
                <w:szCs w:val="21"/>
                <w:lang w:val="en-US"/>
              </w:rPr>
              <w:t>As long as</w:t>
            </w:r>
            <w:proofErr w:type="gramEnd"/>
            <w:r w:rsidRPr="003018A6">
              <w:rPr>
                <w:rFonts w:ascii="Times New Roman" w:eastAsia="SimSun" w:hAnsi="Times New Roman" w:cs="Times New Roman"/>
                <w:kern w:val="0"/>
                <w:szCs w:val="21"/>
                <w:lang w:val="en-US"/>
              </w:rPr>
              <w:t xml:space="preserve"> the </w:t>
            </w:r>
            <w:proofErr w:type="spellStart"/>
            <w:r w:rsidRPr="003018A6">
              <w:rPr>
                <w:rFonts w:ascii="Times New Roman" w:eastAsia="SimSun" w:hAnsi="Times New Roman" w:cs="Times New Roman"/>
                <w:kern w:val="0"/>
                <w:szCs w:val="21"/>
                <w:lang w:val="en-US" w:eastAsia="en-US"/>
              </w:rPr>
              <w:t>the</w:t>
            </w:r>
            <w:proofErr w:type="spellEnd"/>
            <w:r w:rsidRPr="003018A6">
              <w:rPr>
                <w:rFonts w:ascii="Times New Roman" w:eastAsia="SimSun" w:hAnsi="Times New Roman" w:cs="Times New Roman"/>
                <w:kern w:val="0"/>
                <w:szCs w:val="21"/>
                <w:lang w:val="en-US" w:eastAsia="en-US"/>
              </w:rPr>
              <w:t xml:space="preserv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DengXian" w:hAnsi="Times New Roman"/>
                <w:bCs/>
                <w:color w:val="000000"/>
                <w:kern w:val="24"/>
                <w:szCs w:val="21"/>
                <w:lang w:val="en-US"/>
              </w:rPr>
              <w:t>A higher data rate is required for PUSCH transmission in coverage enhancement</w:t>
            </w:r>
            <w:r w:rsidRPr="003018A6">
              <w:rPr>
                <w:rFonts w:ascii="Times New Roman" w:eastAsia="DengXian" w:hAnsi="Times New Roman" w:hint="eastAsia"/>
                <w:bCs/>
                <w:color w:val="000000"/>
                <w:kern w:val="24"/>
                <w:szCs w:val="21"/>
                <w:lang w:val="en-US"/>
              </w:rPr>
              <w:t xml:space="preserve">, </w:t>
            </w:r>
            <w:proofErr w:type="gramStart"/>
            <w:r w:rsidRPr="003018A6">
              <w:rPr>
                <w:rFonts w:ascii="Times New Roman" w:eastAsia="DengXian" w:hAnsi="Times New Roman" w:hint="eastAsia"/>
                <w:bCs/>
                <w:color w:val="000000"/>
                <w:kern w:val="24"/>
                <w:szCs w:val="21"/>
                <w:lang w:val="en-US"/>
              </w:rPr>
              <w:t>e.g.</w:t>
            </w:r>
            <w:proofErr w:type="gramEnd"/>
            <w:r w:rsidRPr="003018A6">
              <w:rPr>
                <w:rFonts w:ascii="Times New Roman" w:eastAsia="DengXian" w:hAnsi="Times New Roman" w:hint="eastAsia"/>
                <w:bCs/>
                <w:color w:val="000000"/>
                <w:kern w:val="24"/>
                <w:szCs w:val="21"/>
                <w:lang w:val="en-US"/>
              </w:rPr>
              <w:t xml:space="preserve"> 1Mbps for </w:t>
            </w:r>
            <w:proofErr w:type="spellStart"/>
            <w:r w:rsidRPr="003018A6">
              <w:rPr>
                <w:rFonts w:ascii="Times New Roman" w:eastAsia="DengXian" w:hAnsi="Times New Roman" w:hint="eastAsia"/>
                <w:bCs/>
                <w:color w:val="000000"/>
                <w:kern w:val="24"/>
                <w:szCs w:val="21"/>
                <w:lang w:val="en-US"/>
              </w:rPr>
              <w:t>eMBB</w:t>
            </w:r>
            <w:proofErr w:type="spellEnd"/>
            <w:r w:rsidRPr="003018A6">
              <w:rPr>
                <w:rFonts w:ascii="Times New Roman" w:eastAsia="DengXian" w:hAnsi="Times New Roman" w:hint="eastAsia"/>
                <w:bCs/>
                <w:color w:val="000000"/>
                <w:kern w:val="24"/>
                <w:szCs w:val="21"/>
                <w:lang w:val="en-US"/>
              </w:rPr>
              <w:t xml:space="preserve">, where the number of repetitions is limited; Also, </w:t>
            </w:r>
            <w:r w:rsidRPr="003018A6">
              <w:rPr>
                <w:rFonts w:ascii="Times New Roman" w:eastAsia="DengXian" w:hAnsi="Times New Roman"/>
                <w:bCs/>
                <w:color w:val="000000"/>
                <w:kern w:val="24"/>
                <w:szCs w:val="21"/>
                <w:lang w:val="en-US"/>
              </w:rPr>
              <w:t xml:space="preserve">A medium </w:t>
            </w:r>
            <w:r w:rsidRPr="003018A6">
              <w:rPr>
                <w:rFonts w:ascii="Times New Roman" w:eastAsia="DengXian" w:hAnsi="Times New Roman" w:hint="eastAsia"/>
                <w:bCs/>
                <w:color w:val="000000"/>
                <w:kern w:val="24"/>
                <w:szCs w:val="21"/>
                <w:lang w:val="en-US"/>
              </w:rPr>
              <w:t>or</w:t>
            </w:r>
            <w:r w:rsidRPr="003018A6">
              <w:rPr>
                <w:rFonts w:ascii="Times New Roman" w:eastAsia="DengXian" w:hAnsi="Times New Roman"/>
                <w:bCs/>
                <w:color w:val="000000"/>
                <w:kern w:val="24"/>
                <w:szCs w:val="21"/>
                <w:lang w:val="en-US"/>
              </w:rPr>
              <w:t xml:space="preserve"> low date rate is required for PUSCH transmission in coverage enhancement, </w:t>
            </w:r>
            <w:r w:rsidRPr="003018A6">
              <w:rPr>
                <w:rFonts w:ascii="Times New Roman" w:eastAsia="DengXian" w:hAnsi="Times New Roman" w:hint="eastAsia"/>
                <w:bCs/>
                <w:color w:val="000000"/>
                <w:kern w:val="24"/>
                <w:szCs w:val="21"/>
                <w:lang w:val="en-US"/>
              </w:rPr>
              <w:t xml:space="preserve">e.g. </w:t>
            </w:r>
            <w:r w:rsidRPr="003018A6">
              <w:rPr>
                <w:rFonts w:ascii="Times New Roman" w:eastAsia="DengXian" w:hAnsi="Times New Roman"/>
                <w:bCs/>
                <w:color w:val="000000"/>
                <w:kern w:val="24"/>
                <w:szCs w:val="21"/>
                <w:lang w:val="en-US"/>
              </w:rPr>
              <w:t>12.2 kbps for VoIP</w:t>
            </w:r>
            <w:r w:rsidRPr="003018A6">
              <w:rPr>
                <w:rFonts w:ascii="Times New Roman" w:eastAsia="DengXian" w:hAnsi="Times New Roman" w:hint="eastAsia"/>
                <w:bCs/>
                <w:color w:val="000000"/>
                <w:kern w:val="24"/>
                <w:szCs w:val="21"/>
                <w:lang w:val="en-US"/>
              </w:rPr>
              <w:t xml:space="preserve">, where </w:t>
            </w:r>
            <w:r w:rsidRPr="003018A6">
              <w:rPr>
                <w:rFonts w:ascii="Times New Roman" w:eastAsia="SimSun" w:hAnsi="Times New Roman"/>
                <w:szCs w:val="21"/>
                <w:lang w:val="en-US"/>
              </w:rPr>
              <w:t>different TBs with repetitions are transmitted across consecutive slots</w:t>
            </w:r>
            <w:r w:rsidRPr="003018A6">
              <w:rPr>
                <w:rFonts w:ascii="Times New Roman" w:eastAsia="SimSun" w:hAnsi="Times New Roman" w:hint="eastAsia"/>
                <w:szCs w:val="21"/>
                <w:lang w:val="en-US"/>
              </w:rPr>
              <w:t>.</w:t>
            </w:r>
            <w:r w:rsidRPr="003018A6">
              <w:rPr>
                <w:rFonts w:ascii="Times New Roman" w:eastAsia="SimSun" w:hAnsi="Times New Roman" w:cs="Times New Roman"/>
                <w:kern w:val="0"/>
                <w:szCs w:val="21"/>
                <w:lang w:val="en-US"/>
              </w:rPr>
              <w:t xml:space="preserve"> </w:t>
            </w:r>
            <w:proofErr w:type="gramStart"/>
            <w:r w:rsidRPr="003018A6">
              <w:rPr>
                <w:rFonts w:ascii="Times New Roman" w:eastAsia="SimSun" w:hAnsi="Times New Roman" w:cs="Times New Roman" w:hint="eastAsia"/>
                <w:kern w:val="0"/>
                <w:szCs w:val="21"/>
                <w:lang w:val="en-US"/>
              </w:rPr>
              <w:t>T</w:t>
            </w:r>
            <w:r w:rsidRPr="003018A6">
              <w:rPr>
                <w:rFonts w:ascii="Times New Roman" w:eastAsia="SimSun" w:hAnsi="Times New Roman" w:cs="Times New Roman"/>
                <w:kern w:val="0"/>
                <w:szCs w:val="21"/>
                <w:lang w:val="en-US"/>
              </w:rPr>
              <w:t>hus</w:t>
            </w:r>
            <w:proofErr w:type="gramEnd"/>
            <w:r w:rsidRPr="003018A6">
              <w:rPr>
                <w:rFonts w:ascii="Times New Roman" w:eastAsia="SimSun" w:hAnsi="Times New Roman" w:cs="Times New Roman"/>
                <w:kern w:val="0"/>
                <w:szCs w:val="21"/>
                <w:lang w:val="en-US"/>
              </w:rPr>
              <w:t xml:space="preserve">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hint="eastAsia"/>
                <w:kern w:val="0"/>
                <w:szCs w:val="21"/>
                <w:lang w:val="en-US"/>
              </w:rPr>
              <w:t>N</w:t>
            </w:r>
            <w:r w:rsidRPr="003018A6">
              <w:rPr>
                <w:rFonts w:ascii="Times New Roman" w:eastAsia="SimSun" w:hAnsi="Times New Roman" w:cs="Times New Roman"/>
                <w:kern w:val="0"/>
                <w:szCs w:val="21"/>
                <w:lang w:val="en-US"/>
              </w:rPr>
              <w:t>ot targeted for coverage enhancement</w:t>
            </w:r>
            <w:r w:rsidRPr="003018A6">
              <w:rPr>
                <w:rFonts w:ascii="Times New Roman" w:eastAsia="SimSun"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SimSun" w:hAnsi="Times New Roman" w:cs="Times New Roman"/>
                <w:kern w:val="0"/>
                <w:szCs w:val="21"/>
                <w:lang w:val="en-US"/>
              </w:rPr>
              <w:t xml:space="preserve">, and the fact that </w:t>
            </w:r>
            <w:proofErr w:type="spellStart"/>
            <w:r w:rsidRPr="003018A6">
              <w:rPr>
                <w:rFonts w:ascii="Times New Roman" w:eastAsia="SimSun" w:hAnsi="Times New Roman" w:cs="Times New Roman"/>
                <w:kern w:val="0"/>
                <w:szCs w:val="21"/>
                <w:lang w:val="en-US"/>
              </w:rPr>
              <w:t>its</w:t>
            </w:r>
            <w:proofErr w:type="spellEnd"/>
            <w:r w:rsidRPr="003018A6">
              <w:rPr>
                <w:rFonts w:ascii="Times New Roman" w:eastAsia="SimSun" w:hAnsi="Times New Roman" w:cs="Times New Roman"/>
                <w:kern w:val="0"/>
                <w:szCs w:val="21"/>
                <w:lang w:val="en-US"/>
              </w:rPr>
              <w:t xml:space="preserve"> unlikely to benefit a cell-edge UE</w:t>
            </w:r>
            <w:r w:rsidRPr="003018A6">
              <w:rPr>
                <w:rFonts w:ascii="Times New Roman" w:eastAsia="SimSun"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Restrictions on scheduling of multiple TBs, same number of PRBs/same frequency location, same transmission power, same</w:t>
            </w:r>
            <w:r w:rsidRPr="003018A6">
              <w:rPr>
                <w:rFonts w:ascii="Times New Roman" w:eastAsia="SimSun" w:hAnsi="Times New Roman" w:cs="Times New Roman" w:hint="eastAsia"/>
                <w:kern w:val="0"/>
                <w:szCs w:val="21"/>
                <w:lang w:val="en-US"/>
              </w:rPr>
              <w:t xml:space="preserve"> TPMI</w:t>
            </w:r>
            <w:r w:rsidRPr="003018A6">
              <w:rPr>
                <w:rFonts w:ascii="Times New Roman" w:eastAsia="SimSun" w:hAnsi="Times New Roman" w:cs="Times New Roman"/>
                <w:kern w:val="0"/>
                <w:szCs w:val="21"/>
                <w:lang w:val="en-US"/>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SimSun" w:hAnsi="Times New Roman"/>
          <w:b/>
          <w:sz w:val="21"/>
          <w:szCs w:val="21"/>
        </w:rPr>
        <w:t>HiSilicon</w:t>
      </w:r>
      <w:proofErr w:type="spellEnd"/>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 xml:space="preserve">Spreadtrum,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25pt;height:58.5pt;mso-width-percent:0;mso-height-percent:0;mso-width-percent:0;mso-height-percent:0" o:ole="">
            <v:imagedata r:id="rId16" o:title=""/>
          </v:shape>
          <o:OLEObject Type="Embed" ProgID="Visio.Drawing.11" ShapeID="_x0000_i1025" DrawAspect="Content" ObjectID="_1690712720"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25pt;height:92.25pt;mso-width-percent:0;mso-height-percent:0;mso-width-percent:0;mso-height-percent:0" o:ole="">
            <v:imagedata r:id="rId18" o:title=""/>
          </v:shape>
          <o:OLEObject Type="Embed" ProgID="Visio.Drawing.11" ShapeID="_x0000_i1026" DrawAspect="Content" ObjectID="_1690712721"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25pt;height:58.5pt;mso-width-percent:0;mso-height-percent:0;mso-width-percent:0;mso-height-percent:0" o:ole="">
            <v:imagedata r:id="rId20" o:title=""/>
          </v:shape>
          <o:OLEObject Type="Embed" ProgID="Visio.Drawing.11" ShapeID="_x0000_i1027" DrawAspect="Content" ObjectID="_1690712722"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25pt;height:59.25pt;mso-width-percent:0;mso-height-percent:0;mso-width-percent:0;mso-height-percent:0" o:ole="">
            <v:imagedata r:id="rId22" o:title=""/>
          </v:shape>
          <o:OLEObject Type="Embed" ProgID="Visio.Drawing.11" ShapeID="_x0000_i1028" DrawAspect="Content" ObjectID="_1690712723"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25pt;height:92.25pt;mso-width-percent:0;mso-height-percent:0;mso-width-percent:0;mso-height-percent:0" o:ole="">
            <v:imagedata r:id="rId24" o:title=""/>
          </v:shape>
          <o:OLEObject Type="Embed" ProgID="Visio.Drawing.11" ShapeID="_x0000_i1029" DrawAspect="Content" ObjectID="_1690712724"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r w:rsidRPr="00C54B8B">
        <w:rPr>
          <w:rFonts w:ascii="Times New Roman" w:eastAsia="SimSun" w:hAnsi="Times New Roman" w:cs="Times New Roman"/>
          <w:b/>
          <w:kern w:val="0"/>
          <w:szCs w:val="21"/>
          <w:lang w:val="fr-FR"/>
        </w:rPr>
        <w:lastRenderedPageBreak/>
        <w:t>Support:</w:t>
      </w:r>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BodyText"/>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25pt;height:97.5pt;mso-width-percent:0;mso-height-percent:0;mso-width-percent:0;mso-height-percent:0" o:ole="">
            <v:imagedata r:id="rId29" o:title=""/>
          </v:shape>
          <o:OLEObject Type="Embed" ProgID="Visio.Drawing.15" ShapeID="_x0000_i1030" DrawAspect="Content" ObjectID="_1690712725"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75pt;height:99.75pt;mso-width-percent:0;mso-height-percent:0;mso-width-percent:0;mso-height-percent:0" o:ole="">
            <v:imagedata r:id="rId32" o:title=""/>
          </v:shape>
          <o:OLEObject Type="Embed" ProgID="Visio.Drawing.15" ShapeID="_x0000_i1031" DrawAspect="Content" ObjectID="_1690712726"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9pt;height:149.25pt;mso-width-percent:0;mso-height-percent:0;mso-width-percent:0;mso-height-percent:0" o:ole="">
            <v:imagedata r:id="rId35" o:title=""/>
          </v:shape>
          <o:OLEObject Type="Embed" ProgID="Visio.Drawing.15" ShapeID="_x0000_i1032" DrawAspect="Content" ObjectID="_1690712727"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trPr>
          <w:trHeight w:val="409"/>
          <w:jc w:val="center"/>
        </w:trPr>
        <w:tc>
          <w:tcPr>
            <w:tcW w:w="1220"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trPr>
          <w:trHeight w:val="409"/>
          <w:jc w:val="center"/>
        </w:trPr>
        <w:tc>
          <w:tcPr>
            <w:tcW w:w="1220"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4FB6FF26"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trPr>
          <w:trHeight w:val="409"/>
          <w:jc w:val="center"/>
        </w:trPr>
        <w:tc>
          <w:tcPr>
            <w:tcW w:w="1220" w:type="dxa"/>
            <w:shd w:val="clear" w:color="auto" w:fill="auto"/>
            <w:vAlign w:val="center"/>
          </w:tcPr>
          <w:p w14:paraId="22D3E50D" w14:textId="22F4ABC4" w:rsidR="003018A6" w:rsidRPr="003018A6" w:rsidRDefault="003018A6" w:rsidP="00E8599C">
            <w:pPr>
              <w:jc w:val="center"/>
              <w:rPr>
                <w:rFonts w:ascii="Times New Roman" w:hAnsi="Times New Roman" w:cs="Times New Roman" w:hint="eastAsia"/>
                <w:bCs/>
              </w:rPr>
            </w:pPr>
            <w:r>
              <w:rPr>
                <w:rFonts w:ascii="Times New Roman" w:hAnsi="Times New Roman" w:cs="Times New Roman"/>
                <w:bCs/>
              </w:rPr>
              <w:t>Sony</w:t>
            </w:r>
          </w:p>
        </w:tc>
        <w:tc>
          <w:tcPr>
            <w:tcW w:w="8257" w:type="dxa"/>
            <w:shd w:val="clear" w:color="auto" w:fill="auto"/>
            <w:vAlign w:val="center"/>
          </w:tcPr>
          <w:p w14:paraId="3606DC5F" w14:textId="5F4D8CEB" w:rsidR="003018A6" w:rsidRDefault="00FF65F3" w:rsidP="003E6C35">
            <w:pPr>
              <w:rPr>
                <w:rFonts w:ascii="Times New Roman" w:hAnsi="Times New Roman" w:cs="Times New Roman" w:hint="eastAsia"/>
                <w:bCs/>
                <w:lang w:val="en-GB"/>
              </w:rPr>
            </w:pPr>
            <w:r>
              <w:rPr>
                <w:rFonts w:ascii="Times New Roman" w:hAnsi="Times New Roman" w:cs="Times New Roman"/>
                <w:bCs/>
                <w:lang w:val="en-GB"/>
              </w:rPr>
              <w:t>Support Alt 1</w:t>
            </w: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C76501" w14:paraId="4AEB4CDF" w14:textId="77777777" w:rsidTr="004E03BE">
        <w:trPr>
          <w:trHeight w:val="409"/>
          <w:jc w:val="center"/>
        </w:trPr>
        <w:tc>
          <w:tcPr>
            <w:tcW w:w="1220" w:type="dxa"/>
            <w:shd w:val="clear" w:color="auto" w:fill="auto"/>
            <w:vAlign w:val="center"/>
          </w:tcPr>
          <w:p w14:paraId="0FDEAAEB" w14:textId="77777777" w:rsidR="00C76501" w:rsidRDefault="00C76501" w:rsidP="004E03BE">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4E03BE">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4E03BE">
        <w:trPr>
          <w:trHeight w:val="409"/>
          <w:jc w:val="center"/>
        </w:trPr>
        <w:tc>
          <w:tcPr>
            <w:tcW w:w="1220" w:type="dxa"/>
            <w:shd w:val="clear" w:color="auto" w:fill="auto"/>
            <w:vAlign w:val="center"/>
          </w:tcPr>
          <w:p w14:paraId="3FF0D683" w14:textId="37FF43E9" w:rsidR="00900417" w:rsidRDefault="00900417" w:rsidP="004E03BE">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15622EB8" w14:textId="56DD0DEC" w:rsidR="00900417" w:rsidRDefault="00900417" w:rsidP="004E03BE">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C76501" w14:paraId="1B8DE57B" w14:textId="77777777" w:rsidTr="004E03BE">
        <w:trPr>
          <w:trHeight w:val="419"/>
          <w:jc w:val="center"/>
        </w:trPr>
        <w:tc>
          <w:tcPr>
            <w:tcW w:w="1220" w:type="dxa"/>
            <w:shd w:val="clear" w:color="auto" w:fill="auto"/>
            <w:vAlign w:val="center"/>
          </w:tcPr>
          <w:p w14:paraId="0A16B3E1" w14:textId="77777777" w:rsidR="00C76501" w:rsidRDefault="00C76501" w:rsidP="004E03BE">
            <w:pPr>
              <w:jc w:val="center"/>
              <w:rPr>
                <w:rFonts w:ascii="Times New Roman" w:hAnsi="Times New Roman" w:cs="Times New Roman"/>
                <w:bCs/>
                <w:lang w:val="en-GB" w:eastAsia="ja-JP"/>
              </w:rPr>
            </w:pPr>
          </w:p>
        </w:tc>
        <w:tc>
          <w:tcPr>
            <w:tcW w:w="8257" w:type="dxa"/>
            <w:shd w:val="clear" w:color="auto" w:fill="auto"/>
            <w:vAlign w:val="center"/>
          </w:tcPr>
          <w:p w14:paraId="23FF7DE8" w14:textId="77777777" w:rsidR="00C76501" w:rsidRDefault="00C76501" w:rsidP="004E03BE">
            <w:pPr>
              <w:rPr>
                <w:rFonts w:ascii="Times New Roman" w:hAnsi="Times New Roman" w:cs="Times New Roman"/>
                <w:bCs/>
                <w:lang w:val="en-GB"/>
              </w:rPr>
            </w:pPr>
          </w:p>
        </w:tc>
      </w:tr>
      <w:tr w:rsidR="00C76501" w14:paraId="5F37EC29" w14:textId="77777777" w:rsidTr="004E03BE">
        <w:trPr>
          <w:trHeight w:val="409"/>
          <w:jc w:val="center"/>
        </w:trPr>
        <w:tc>
          <w:tcPr>
            <w:tcW w:w="1220" w:type="dxa"/>
            <w:shd w:val="clear" w:color="auto" w:fill="auto"/>
            <w:vAlign w:val="center"/>
          </w:tcPr>
          <w:p w14:paraId="2DA95C01" w14:textId="77777777" w:rsidR="00C76501" w:rsidRPr="00A918E8" w:rsidRDefault="00C76501" w:rsidP="004E03BE">
            <w:pPr>
              <w:jc w:val="center"/>
              <w:rPr>
                <w:rFonts w:ascii="Times New Roman" w:hAnsi="Times New Roman" w:cs="Times New Roman"/>
                <w:bCs/>
              </w:rPr>
            </w:pPr>
          </w:p>
        </w:tc>
        <w:tc>
          <w:tcPr>
            <w:tcW w:w="8257" w:type="dxa"/>
            <w:shd w:val="clear" w:color="auto" w:fill="auto"/>
            <w:vAlign w:val="center"/>
          </w:tcPr>
          <w:p w14:paraId="553B4E4E" w14:textId="77777777" w:rsidR="00C76501" w:rsidRDefault="00C76501" w:rsidP="004E03BE">
            <w:pPr>
              <w:rPr>
                <w:rFonts w:ascii="Times New Roman" w:hAnsi="Times New Roman" w:cs="Times New Roman"/>
                <w:bCs/>
                <w:lang w:val="en-GB"/>
              </w:rPr>
            </w:pPr>
          </w:p>
        </w:tc>
      </w:tr>
    </w:tbl>
    <w:p w14:paraId="7F6BDB53" w14:textId="77777777" w:rsidR="00C76501" w:rsidRPr="00233D67" w:rsidRDefault="00C76501" w:rsidP="00C76501"/>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trPr>
          <w:trHeight w:val="409"/>
          <w:jc w:val="center"/>
        </w:trPr>
        <w:tc>
          <w:tcPr>
            <w:tcW w:w="1220"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8257" w:type="dxa"/>
            <w:shd w:val="clear" w:color="auto" w:fill="auto"/>
            <w:vAlign w:val="center"/>
          </w:tcPr>
          <w:p w14:paraId="6F31C2C4" w14:textId="5B4F6947" w:rsidR="00E8599C" w:rsidRDefault="00E859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36B343B5" w14:textId="77777777">
        <w:trPr>
          <w:trHeight w:val="409"/>
          <w:jc w:val="center"/>
        </w:trPr>
        <w:tc>
          <w:tcPr>
            <w:tcW w:w="1220"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trPr>
          <w:trHeight w:val="409"/>
          <w:jc w:val="center"/>
        </w:trPr>
        <w:tc>
          <w:tcPr>
            <w:tcW w:w="1220"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trPr>
          <w:trHeight w:val="409"/>
          <w:jc w:val="center"/>
        </w:trPr>
        <w:tc>
          <w:tcPr>
            <w:tcW w:w="1220"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trPr>
          <w:trHeight w:val="409"/>
          <w:jc w:val="center"/>
        </w:trPr>
        <w:tc>
          <w:tcPr>
            <w:tcW w:w="1220"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trPr>
          <w:trHeight w:val="409"/>
          <w:jc w:val="center"/>
        </w:trPr>
        <w:tc>
          <w:tcPr>
            <w:tcW w:w="1220" w:type="dxa"/>
            <w:shd w:val="clear" w:color="auto" w:fill="auto"/>
            <w:vAlign w:val="center"/>
          </w:tcPr>
          <w:p w14:paraId="16C25A17" w14:textId="6BD3F74C" w:rsidR="007A0AA6" w:rsidRDefault="007A0AA6" w:rsidP="00377691">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8257" w:type="dxa"/>
            <w:shd w:val="clear" w:color="auto" w:fill="auto"/>
            <w:vAlign w:val="center"/>
          </w:tcPr>
          <w:p w14:paraId="3906CFBD" w14:textId="5661143B" w:rsidR="007A0AA6" w:rsidRDefault="007A0AA6" w:rsidP="00377691">
            <w:pPr>
              <w:rPr>
                <w:rFonts w:ascii="Times New Roman" w:hAnsi="Times New Roman" w:cs="Times New Roman" w:hint="eastAsia"/>
                <w:bCs/>
                <w:lang w:val="en-GB"/>
              </w:rPr>
            </w:pPr>
            <w:r>
              <w:rPr>
                <w:rFonts w:ascii="Times New Roman" w:hAnsi="Times New Roman" w:cs="Times New Roman"/>
                <w:bCs/>
                <w:lang w:val="en-GB"/>
              </w:rPr>
              <w:t>Support</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trPr>
          <w:trHeight w:val="409"/>
          <w:jc w:val="center"/>
        </w:trPr>
        <w:tc>
          <w:tcPr>
            <w:tcW w:w="1220"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8257"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trPr>
          <w:trHeight w:val="409"/>
          <w:jc w:val="center"/>
        </w:trPr>
        <w:tc>
          <w:tcPr>
            <w:tcW w:w="1220"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trPr>
          <w:trHeight w:val="409"/>
          <w:jc w:val="center"/>
        </w:trPr>
        <w:tc>
          <w:tcPr>
            <w:tcW w:w="1220"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trPr>
          <w:trHeight w:val="409"/>
          <w:jc w:val="center"/>
        </w:trPr>
        <w:tc>
          <w:tcPr>
            <w:tcW w:w="1220"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trPr>
          <w:trHeight w:val="409"/>
          <w:jc w:val="center"/>
        </w:trPr>
        <w:tc>
          <w:tcPr>
            <w:tcW w:w="1220" w:type="dxa"/>
            <w:shd w:val="clear" w:color="auto" w:fill="auto"/>
            <w:vAlign w:val="center"/>
          </w:tcPr>
          <w:p w14:paraId="3E028710" w14:textId="597270C7" w:rsidR="000056D7" w:rsidRDefault="000056D7" w:rsidP="00D1792B">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8257" w:type="dxa"/>
            <w:shd w:val="clear" w:color="auto" w:fill="auto"/>
            <w:vAlign w:val="center"/>
          </w:tcPr>
          <w:p w14:paraId="0204414A" w14:textId="3B300B3F" w:rsidR="000056D7" w:rsidRDefault="000056D7" w:rsidP="00D1792B">
            <w:pPr>
              <w:rPr>
                <w:rFonts w:ascii="Times New Roman" w:hAnsi="Times New Roman" w:cs="Times New Roman" w:hint="eastAsia"/>
                <w:bCs/>
                <w:lang w:val="en-GB"/>
              </w:rPr>
            </w:pPr>
            <w:r>
              <w:rPr>
                <w:rFonts w:ascii="Times New Roman" w:hAnsi="Times New Roman" w:cs="Times New Roman"/>
                <w:bCs/>
                <w:lang w:val="en-GB"/>
              </w:rPr>
              <w:t>Support</w:t>
            </w: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 xml:space="preserve">s the difference </w:t>
            </w:r>
            <w:r>
              <w:rPr>
                <w:rFonts w:ascii="Times New Roman" w:hAnsi="Times New Roman" w:cs="Times New Roman" w:hint="eastAsia"/>
                <w:bCs/>
              </w:rPr>
              <w:lastRenderedPageBreak/>
              <w:t>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 xml:space="preserve">time domain </w:t>
            </w:r>
            <w:r w:rsidRPr="00107831">
              <w:rPr>
                <w:rFonts w:ascii="Times New Roman" w:eastAsia="Malgun Gothic" w:hAnsi="Times New Roman" w:cs="Times New Roman"/>
                <w:bCs/>
                <w:lang w:val="en-GB" w:eastAsia="ko-KR"/>
              </w:rPr>
              <w:lastRenderedPageBreak/>
              <w:t>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t>
            </w:r>
            <w:r>
              <w:rPr>
                <w:rFonts w:ascii="Times New Roman" w:eastAsia="SimSun" w:hAnsi="Times New Roman" w:cs="Times New Roman"/>
                <w:kern w:val="0"/>
                <w:szCs w:val="21"/>
                <w:lang w:val="en-GB"/>
              </w:rPr>
              <w:lastRenderedPageBreak/>
              <w:t xml:space="preserve">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w:t>
            </w:r>
            <w:r>
              <w:rPr>
                <w:rFonts w:ascii="Times New Roman" w:eastAsia="Batang" w:hAnsi="Times New Roman" w:cs="Times New Roman" w:hint="eastAsia"/>
                <w:kern w:val="0"/>
                <w:szCs w:val="21"/>
              </w:rPr>
              <w:lastRenderedPageBreak/>
              <w:t xml:space="preserve">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lastRenderedPageBreak/>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ListParagraph"/>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 xml:space="preserve">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w:t>
            </w:r>
            <w:r w:rsidRPr="0050463B">
              <w:rPr>
                <w:rFonts w:ascii="Times New Roman" w:hAnsi="Times New Roman" w:cs="Times New Roman"/>
              </w:rPr>
              <w:lastRenderedPageBreak/>
              <w:t>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trPr>
          <w:trHeight w:val="409"/>
          <w:jc w:val="center"/>
        </w:trPr>
        <w:tc>
          <w:tcPr>
            <w:tcW w:w="1220"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8257"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trPr>
          <w:trHeight w:val="409"/>
          <w:jc w:val="center"/>
        </w:trPr>
        <w:tc>
          <w:tcPr>
            <w:tcW w:w="1220"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8257"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 xml:space="preserve">the difference between Alt 1 and Alt 2 is that for Alt 1, only single TDW is configured, while for Alt 2, multiple TDWs are configured. This may have impact on the signaling design. But explicit signaling may not be needed. In this case, for Alt 1 and Alt </w:t>
            </w:r>
            <w:r>
              <w:rPr>
                <w:rFonts w:ascii="Times New Roman" w:hAnsi="Times New Roman" w:cs="Times New Roman"/>
              </w:rPr>
              <w:lastRenderedPageBreak/>
              <w:t>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trPr>
          <w:trHeight w:val="409"/>
          <w:jc w:val="center"/>
        </w:trPr>
        <w:tc>
          <w:tcPr>
            <w:tcW w:w="1220"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trPr>
          <w:trHeight w:val="409"/>
          <w:jc w:val="center"/>
        </w:trPr>
        <w:tc>
          <w:tcPr>
            <w:tcW w:w="1220"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8257"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trPr>
          <w:trHeight w:val="409"/>
          <w:jc w:val="center"/>
        </w:trPr>
        <w:tc>
          <w:tcPr>
            <w:tcW w:w="1220"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8257"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trPr>
          <w:trHeight w:val="409"/>
          <w:jc w:val="center"/>
        </w:trPr>
        <w:tc>
          <w:tcPr>
            <w:tcW w:w="1220"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8257"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lastRenderedPageBreak/>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lastRenderedPageBreak/>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32668" w14:paraId="18B261AB" w14:textId="77777777" w:rsidTr="004E03BE">
        <w:trPr>
          <w:trHeight w:val="409"/>
          <w:jc w:val="center"/>
        </w:trPr>
        <w:tc>
          <w:tcPr>
            <w:tcW w:w="1220" w:type="dxa"/>
            <w:shd w:val="clear" w:color="auto" w:fill="auto"/>
            <w:vAlign w:val="center"/>
          </w:tcPr>
          <w:p w14:paraId="6E6B8635" w14:textId="77777777" w:rsidR="00132668" w:rsidRDefault="00132668" w:rsidP="004E03BE">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E088A67" w14:textId="77777777" w:rsidR="00132668" w:rsidRDefault="00132668" w:rsidP="004E03BE">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4E03BE">
        <w:trPr>
          <w:trHeight w:val="409"/>
          <w:jc w:val="center"/>
        </w:trPr>
        <w:tc>
          <w:tcPr>
            <w:tcW w:w="1220" w:type="dxa"/>
            <w:shd w:val="clear" w:color="auto" w:fill="auto"/>
            <w:vAlign w:val="center"/>
          </w:tcPr>
          <w:p w14:paraId="0E59A535" w14:textId="526184B0" w:rsidR="00900417" w:rsidRDefault="00900417" w:rsidP="004E03BE">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20238BB1" w14:textId="022C28C3" w:rsidR="00900417" w:rsidRDefault="00900417" w:rsidP="004E03BE">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132668" w14:paraId="534F0E12" w14:textId="77777777" w:rsidTr="004E03BE">
        <w:trPr>
          <w:trHeight w:val="419"/>
          <w:jc w:val="center"/>
        </w:trPr>
        <w:tc>
          <w:tcPr>
            <w:tcW w:w="1220" w:type="dxa"/>
            <w:shd w:val="clear" w:color="auto" w:fill="auto"/>
            <w:vAlign w:val="center"/>
          </w:tcPr>
          <w:p w14:paraId="7BF9BE59" w14:textId="68516588" w:rsidR="00132668" w:rsidRDefault="001B04E0" w:rsidP="004E03BE">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8257" w:type="dxa"/>
            <w:shd w:val="clear" w:color="auto" w:fill="auto"/>
            <w:vAlign w:val="center"/>
          </w:tcPr>
          <w:p w14:paraId="37084515" w14:textId="73F9593E" w:rsidR="00132668" w:rsidRDefault="001B04E0" w:rsidP="004E03BE">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4E03BE">
        <w:trPr>
          <w:trHeight w:val="409"/>
          <w:jc w:val="center"/>
        </w:trPr>
        <w:tc>
          <w:tcPr>
            <w:tcW w:w="1220" w:type="dxa"/>
            <w:shd w:val="clear" w:color="auto" w:fill="auto"/>
            <w:vAlign w:val="center"/>
          </w:tcPr>
          <w:p w14:paraId="1ADBA168" w14:textId="77777777" w:rsidR="00132668" w:rsidRPr="00A918E8" w:rsidRDefault="00132668" w:rsidP="004E03BE">
            <w:pPr>
              <w:jc w:val="center"/>
              <w:rPr>
                <w:rFonts w:ascii="Times New Roman" w:hAnsi="Times New Roman" w:cs="Times New Roman"/>
                <w:bCs/>
              </w:rPr>
            </w:pPr>
          </w:p>
        </w:tc>
        <w:tc>
          <w:tcPr>
            <w:tcW w:w="8257" w:type="dxa"/>
            <w:shd w:val="clear" w:color="auto" w:fill="auto"/>
            <w:vAlign w:val="center"/>
          </w:tcPr>
          <w:p w14:paraId="76CBD697" w14:textId="77777777" w:rsidR="00132668" w:rsidRDefault="00132668" w:rsidP="004E03BE">
            <w:pPr>
              <w:rPr>
                <w:rFonts w:ascii="Times New Roman" w:hAnsi="Times New Roman" w:cs="Times New Roman"/>
                <w:bCs/>
                <w:lang w:val="en-GB"/>
              </w:rPr>
            </w:pP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trPr>
          <w:trHeight w:val="409"/>
          <w:jc w:val="center"/>
        </w:trPr>
        <w:tc>
          <w:tcPr>
            <w:tcW w:w="1220"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lastRenderedPageBreak/>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trPr>
          <w:trHeight w:val="409"/>
          <w:jc w:val="center"/>
        </w:trPr>
        <w:tc>
          <w:tcPr>
            <w:tcW w:w="1220"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8257"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trPr>
          <w:trHeight w:val="409"/>
          <w:jc w:val="center"/>
        </w:trPr>
        <w:tc>
          <w:tcPr>
            <w:tcW w:w="1220"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trPr>
          <w:trHeight w:val="409"/>
          <w:jc w:val="center"/>
        </w:trPr>
        <w:tc>
          <w:tcPr>
            <w:tcW w:w="1220"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trPr>
          <w:trHeight w:val="409"/>
          <w:jc w:val="center"/>
        </w:trPr>
        <w:tc>
          <w:tcPr>
            <w:tcW w:w="1220"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trPr>
          <w:trHeight w:val="409"/>
          <w:jc w:val="center"/>
        </w:trPr>
        <w:tc>
          <w:tcPr>
            <w:tcW w:w="1220"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trPr>
          <w:trHeight w:val="409"/>
          <w:jc w:val="center"/>
        </w:trPr>
        <w:tc>
          <w:tcPr>
            <w:tcW w:w="1220" w:type="dxa"/>
            <w:shd w:val="clear" w:color="auto" w:fill="auto"/>
            <w:vAlign w:val="center"/>
          </w:tcPr>
          <w:p w14:paraId="39FCEAEB" w14:textId="4F950B9B" w:rsidR="00E06675" w:rsidRDefault="00E06675" w:rsidP="00E8599C">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8257" w:type="dxa"/>
            <w:shd w:val="clear" w:color="auto" w:fill="auto"/>
            <w:vAlign w:val="center"/>
          </w:tcPr>
          <w:p w14:paraId="36CD1921" w14:textId="0658E225" w:rsidR="00E06675" w:rsidRDefault="00E06675" w:rsidP="00E8599C">
            <w:pPr>
              <w:rPr>
                <w:rFonts w:ascii="Times New Roman" w:eastAsia="MS Mincho" w:hAnsi="Times New Roman" w:cs="Times New Roman" w:hint="eastAsia"/>
                <w:bCs/>
                <w:lang w:val="en-GB" w:eastAsia="ja-JP"/>
              </w:rPr>
            </w:pPr>
            <w:r>
              <w:rPr>
                <w:rFonts w:ascii="Times New Roman" w:eastAsia="MS Mincho" w:hAnsi="Times New Roman" w:cs="Times New Roman"/>
                <w:bCs/>
                <w:lang w:val="en-GB" w:eastAsia="ja-JP"/>
              </w:rPr>
              <w:t>Support</w:t>
            </w: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lastRenderedPageBreak/>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trPr>
          <w:trHeight w:val="409"/>
          <w:jc w:val="center"/>
        </w:trPr>
        <w:tc>
          <w:tcPr>
            <w:tcW w:w="1220"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trPr>
          <w:trHeight w:val="409"/>
          <w:jc w:val="center"/>
        </w:trPr>
        <w:tc>
          <w:tcPr>
            <w:tcW w:w="1220"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trPr>
          <w:trHeight w:val="409"/>
          <w:jc w:val="center"/>
        </w:trPr>
        <w:tc>
          <w:tcPr>
            <w:tcW w:w="1220"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trPr>
          <w:trHeight w:val="409"/>
          <w:jc w:val="center"/>
        </w:trPr>
        <w:tc>
          <w:tcPr>
            <w:tcW w:w="1220"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S</w:t>
            </w:r>
            <w:r>
              <w:rPr>
                <w:rFonts w:ascii="Times New Roman" w:hAnsi="Times New Roman" w:cs="Times New Roman"/>
                <w:bCs/>
                <w:lang w:val="en-GB"/>
              </w:rPr>
              <w:t>preadtrum</w:t>
            </w:r>
          </w:p>
        </w:tc>
        <w:tc>
          <w:tcPr>
            <w:tcW w:w="8257"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trPr>
          <w:trHeight w:val="409"/>
          <w:jc w:val="center"/>
        </w:trPr>
        <w:tc>
          <w:tcPr>
            <w:tcW w:w="1220"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trPr>
          <w:trHeight w:val="409"/>
          <w:jc w:val="center"/>
        </w:trPr>
        <w:tc>
          <w:tcPr>
            <w:tcW w:w="1220"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34B4C8B2" w14:textId="77777777" w:rsidR="00900417" w:rsidRDefault="00900417" w:rsidP="003E6C35">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7F40CE" w14:paraId="609DE304" w14:textId="77777777">
        <w:trPr>
          <w:trHeight w:val="409"/>
          <w:jc w:val="center"/>
        </w:trPr>
        <w:tc>
          <w:tcPr>
            <w:tcW w:w="1220" w:type="dxa"/>
            <w:shd w:val="clear" w:color="auto" w:fill="auto"/>
            <w:vAlign w:val="center"/>
          </w:tcPr>
          <w:p w14:paraId="180F03D8" w14:textId="7DDF9AF8" w:rsidR="007F40CE" w:rsidRDefault="007F40CE" w:rsidP="00E8599C">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8257"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 xml:space="preserve">Dynamic signalling would require more overhead and therefore needs to be well motivated. We are not sure about the impact of delaying, </w:t>
            </w:r>
            <w:proofErr w:type="gramStart"/>
            <w:r w:rsidRPr="007F40CE">
              <w:rPr>
                <w:rFonts w:ascii="Times New Roman" w:hAnsi="Times New Roman" w:cs="Times New Roman"/>
                <w:bCs/>
                <w:lang w:val="en-GB"/>
              </w:rPr>
              <w:t>e.g.</w:t>
            </w:r>
            <w:proofErr w:type="gramEnd"/>
            <w:r w:rsidRPr="007F40CE">
              <w:rPr>
                <w:rFonts w:ascii="Times New Roman" w:hAnsi="Times New Roman" w:cs="Times New Roman"/>
                <w:bCs/>
                <w:lang w:val="en-GB"/>
              </w:rPr>
              <w:t xml:space="preserve"> frequency error correction, timing correction, RF calibration, antenna virtualization and etc., to outside a coherent transmission.</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trPr>
          <w:trHeight w:val="409"/>
          <w:jc w:val="center"/>
        </w:trPr>
        <w:tc>
          <w:tcPr>
            <w:tcW w:w="1220"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trPr>
          <w:trHeight w:val="409"/>
          <w:jc w:val="center"/>
        </w:trPr>
        <w:tc>
          <w:tcPr>
            <w:tcW w:w="1220"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We don’t think it is needed. Proper time domain window can be used to avoid the impact of the </w:t>
            </w:r>
            <w:r>
              <w:rPr>
                <w:rFonts w:ascii="Times New Roman" w:hAnsi="Times New Roman" w:cs="Times New Roman"/>
                <w:bCs/>
                <w:lang w:val="en-GB"/>
              </w:rPr>
              <w:lastRenderedPageBreak/>
              <w:t>interrupt coherent events.</w:t>
            </w:r>
          </w:p>
        </w:tc>
      </w:tr>
      <w:tr w:rsidR="007B76CB" w14:paraId="446D1899" w14:textId="77777777">
        <w:trPr>
          <w:trHeight w:val="409"/>
          <w:jc w:val="center"/>
        </w:trPr>
        <w:tc>
          <w:tcPr>
            <w:tcW w:w="1220"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X</w:t>
            </w:r>
            <w:r>
              <w:rPr>
                <w:rFonts w:ascii="Times New Roman" w:hAnsi="Times New Roman" w:cs="Times New Roman"/>
                <w:bCs/>
                <w:lang w:val="en-GB"/>
              </w:rPr>
              <w:t>iaomi</w:t>
            </w:r>
          </w:p>
        </w:tc>
        <w:tc>
          <w:tcPr>
            <w:tcW w:w="8257"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trPr>
          <w:trHeight w:val="409"/>
          <w:jc w:val="center"/>
        </w:trPr>
        <w:tc>
          <w:tcPr>
            <w:tcW w:w="1220"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36D4CDC6"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1CE7019E" w14:textId="77777777" w:rsidR="00900417" w:rsidRDefault="00900417" w:rsidP="003E6C35">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2B35FB" w14:paraId="6E086CE7" w14:textId="77777777">
        <w:trPr>
          <w:trHeight w:val="409"/>
          <w:jc w:val="center"/>
        </w:trPr>
        <w:tc>
          <w:tcPr>
            <w:tcW w:w="1220" w:type="dxa"/>
            <w:shd w:val="clear" w:color="auto" w:fill="auto"/>
            <w:vAlign w:val="center"/>
          </w:tcPr>
          <w:p w14:paraId="64C07C52" w14:textId="2F89F95C" w:rsidR="002B35FB" w:rsidRDefault="002B35FB" w:rsidP="00E8599C">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8257" w:type="dxa"/>
            <w:shd w:val="clear" w:color="auto" w:fill="auto"/>
            <w:vAlign w:val="center"/>
          </w:tcPr>
          <w:p w14:paraId="476E5039" w14:textId="0D432115" w:rsidR="002B35FB" w:rsidRDefault="002B35FB" w:rsidP="003E6C35">
            <w:pPr>
              <w:rPr>
                <w:rFonts w:ascii="Times New Roman" w:hAnsi="Times New Roman" w:cs="Times New Roman" w:hint="eastAsia"/>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w:t>
            </w:r>
            <w:proofErr w:type="gramStart"/>
            <w:r w:rsidRPr="002B35FB">
              <w:rPr>
                <w:rFonts w:ascii="Times New Roman" w:hAnsi="Times New Roman" w:cs="Times New Roman"/>
                <w:bCs/>
                <w:lang w:val="en-GB"/>
              </w:rPr>
              <w:t>e.g.</w:t>
            </w:r>
            <w:proofErr w:type="gramEnd"/>
            <w:r w:rsidRPr="002B35FB">
              <w:rPr>
                <w:rFonts w:ascii="Times New Roman" w:hAnsi="Times New Roman" w:cs="Times New Roman"/>
                <w:bCs/>
                <w:lang w:val="en-GB"/>
              </w:rPr>
              <w:t xml:space="preserve"> frequency error correction, timing correction, RF calibration, antenna virtualization and etc., to outside a coherent transmission.</w:t>
            </w: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As mentioned in our tdoc, although we observed performance gain, i.e., ~0.5dB when DMRS is </w:t>
            </w:r>
            <w:r>
              <w:rPr>
                <w:rFonts w:ascii="Times New Roman" w:hAnsi="Times New Roman" w:cs="Times New Roman"/>
                <w:bCs/>
                <w:lang w:val="en-GB"/>
              </w:rPr>
              <w:lastRenderedPageBreak/>
              <w:t>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trPr>
          <w:trHeight w:val="409"/>
          <w:jc w:val="center"/>
        </w:trPr>
        <w:tc>
          <w:tcPr>
            <w:tcW w:w="1220"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trPr>
          <w:trHeight w:val="409"/>
          <w:jc w:val="center"/>
        </w:trPr>
        <w:tc>
          <w:tcPr>
            <w:tcW w:w="1220"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8257"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trPr>
          <w:trHeight w:val="409"/>
          <w:jc w:val="center"/>
        </w:trPr>
        <w:tc>
          <w:tcPr>
            <w:tcW w:w="1220"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trPr>
          <w:trHeight w:val="409"/>
          <w:jc w:val="center"/>
        </w:trPr>
        <w:tc>
          <w:tcPr>
            <w:tcW w:w="1220"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trPr>
          <w:trHeight w:val="409"/>
          <w:jc w:val="center"/>
        </w:trPr>
        <w:tc>
          <w:tcPr>
            <w:tcW w:w="1220" w:type="dxa"/>
            <w:shd w:val="clear" w:color="auto" w:fill="auto"/>
            <w:vAlign w:val="center"/>
          </w:tcPr>
          <w:p w14:paraId="4E0614EF" w14:textId="5F245752" w:rsidR="00607667" w:rsidRDefault="00607667" w:rsidP="00E8599C">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8257" w:type="dxa"/>
            <w:shd w:val="clear" w:color="auto" w:fill="auto"/>
            <w:vAlign w:val="center"/>
          </w:tcPr>
          <w:p w14:paraId="5A5DF0E9" w14:textId="5FD37B34" w:rsidR="00607667" w:rsidRDefault="00607667" w:rsidP="00E8599C">
            <w:pPr>
              <w:rPr>
                <w:rFonts w:ascii="Times New Roman" w:hAnsi="Times New Roman" w:cs="Times New Roman" w:hint="eastAsia"/>
                <w:bCs/>
                <w:lang w:val="en-GB"/>
              </w:rPr>
            </w:pPr>
            <w:r>
              <w:rPr>
                <w:rFonts w:ascii="Times New Roman" w:hAnsi="Times New Roman" w:cs="Times New Roman"/>
                <w:bCs/>
                <w:lang w:val="en-GB"/>
              </w:rPr>
              <w:t>Alt 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 xml:space="preserve">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t>
            </w:r>
            <w:r w:rsidRPr="0050463B">
              <w:rPr>
                <w:rFonts w:ascii="Times New Roman" w:hAnsi="Times New Roman" w:cs="Times New Roman"/>
                <w:bCs/>
                <w:lang w:val="en-GB"/>
              </w:rPr>
              <w:lastRenderedPageBreak/>
              <w:t>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trPr>
          <w:trHeight w:val="409"/>
          <w:jc w:val="center"/>
        </w:trPr>
        <w:tc>
          <w:tcPr>
            <w:tcW w:w="1220"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trPr>
          <w:trHeight w:val="409"/>
          <w:jc w:val="center"/>
        </w:trPr>
        <w:tc>
          <w:tcPr>
            <w:tcW w:w="1220"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trPr>
          <w:trHeight w:val="409"/>
          <w:jc w:val="center"/>
        </w:trPr>
        <w:tc>
          <w:tcPr>
            <w:tcW w:w="1220"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trPr>
          <w:trHeight w:val="409"/>
          <w:jc w:val="center"/>
        </w:trPr>
        <w:tc>
          <w:tcPr>
            <w:tcW w:w="1220"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trPr>
          <w:trHeight w:val="409"/>
          <w:jc w:val="center"/>
        </w:trPr>
        <w:tc>
          <w:tcPr>
            <w:tcW w:w="1220" w:type="dxa"/>
            <w:shd w:val="clear" w:color="auto" w:fill="auto"/>
            <w:vAlign w:val="center"/>
          </w:tcPr>
          <w:p w14:paraId="2699A4DB" w14:textId="79F783D9" w:rsidR="00252010" w:rsidRDefault="00252010" w:rsidP="00E8599C">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8257" w:type="dxa"/>
            <w:shd w:val="clear" w:color="auto" w:fill="auto"/>
            <w:vAlign w:val="center"/>
          </w:tcPr>
          <w:p w14:paraId="6F561C7A" w14:textId="15EAB6F4" w:rsidR="00252010" w:rsidRDefault="00252010" w:rsidP="007A4F54">
            <w:pPr>
              <w:rPr>
                <w:rFonts w:ascii="Times New Roman" w:hAnsi="Times New Roman" w:cs="Times New Roman" w:hint="eastAsia"/>
                <w:bCs/>
                <w:lang w:val="en-GB"/>
              </w:rPr>
            </w:pPr>
            <w:r w:rsidRPr="00252010">
              <w:rPr>
                <w:rFonts w:ascii="Times New Roman" w:hAnsi="Times New Roman" w:cs="Times New Roman"/>
                <w:bCs/>
                <w:lang w:val="en-GB"/>
              </w:rPr>
              <w:t xml:space="preserve">It’s not clear if the UE can receive at-all within a time window. If it can (which we think is doable), we have no strong view on the alternatives </w:t>
            </w:r>
            <w:proofErr w:type="gramStart"/>
            <w:r w:rsidRPr="00252010">
              <w:rPr>
                <w:rFonts w:ascii="Times New Roman" w:hAnsi="Times New Roman" w:cs="Times New Roman"/>
                <w:bCs/>
                <w:lang w:val="en-GB"/>
              </w:rPr>
              <w:t>as long as</w:t>
            </w:r>
            <w:proofErr w:type="gramEnd"/>
            <w:r w:rsidRPr="00252010">
              <w:rPr>
                <w:rFonts w:ascii="Times New Roman" w:hAnsi="Times New Roman" w:cs="Times New Roman"/>
                <w:bCs/>
                <w:lang w:val="en-GB"/>
              </w:rPr>
              <w:t xml:space="preserve"> they are not applied within the coherent transmission.</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trPr>
          <w:trHeight w:val="409"/>
          <w:jc w:val="center"/>
        </w:trPr>
        <w:tc>
          <w:tcPr>
            <w:tcW w:w="1220"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trPr>
          <w:trHeight w:val="409"/>
          <w:jc w:val="center"/>
        </w:trPr>
        <w:tc>
          <w:tcPr>
            <w:tcW w:w="1220"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trPr>
          <w:trHeight w:val="409"/>
          <w:jc w:val="center"/>
        </w:trPr>
        <w:tc>
          <w:tcPr>
            <w:tcW w:w="1220"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trPr>
          <w:trHeight w:val="409"/>
          <w:jc w:val="center"/>
        </w:trPr>
        <w:tc>
          <w:tcPr>
            <w:tcW w:w="1220"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trPr>
          <w:trHeight w:val="409"/>
          <w:jc w:val="center"/>
        </w:trPr>
        <w:tc>
          <w:tcPr>
            <w:tcW w:w="1220" w:type="dxa"/>
            <w:shd w:val="clear" w:color="auto" w:fill="auto"/>
            <w:vAlign w:val="center"/>
          </w:tcPr>
          <w:p w14:paraId="369219EA" w14:textId="76817A8A" w:rsidR="00012A5E" w:rsidRDefault="00012A5E" w:rsidP="00E8599C">
            <w:pPr>
              <w:jc w:val="center"/>
              <w:rPr>
                <w:rFonts w:ascii="Times New Roman" w:hAnsi="Times New Roman" w:cs="Times New Roman" w:hint="eastAsia"/>
                <w:bCs/>
                <w:lang w:val="en-GB"/>
              </w:rPr>
            </w:pPr>
            <w:r>
              <w:rPr>
                <w:rFonts w:ascii="Times New Roman" w:hAnsi="Times New Roman" w:cs="Times New Roman"/>
                <w:bCs/>
                <w:lang w:val="en-GB"/>
              </w:rPr>
              <w:t>Sony</w:t>
            </w:r>
          </w:p>
        </w:tc>
        <w:tc>
          <w:tcPr>
            <w:tcW w:w="8257" w:type="dxa"/>
            <w:shd w:val="clear" w:color="auto" w:fill="auto"/>
            <w:vAlign w:val="center"/>
          </w:tcPr>
          <w:p w14:paraId="1DF8E806" w14:textId="40D9963B" w:rsidR="00012A5E" w:rsidRDefault="00012A5E" w:rsidP="00E8599C">
            <w:pPr>
              <w:rPr>
                <w:rFonts w:ascii="Times New Roman" w:hAnsi="Times New Roman" w:cs="Times New Roman" w:hint="eastAsia"/>
                <w:bCs/>
                <w:lang w:val="en-GB"/>
              </w:rPr>
            </w:pPr>
            <w:r>
              <w:rPr>
                <w:rFonts w:ascii="Times New Roman" w:hAnsi="Times New Roman" w:cs="Times New Roman"/>
                <w:bCs/>
                <w:lang w:val="en-GB"/>
              </w:rPr>
              <w:t>Support</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lastRenderedPageBreak/>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lastRenderedPageBreak/>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98F7" w14:textId="77777777" w:rsidR="0084070C" w:rsidRDefault="0084070C" w:rsidP="00ED35D3">
      <w:pPr>
        <w:spacing w:after="0" w:line="240" w:lineRule="auto"/>
      </w:pPr>
      <w:r>
        <w:separator/>
      </w:r>
    </w:p>
  </w:endnote>
  <w:endnote w:type="continuationSeparator" w:id="0">
    <w:p w14:paraId="35A2BF6D" w14:textId="77777777" w:rsidR="0084070C" w:rsidRDefault="0084070C"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6CAA8" w14:textId="77777777" w:rsidR="0084070C" w:rsidRDefault="0084070C" w:rsidP="00ED35D3">
      <w:pPr>
        <w:spacing w:after="0" w:line="240" w:lineRule="auto"/>
      </w:pPr>
      <w:r>
        <w:separator/>
      </w:r>
    </w:p>
  </w:footnote>
  <w:footnote w:type="continuationSeparator" w:id="0">
    <w:p w14:paraId="2DA03DE4" w14:textId="77777777" w:rsidR="0084070C" w:rsidRDefault="0084070C"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package" Target="embeddings/Microsoft_Visio___12.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png"/><Relationship Id="rId36" Type="http://schemas.openxmlformats.org/officeDocument/2006/relationships/package" Target="embeddings/Microsoft_Visio___23.vsdx"/><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1.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EFB455DE-81B4-4166-AE4B-C285C698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55</Pages>
  <Words>19774</Words>
  <Characters>104806</Characters>
  <Application>Microsoft Office Word</Application>
  <DocSecurity>0</DocSecurity>
  <Lines>873</Lines>
  <Paragraphs>248</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Bengtsson, Erik</cp:lastModifiedBy>
  <cp:revision>18</cp:revision>
  <cp:lastPrinted>2021-04-15T03:16:00Z</cp:lastPrinted>
  <dcterms:created xsi:type="dcterms:W3CDTF">2021-08-17T11:08:00Z</dcterms:created>
  <dcterms:modified xsi:type="dcterms:W3CDTF">2021-08-17T11:20:00Z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