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5pt;mso-width-percent:0;mso-height-percent:0;mso-width-percent:0;mso-height-percent:0" o:ole="">
            <v:imagedata r:id="rId16" o:title=""/>
          </v:shape>
          <o:OLEObject Type="Embed" ProgID="Visio.Drawing.11" ShapeID="_x0000_i1025" DrawAspect="Content" ObjectID="_1690723144"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723145"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5pt;mso-width-percent:0;mso-height-percent:0;mso-width-percent:0;mso-height-percent:0" o:ole="">
            <v:imagedata r:id="rId20" o:title=""/>
          </v:shape>
          <o:OLEObject Type="Embed" ProgID="Visio.Drawing.11" ShapeID="_x0000_i1027" DrawAspect="Content" ObjectID="_1690723146"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9pt;mso-width-percent:0;mso-height-percent:0;mso-width-percent:0;mso-height-percent:0" o:ole="">
            <v:imagedata r:id="rId22" o:title=""/>
          </v:shape>
          <o:OLEObject Type="Embed" ProgID="Visio.Drawing.11" ShapeID="_x0000_i1028" DrawAspect="Content" ObjectID="_1690723147"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723148"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5pt;height:97.5pt;mso-width-percent:0;mso-height-percent:0;mso-width-percent:0;mso-height-percent:0" o:ole="">
            <v:imagedata r:id="rId29" o:title=""/>
          </v:shape>
          <o:OLEObject Type="Embed" ProgID="Visio.Drawing.15" ShapeID="_x0000_i1030" DrawAspect="Content" ObjectID="_1690723149"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5pt;height:100pt;mso-width-percent:0;mso-height-percent:0;mso-width-percent:0;mso-height-percent:0" o:ole="">
            <v:imagedata r:id="rId32" o:title=""/>
          </v:shape>
          <o:OLEObject Type="Embed" ProgID="Visio.Drawing.15" ShapeID="_x0000_i1031" DrawAspect="Content" ObjectID="_1690723150"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pt;height:148.5pt;mso-width-percent:0;mso-height-percent:0;mso-width-percent:0;mso-height-percent:0" o:ole="">
            <v:imagedata r:id="rId35" o:title=""/>
          </v:shape>
          <o:OLEObject Type="Embed" ProgID="Visio.Drawing.15" ShapeID="_x0000_i1032" DrawAspect="Content" ObjectID="_1690723151"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bookmarkStart w:id="11" w:name="_GoBack"/>
            <w:bookmarkEnd w:id="11"/>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It looks that the current formulation of Alt.1 generally converges to Alt.2 because sub-window in Alt.1 corresponds to TDW in Alt.2. According to the past agreements, the power consistency and phase continuity are kept in TDW. On the other hand, in Alt.1, the period to keep the power </w:t>
            </w:r>
            <w:r>
              <w:rPr>
                <w:rFonts w:ascii="Times New Roman" w:eastAsia="MS Mincho" w:hAnsi="Times New Roman" w:cs="Times New Roman"/>
                <w:bCs/>
                <w:lang w:val="en-GB" w:eastAsia="ja-JP"/>
              </w:rPr>
              <w:lastRenderedPageBreak/>
              <w:t>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 xml:space="preserve">Depending on this, it will be decided whether </w:t>
            </w:r>
            <w:r w:rsidRPr="006032B8">
              <w:rPr>
                <w:rFonts w:ascii="Times New Roman" w:eastAsia="Malgun Gothic" w:hAnsi="Times New Roman" w:cs="Times New Roman"/>
                <w:bCs/>
                <w:lang w:val="en-GB" w:eastAsia="ko-KR"/>
              </w:rPr>
              <w:lastRenderedPageBreak/>
              <w:t>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w:t>
            </w:r>
            <w:r>
              <w:rPr>
                <w:rFonts w:ascii="Times New Roman" w:eastAsia="宋体" w:hAnsi="Times New Roman" w:cs="Times New Roman"/>
                <w:kern w:val="0"/>
                <w:szCs w:val="21"/>
                <w:lang w:val="en-GB"/>
              </w:rPr>
              <w:lastRenderedPageBreak/>
              <w:t>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xml:space="preserve">. In </w:t>
            </w:r>
            <w:r w:rsidRPr="002B7373">
              <w:rPr>
                <w:bCs/>
                <w:sz w:val="20"/>
                <w:szCs w:val="20"/>
                <w:lang w:val="en-GB"/>
              </w:rPr>
              <w:lastRenderedPageBreak/>
              <w:t>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w:t>
            </w:r>
            <w:r w:rsidRPr="0050463B">
              <w:rPr>
                <w:rFonts w:ascii="Times New Roman" w:hAnsi="Times New Roman" w:cs="Times New Roman"/>
              </w:rPr>
              <w:lastRenderedPageBreak/>
              <w:t>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1, only single TDW is configured, while for Alt 2, multiple TDWs are configured. This may have impact </w:t>
            </w:r>
            <w:r>
              <w:rPr>
                <w:rFonts w:ascii="Times New Roman" w:hAnsi="Times New Roman" w:cs="Times New Roman"/>
              </w:rPr>
              <w:lastRenderedPageBreak/>
              <w:t>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w:t>
            </w:r>
            <w:r>
              <w:rPr>
                <w:rFonts w:ascii="Times New Roman" w:hAnsi="Times New Roman" w:cs="Times New Roman"/>
                <w:bCs/>
                <w:lang w:val="en-GB"/>
              </w:rPr>
              <w:lastRenderedPageBreak/>
              <w:t xml:space="preserve">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as long as a UE reports corresponding </w:t>
            </w:r>
            <w:r>
              <w:rPr>
                <w:rFonts w:ascii="Times New Roman" w:hAnsi="Times New Roman" w:cs="Times New Roman" w:hint="eastAsia"/>
                <w:bCs/>
              </w:rPr>
              <w:lastRenderedPageBreak/>
              <w:t>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t>
            </w:r>
            <w:r>
              <w:rPr>
                <w:rFonts w:ascii="Times New Roman" w:eastAsia="Malgun Gothic" w:hAnsi="Times New Roman" w:cs="Times New Roman"/>
                <w:bCs/>
                <w:lang w:val="en-GB" w:eastAsia="ko-KR"/>
              </w:rPr>
              <w:lastRenderedPageBreak/>
              <w:t>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lastRenderedPageBreak/>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lastRenderedPageBreak/>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lastRenderedPageBreak/>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lastRenderedPageBreak/>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lastRenderedPageBreak/>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FC69" w14:textId="77777777" w:rsidR="007F0DE6" w:rsidRDefault="007F0DE6" w:rsidP="00ED35D3">
      <w:pPr>
        <w:spacing w:after="0" w:line="240" w:lineRule="auto"/>
      </w:pPr>
      <w:r>
        <w:separator/>
      </w:r>
    </w:p>
  </w:endnote>
  <w:endnote w:type="continuationSeparator" w:id="0">
    <w:p w14:paraId="6821985E" w14:textId="77777777" w:rsidR="007F0DE6" w:rsidRDefault="007F0DE6"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3D86" w14:textId="77777777" w:rsidR="007F0DE6" w:rsidRDefault="007F0DE6" w:rsidP="00ED35D3">
      <w:pPr>
        <w:spacing w:after="0" w:line="240" w:lineRule="auto"/>
      </w:pPr>
      <w:r>
        <w:separator/>
      </w:r>
    </w:p>
  </w:footnote>
  <w:footnote w:type="continuationSeparator" w:id="0">
    <w:p w14:paraId="35A8A718" w14:textId="77777777" w:rsidR="007F0DE6" w:rsidRDefault="007F0DE6"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vsd"/><Relationship Id="rId25" Type="http://schemas.openxmlformats.org/officeDocument/2006/relationships/oleObject" Target="embeddings/Microsoft_Visio_2003-2010___4.vsd"/><Relationship Id="rId33" Type="http://schemas.openxmlformats.org/officeDocument/2006/relationships/package" Target="embeddings/Microsoft_Visio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3.vsd"/><Relationship Id="rId28" Type="http://schemas.openxmlformats.org/officeDocument/2006/relationships/image" Target="media/image12.png"/><Relationship Id="rId36"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oleObject" Target="embeddings/Microsoft_Visio_2003-2010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9DFE2A-E663-4215-B54F-A347CA5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17285</Words>
  <Characters>98529</Characters>
  <Application>Microsoft Office Word</Application>
  <DocSecurity>0</DocSecurity>
  <Lines>821</Lines>
  <Paragraphs>231</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张萌 (Pierre Zhang)</cp:lastModifiedBy>
  <cp:revision>5</cp:revision>
  <cp:lastPrinted>2021-04-15T03:16:00Z</cp:lastPrinted>
  <dcterms:created xsi:type="dcterms:W3CDTF">2021-08-17T03:37:00Z</dcterms:created>
  <dcterms:modified xsi:type="dcterms:W3CDTF">2021-08-17T08:33:00Z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