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xml:space="preserve">. Based on the </w:t>
      </w:r>
      <w:proofErr w:type="gramStart"/>
      <w:r>
        <w:rPr>
          <w:rFonts w:ascii="Times New Roman" w:hAnsi="Times New Roman"/>
          <w:sz w:val="21"/>
          <w:szCs w:val="21"/>
          <w:lang w:eastAsia="zh-CN"/>
        </w:rPr>
        <w:t>reply</w:t>
      </w:r>
      <w:proofErr w:type="gramEnd"/>
      <w:r>
        <w:rPr>
          <w:rFonts w:ascii="Times New Roman" w:hAnsi="Times New Roman"/>
          <w:sz w:val="21"/>
          <w:szCs w:val="21"/>
          <w:lang w:eastAsia="zh-CN"/>
        </w:rPr>
        <w:t xml:space="preserve">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and 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 xml:space="preserve">Question 3: There are two different </w:t>
      </w:r>
      <w:proofErr w:type="gramStart"/>
      <w:r>
        <w:rPr>
          <w:rFonts w:ascii="Times New Roman" w:hAnsi="Times New Roman"/>
          <w:bCs/>
          <w:sz w:val="21"/>
          <w:szCs w:val="21"/>
        </w:rPr>
        <w:t>interpretation</w:t>
      </w:r>
      <w:proofErr w:type="gramEnd"/>
      <w:r>
        <w:rPr>
          <w:rFonts w:ascii="Times New Roman" w:hAnsi="Times New Roman"/>
          <w:bCs/>
          <w:sz w:val="21"/>
          <w:szCs w:val="21"/>
        </w:rPr>
        <w:t xml:space="preserve">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 xml:space="preserve">The time domain window during which a UE is expected to maintain power consistency and phase continuity among PUSCH transmission should be at least a UE capability. It should be defined in </w:t>
      </w:r>
      <w:proofErr w:type="gramStart"/>
      <w:r>
        <w:rPr>
          <w:rFonts w:ascii="Times New Roman" w:hAnsi="Times New Roman" w:cs="Times New Roman"/>
          <w:szCs w:val="21"/>
        </w:rPr>
        <w:t>RAN1</w:t>
      </w:r>
      <w:proofErr w:type="gramEnd"/>
      <w:r>
        <w:rPr>
          <w:rFonts w:ascii="Times New Roman" w:hAnsi="Times New Roman" w:cs="Times New Roman"/>
          <w:szCs w:val="21"/>
        </w:rPr>
        <w:t xml:space="preserve">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5pt;mso-width-percent:0;mso-height-percent:0;mso-width-percent:0;mso-height-percent:0" o:ole="">
            <v:imagedata r:id="rId16" o:title=""/>
          </v:shape>
          <o:OLEObject Type="Embed" ProgID="Visio.Drawing.11" ShapeID="_x0000_i1025" DrawAspect="Content" ObjectID="_1690653249"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pt;mso-width-percent:0;mso-height-percent:0;mso-width-percent:0;mso-height-percent:0" o:ole="">
            <v:imagedata r:id="rId18" o:title=""/>
          </v:shape>
          <o:OLEObject Type="Embed" ProgID="Visio.Drawing.11" ShapeID="_x0000_i1026" DrawAspect="Content" ObjectID="_1690653250"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5pt;mso-width-percent:0;mso-height-percent:0;mso-width-percent:0;mso-height-percent:0" o:ole="">
            <v:imagedata r:id="rId20" o:title=""/>
          </v:shape>
          <o:OLEObject Type="Embed" ProgID="Visio.Drawing.11" ShapeID="_x0000_i1027" DrawAspect="Content" ObjectID="_1690653251"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9.5pt;mso-width-percent:0;mso-height-percent:0;mso-width-percent:0;mso-height-percent:0" o:ole="">
            <v:imagedata r:id="rId22" o:title=""/>
          </v:shape>
          <o:OLEObject Type="Embed" ProgID="Visio.Drawing.11" ShapeID="_x0000_i1028" DrawAspect="Content" ObjectID="_1690653252"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The maximum unscheduled gap between two successive PUSCHs is </w:t>
      </w:r>
      <w:proofErr w:type="gramStart"/>
      <w:r>
        <w:rPr>
          <w:bCs/>
          <w:sz w:val="21"/>
          <w:szCs w:val="21"/>
        </w:rPr>
        <w:t>exceeded;</w:t>
      </w:r>
      <w:proofErr w:type="gramEnd"/>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High priority transmission, dynamic SFI for unpaired spectrum, CI </w:t>
      </w:r>
      <w:proofErr w:type="gramStart"/>
      <w:r>
        <w:rPr>
          <w:bCs/>
          <w:sz w:val="21"/>
          <w:szCs w:val="21"/>
        </w:rPr>
        <w:t>and etc.</w:t>
      </w:r>
      <w:proofErr w:type="gramEnd"/>
      <w:r>
        <w:rPr>
          <w:bCs/>
          <w:sz w:val="21"/>
          <w:szCs w:val="21"/>
        </w:rPr>
        <w:t xml:space="preserve">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pt;mso-width-percent:0;mso-height-percent:0;mso-width-percent:0;mso-height-percent:0" o:ole="">
            <v:imagedata r:id="rId24" o:title=""/>
          </v:shape>
          <o:OLEObject Type="Embed" ProgID="Visio.Drawing.11" ShapeID="_x0000_i1029" DrawAspect="Content" ObjectID="_1690653253"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w:t>
      </w:r>
      <w:proofErr w:type="gramStart"/>
      <w:r>
        <w:rPr>
          <w:rFonts w:ascii="Times New Roman" w:eastAsia="Yu Mincho" w:hAnsi="Times New Roman" w:cs="Times New Roman"/>
          <w:szCs w:val="21"/>
        </w:rPr>
        <w:t>similar to</w:t>
      </w:r>
      <w:proofErr w:type="gramEnd"/>
      <w:r>
        <w:rPr>
          <w:rFonts w:ascii="Times New Roman" w:eastAsia="Yu Mincho" w:hAnsi="Times New Roman" w:cs="Times New Roman"/>
          <w:szCs w:val="21"/>
        </w:rPr>
        <w:t xml:space="preserve">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 xml:space="preserve">Adaptation of the time domain window length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w:t>
      </w:r>
      <w:proofErr w:type="gramStart"/>
      <w:r>
        <w:rPr>
          <w:rFonts w:ascii="Times New Roman" w:eastAsia="DengXian" w:hAnsi="Times New Roman" w:cs="Times New Roman"/>
          <w:kern w:val="0"/>
          <w:szCs w:val="21"/>
        </w:rPr>
        <w:t>a large number of</w:t>
      </w:r>
      <w:proofErr w:type="gramEnd"/>
      <w:r>
        <w:rPr>
          <w:rFonts w:ascii="Times New Roman" w:eastAsia="DengXian" w:hAnsi="Times New Roman" w:cs="Times New Roman"/>
          <w:kern w:val="0"/>
          <w:szCs w:val="21"/>
        </w:rPr>
        <w:t xml:space="preserve">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CATT (Slot), ZTE (Slot for maximum time duration and nominal TDW configured by </w:t>
      </w:r>
      <w:proofErr w:type="spellStart"/>
      <w:r>
        <w:rPr>
          <w:rFonts w:ascii="Times New Roman" w:eastAsia="SimSun" w:hAnsi="Times New Roman" w:cs="Times New Roman" w:hint="eastAsia"/>
          <w:kern w:val="0"/>
          <w:szCs w:val="21"/>
          <w:lang w:val="en-GB"/>
        </w:rPr>
        <w:t>gNB</w:t>
      </w:r>
      <w:proofErr w:type="spellEnd"/>
      <w:r>
        <w:rPr>
          <w:rFonts w:ascii="Times New Roman" w:eastAsia="SimSun" w:hAnsi="Times New Roman" w:cs="Times New Roman" w:hint="eastAsia"/>
          <w:kern w:val="0"/>
          <w:szCs w:val="21"/>
          <w:lang w:val="en-GB"/>
        </w:rPr>
        <w:t>),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proofErr w:type="gramStart"/>
      <w:r w:rsidRPr="00C54B8B">
        <w:rPr>
          <w:rFonts w:ascii="Times New Roman" w:eastAsia="SimSun" w:hAnsi="Times New Roman" w:cs="Times New Roman"/>
          <w:b/>
          <w:kern w:val="0"/>
          <w:szCs w:val="21"/>
          <w:lang w:val="fr-FR"/>
        </w:rPr>
        <w:lastRenderedPageBreak/>
        <w:t>Support:</w:t>
      </w:r>
      <w:proofErr w:type="gramEnd"/>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pt;height:97.5pt;mso-width-percent:0;mso-height-percent:0;mso-width-percent:0;mso-height-percent:0" o:ole="">
            <v:imagedata r:id="rId29" o:title=""/>
          </v:shape>
          <o:OLEObject Type="Embed" ProgID="Visio.Drawing.15" ShapeID="_x0000_i1030" DrawAspect="Content" ObjectID="_1690653254"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 xml:space="preserve">Allowing the </w:t>
      </w:r>
      <w:proofErr w:type="spellStart"/>
      <w:r>
        <w:rPr>
          <w:rFonts w:ascii="Times New Roman" w:eastAsia="SimSun" w:hAnsi="Times New Roman" w:cs="Times New Roman"/>
          <w:kern w:val="0"/>
          <w:szCs w:val="21"/>
          <w:lang w:val="en-GB"/>
        </w:rPr>
        <w:t>gNB</w:t>
      </w:r>
      <w:proofErr w:type="spellEnd"/>
      <w:r>
        <w:rPr>
          <w:rFonts w:ascii="Times New Roman" w:eastAsia="SimSun" w:hAnsi="Times New Roman" w:cs="Times New Roman"/>
          <w:kern w:val="0"/>
          <w:szCs w:val="21"/>
          <w:lang w:val="en-GB"/>
        </w:rPr>
        <w:t xml:space="preserve">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 xml:space="preserve">The bundle size is </w:t>
      </w:r>
      <w:proofErr w:type="spellStart"/>
      <w:r>
        <w:rPr>
          <w:szCs w:val="21"/>
          <w:lang w:val="en-GB"/>
        </w:rPr>
        <w:t>gNB</w:t>
      </w:r>
      <w:proofErr w:type="spellEnd"/>
      <w:r>
        <w:rPr>
          <w:szCs w:val="21"/>
          <w:lang w:val="en-GB"/>
        </w:rPr>
        <w:t xml:space="preserve">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w:t>
      </w:r>
      <w:proofErr w:type="spellStart"/>
      <w:r>
        <w:rPr>
          <w:rFonts w:ascii="Times New Roman" w:eastAsia="SimSun" w:hAnsi="Times New Roman" w:cs="Times New Roman"/>
          <w:kern w:val="0"/>
          <w:szCs w:val="21"/>
          <w:lang w:val="en-GB"/>
        </w:rPr>
        <w:t>InterDigital</w:t>
      </w:r>
      <w:proofErr w:type="spellEnd"/>
      <w:r>
        <w:rPr>
          <w:rFonts w:ascii="Times New Roman" w:eastAsia="SimSun"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 xml:space="preserve">placement in the uplink slot, respectively, </w:t>
      </w:r>
      <w:proofErr w:type="gramStart"/>
      <w:r>
        <w:rPr>
          <w:rFonts w:ascii="Times New Roman" w:eastAsia="SimSun" w:hAnsi="Times New Roman" w:cs="Times New Roman"/>
          <w:kern w:val="0"/>
          <w:szCs w:val="21"/>
          <w:lang w:val="en-GB"/>
        </w:rPr>
        <w:t>compare</w:t>
      </w:r>
      <w:proofErr w:type="gramEnd"/>
      <w:r>
        <w:rPr>
          <w:rFonts w:ascii="Times New Roman" w:eastAsia="SimSun" w:hAnsi="Times New Roman" w:cs="Times New Roman"/>
          <w:kern w:val="0"/>
          <w:szCs w:val="21"/>
          <w:lang w:val="en-GB"/>
        </w:rPr>
        <w:t xml:space="preserv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5pt;height:100pt;mso-width-percent:0;mso-height-percent:0;mso-width-percent:0;mso-height-percent:0" o:ole="">
            <v:imagedata r:id="rId32" o:title=""/>
          </v:shape>
          <o:OLEObject Type="Embed" ProgID="Visio.Drawing.15" ShapeID="_x0000_i1031" DrawAspect="Content" ObjectID="_1690653255"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 xml:space="preserve">Phase correction at </w:t>
      </w:r>
      <w:proofErr w:type="spellStart"/>
      <w:r>
        <w:rPr>
          <w:rFonts w:ascii="Times New Roman" w:hAnsi="Times New Roman" w:cs="Times New Roman"/>
          <w:b/>
          <w:szCs w:val="21"/>
          <w:u w:val="single"/>
          <w:lang w:val="en-GB"/>
        </w:rPr>
        <w:t>gNB</w:t>
      </w:r>
      <w:proofErr w:type="spellEnd"/>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 xml:space="preserve">proposed further study the benefit of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xml:space="preserve">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 xml:space="preserve">In </w:t>
      </w:r>
      <w:proofErr w:type="gramStart"/>
      <w:r>
        <w:rPr>
          <w:rFonts w:ascii="Times New Roman" w:eastAsia="Malgun Gothic" w:hAnsi="Times New Roman" w:cs="Times New Roman"/>
          <w:kern w:val="0"/>
          <w:szCs w:val="21"/>
          <w:lang w:eastAsia="ko-KR"/>
        </w:rPr>
        <w:t>reply</w:t>
      </w:r>
      <w:proofErr w:type="gramEnd"/>
      <w:r>
        <w:rPr>
          <w:rFonts w:ascii="Times New Roman" w:eastAsia="Malgun Gothic" w:hAnsi="Times New Roman" w:cs="Times New Roman"/>
          <w:kern w:val="0"/>
          <w:szCs w:val="21"/>
          <w:lang w:eastAsia="ko-KR"/>
        </w:rPr>
        <w:t xml:space="preserve">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5pt;height:148pt;mso-width-percent:0;mso-height-percent:0;mso-width-percent:0;mso-height-percent:0" o:ole="">
            <v:imagedata r:id="rId35" o:title=""/>
          </v:shape>
          <o:OLEObject Type="Embed" ProgID="Visio.Drawing.15" ShapeID="_x0000_i1032" DrawAspect="Content" ObjectID="_1690653256"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 xml:space="preserve">the same TB. For instance, if multiple TBs are indicated by multiple DCIs, how to indicate these DCIs needs to be jointly identified by UE, how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Fine with the proposal with Alt 1 preferred. As well summarized by FL, joint channel estimation can provide clear performance gain for different TB case as shown by several companies. As for the scheduling restriction of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we think a separate RRC signaling for enabling joint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 xml:space="preserve">PUSCH transmission with different TBs is not targeted for coverage enhancement, i.e., UE is in good channel conditions. The motivation is not clear to us for joint channel estimation of different </w:t>
            </w:r>
            <w:proofErr w:type="spellStart"/>
            <w:r w:rsidRPr="00AA38E2">
              <w:rPr>
                <w:rFonts w:ascii="Times New Roman" w:hAnsi="Times New Roman" w:cs="Times New Roman"/>
                <w:bCs/>
                <w:lang w:val="en-GB"/>
              </w:rPr>
              <w:t>TBs.</w:t>
            </w:r>
            <w:proofErr w:type="spellEnd"/>
            <w:r w:rsidRPr="00AA38E2">
              <w:rPr>
                <w:rFonts w:ascii="Times New Roman" w:hAnsi="Times New Roman" w:cs="Times New Roman"/>
                <w:bCs/>
                <w:lang w:val="en-GB"/>
              </w:rPr>
              <w:t xml:space="preserve"> Further,</w:t>
            </w:r>
            <w:r>
              <w:rPr>
                <w:rFonts w:ascii="Times New Roman" w:hAnsi="Times New Roman" w:cs="Times New Roman"/>
                <w:bCs/>
                <w:lang w:val="en-GB"/>
              </w:rPr>
              <w:t xml:space="preserve"> if joint channel estimation for different TBs is supported, this would pose certain restriction 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 xml:space="preserve">for joint CE and is too restrictive for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 xml:space="preserve">RAN4 is still discussing the feasibility of 14 symbols or 1 </w:t>
            </w:r>
            <w:proofErr w:type="spellStart"/>
            <w:r w:rsidRPr="00AA1975">
              <w:rPr>
                <w:rFonts w:ascii="Times New Roman" w:eastAsia="Malgun Gothic" w:hAnsi="Times New Roman" w:cs="Times New Roman"/>
                <w:bCs/>
                <w:lang w:val="en-GB" w:eastAsia="ko-KR"/>
              </w:rPr>
              <w:t>ms</w:t>
            </w:r>
            <w:proofErr w:type="spellEnd"/>
            <w:r w:rsidRPr="00AA1975">
              <w:rPr>
                <w:rFonts w:ascii="Times New Roman" w:eastAsia="Malgun Gothic" w:hAnsi="Times New Roman" w:cs="Times New Roman"/>
                <w:bCs/>
                <w:lang w:val="en-GB" w:eastAsia="ko-KR"/>
              </w:rPr>
              <w:t xml:space="preserve"> for different SCSs for the un-scheduled gap.</w:t>
            </w:r>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hint="eastAsia"/>
                <w:bCs/>
                <w:lang w:val="en-GB" w:eastAsia="ko-KR"/>
              </w:rPr>
            </w:pPr>
            <w:proofErr w:type="spellStart"/>
            <w:r w:rsidRPr="00C54B8B">
              <w:rPr>
                <w:rFonts w:ascii="Times New Roman" w:eastAsia="Malgun Gothic" w:hAnsi="Times New Roman" w:cs="Times New Roman"/>
                <w:bCs/>
                <w:lang w:val="en-GB" w:eastAsia="ko-KR"/>
              </w:rPr>
              <w:t>InterDigital</w:t>
            </w:r>
            <w:proofErr w:type="spellEnd"/>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w:t>
            </w:r>
            <w:proofErr w:type="gramStart"/>
            <w:r>
              <w:rPr>
                <w:rFonts w:ascii="Times New Roman" w:hAnsi="Times New Roman" w:cs="Times New Roman"/>
                <w:bCs/>
                <w:lang w:val="en-GB"/>
              </w:rPr>
              <w:t>expecting</w:t>
            </w:r>
            <w:proofErr w:type="gramEnd"/>
            <w:r>
              <w:rPr>
                <w:rFonts w:ascii="Times New Roman" w:hAnsi="Times New Roman" w:cs="Times New Roman"/>
                <w:bCs/>
                <w:lang w:val="en-GB"/>
              </w:rPr>
              <w:t xml:space="preserve">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 xml:space="preserve">how to decide whether to support it. It is also recommended to discuss after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Because type A PUSCH repetition like TDRA is supported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 xml:space="preserve"> and this proposal confines the back-to-back PUSCH transmissions, the same mechanism as type A PUSCH repetition can be reused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hint="eastAsia"/>
                <w:bCs/>
                <w:lang w:val="en-GB" w:eastAsia="ja-JP"/>
              </w:rPr>
            </w:pPr>
            <w:proofErr w:type="spellStart"/>
            <w:r w:rsidRPr="00377691">
              <w:rPr>
                <w:rFonts w:ascii="Times New Roman" w:eastAsia="MS Mincho" w:hAnsi="Times New Roman" w:cs="Times New Roman"/>
                <w:bCs/>
                <w:lang w:val="en-GB" w:eastAsia="ja-JP"/>
              </w:rPr>
              <w:t>InterDigital</w:t>
            </w:r>
            <w:proofErr w:type="spellEnd"/>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hint="eastAsia"/>
                <w:bCs/>
                <w:lang w:val="en-GB" w:eastAsia="ja-JP"/>
              </w:rPr>
            </w:pPr>
            <w:r>
              <w:rPr>
                <w:rFonts w:ascii="Times New Roman" w:hAnsi="Times New Roman" w:cs="Times New Roman"/>
                <w:bCs/>
                <w:lang w:val="en-GB"/>
              </w:rPr>
              <w:t>We support to confirm the working assumption</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 xml:space="preserve">2nd and 3rd </w:t>
            </w:r>
            <w:proofErr w:type="spellStart"/>
            <w:r w:rsidRPr="0050463B">
              <w:rPr>
                <w:rFonts w:ascii="Times New Roman" w:eastAsia="Malgun Gothic" w:hAnsi="Times New Roman" w:cs="Times New Roman"/>
                <w:bCs/>
                <w:lang w:val="en-GB" w:eastAsia="ko-KR"/>
              </w:rPr>
              <w:t>FFs’s</w:t>
            </w:r>
            <w:proofErr w:type="spellEnd"/>
            <w:r w:rsidRPr="0050463B">
              <w:rPr>
                <w:rFonts w:ascii="Times New Roman" w:eastAsia="Malgun Gothic" w:hAnsi="Times New Roman" w:cs="Times New Roman"/>
                <w:bCs/>
                <w:lang w:val="en-GB" w:eastAsia="ko-KR"/>
              </w:rPr>
              <w:t xml:space="preserve"> – suggest </w:t>
            </w:r>
            <w:proofErr w:type="gramStart"/>
            <w:r w:rsidRPr="0050463B">
              <w:rPr>
                <w:rFonts w:ascii="Times New Roman" w:eastAsia="Malgun Gothic" w:hAnsi="Times New Roman" w:cs="Times New Roman"/>
                <w:bCs/>
                <w:lang w:val="en-GB" w:eastAsia="ko-KR"/>
              </w:rPr>
              <w:t>to resolve</w:t>
            </w:r>
            <w:proofErr w:type="gramEnd"/>
            <w:r w:rsidRPr="0050463B">
              <w:rPr>
                <w:rFonts w:ascii="Times New Roman" w:eastAsia="Malgun Gothic" w:hAnsi="Times New Roman" w:cs="Times New Roman"/>
                <w:bCs/>
                <w:lang w:val="en-GB" w:eastAsia="ko-KR"/>
              </w:rPr>
              <w:t xml:space="preser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hint="eastAsia"/>
                <w:bCs/>
                <w:lang w:val="en-GB" w:eastAsia="ja-JP"/>
              </w:rPr>
            </w:pPr>
            <w:proofErr w:type="spellStart"/>
            <w:r w:rsidRPr="006B452C">
              <w:rPr>
                <w:rFonts w:ascii="Times New Roman" w:eastAsia="MS Mincho" w:hAnsi="Times New Roman" w:cs="Times New Roman"/>
                <w:bCs/>
                <w:lang w:val="en-GB" w:eastAsia="ja-JP"/>
              </w:rPr>
              <w:t>InterDigital</w:t>
            </w:r>
            <w:proofErr w:type="spellEnd"/>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hint="eastAsia"/>
                <w:bCs/>
                <w:lang w:val="en-GB" w:eastAsia="ja-JP"/>
              </w:rPr>
            </w:pPr>
            <w:r>
              <w:rPr>
                <w:rFonts w:ascii="Times New Roman" w:hAnsi="Times New Roman" w:cs="Times New Roman"/>
                <w:bCs/>
                <w:lang w:val="en-GB"/>
              </w:rPr>
              <w:t>We support the FL’s proposal.</w:t>
            </w: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Is the single TDW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If the answer above is yes, is it possible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w:t>
            </w:r>
            <w:r>
              <w:rPr>
                <w:rFonts w:ascii="Times New Roman" w:hAnsi="Times New Roman" w:cs="Times New Roman"/>
                <w:bCs/>
                <w:lang w:val="en-GB"/>
              </w:rPr>
              <w:lastRenderedPageBreak/>
              <w:t xml:space="preserve">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xml:space="preserve">, definitions of terms and units is needed to align level of understanding. </w:t>
            </w:r>
            <w:proofErr w:type="gramStart"/>
            <w:r>
              <w:rPr>
                <w:rFonts w:ascii="Times New Roman" w:eastAsia="Malgun Gothic" w:hAnsi="Times New Roman" w:cs="Times New Roman"/>
                <w:bCs/>
                <w:lang w:val="en-GB" w:eastAsia="ko-KR"/>
              </w:rPr>
              <w:t>First of all</w:t>
            </w:r>
            <w:proofErr w:type="gramEnd"/>
            <w:r>
              <w:rPr>
                <w:rFonts w:ascii="Times New Roman" w:eastAsia="Malgun Gothic" w:hAnsi="Times New Roman" w:cs="Times New Roman"/>
                <w:bCs/>
                <w:lang w:val="en-GB" w:eastAsia="ko-KR"/>
              </w:rPr>
              <w:t xml:space="preserve">,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 xml:space="preserve">of the companies </w:t>
            </w:r>
            <w:proofErr w:type="gramStart"/>
            <w:r w:rsidRPr="006032B8">
              <w:rPr>
                <w:rFonts w:ascii="Times New Roman" w:eastAsia="Malgun Gothic" w:hAnsi="Times New Roman" w:cs="Times New Roman"/>
                <w:bCs/>
                <w:lang w:val="en-GB" w:eastAsia="ko-KR"/>
              </w:rPr>
              <w:t>are</w:t>
            </w:r>
            <w:proofErr w:type="gramEnd"/>
            <w:r w:rsidRPr="006032B8">
              <w:rPr>
                <w:rFonts w:ascii="Times New Roman" w:eastAsia="Malgun Gothic" w:hAnsi="Times New Roman" w:cs="Times New Roman"/>
                <w:bCs/>
                <w:lang w:val="en-GB" w:eastAsia="ko-KR"/>
              </w:rPr>
              <w:t xml:space="preserv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lastRenderedPageBreak/>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hint="eastAsia"/>
                <w:bCs/>
                <w:lang w:val="en-GB" w:eastAsia="ja-JP"/>
              </w:rPr>
            </w:pPr>
            <w:proofErr w:type="spellStart"/>
            <w:r w:rsidRPr="00E74E2E">
              <w:rPr>
                <w:rFonts w:ascii="Times New Roman" w:eastAsia="MS Mincho" w:hAnsi="Times New Roman" w:cs="Times New Roman"/>
                <w:bCs/>
                <w:lang w:val="en-GB" w:eastAsia="ja-JP"/>
              </w:rPr>
              <w:lastRenderedPageBreak/>
              <w:t>InterDigital</w:t>
            </w:r>
            <w:proofErr w:type="spellEnd"/>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hint="eastAsia"/>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 xml:space="preserve">Are the one or multiple TDWs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w:t>
            </w:r>
            <w:proofErr w:type="gramStart"/>
            <w:r>
              <w:rPr>
                <w:rFonts w:ascii="Times New Roman" w:eastAsia="Batang" w:hAnsi="Times New Roman" w:cs="Times New Roman" w:hint="eastAsia"/>
                <w:kern w:val="0"/>
                <w:szCs w:val="21"/>
              </w:rPr>
              <w:t>similar to</w:t>
            </w:r>
            <w:proofErr w:type="gramEnd"/>
            <w:r>
              <w:rPr>
                <w:rFonts w:ascii="Times New Roman" w:eastAsia="Batang" w:hAnsi="Times New Roman" w:cs="Times New Roman" w:hint="eastAsia"/>
                <w:kern w:val="0"/>
                <w:szCs w:val="21"/>
              </w:rPr>
              <w:t xml:space="preserve">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lastRenderedPageBreak/>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lastRenderedPageBreak/>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w:t>
            </w:r>
            <w:proofErr w:type="gramStart"/>
            <w:r>
              <w:rPr>
                <w:rFonts w:ascii="Times New Roman" w:hAnsi="Times New Roman" w:cs="Times New Roman"/>
              </w:rPr>
              <w:t>plan ahead</w:t>
            </w:r>
            <w:proofErr w:type="gramEnd"/>
            <w:r>
              <w:rPr>
                <w:rFonts w:ascii="Times New Roman" w:hAnsi="Times New Roman" w:cs="Times New Roman"/>
              </w:rPr>
              <w:t>.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hint="eastAsia"/>
                <w:bCs/>
                <w:lang w:val="en-GB" w:eastAsia="ja-JP"/>
              </w:rPr>
            </w:pPr>
            <w:proofErr w:type="spellStart"/>
            <w:r w:rsidRPr="00EF1865">
              <w:rPr>
                <w:rFonts w:ascii="Times New Roman" w:eastAsia="MS Mincho" w:hAnsi="Times New Roman" w:cs="Times New Roman"/>
                <w:bCs/>
                <w:lang w:val="en-GB" w:eastAsia="ja-JP"/>
              </w:rPr>
              <w:t>InterDigital</w:t>
            </w:r>
            <w:proofErr w:type="spellEnd"/>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w:t>
            </w:r>
            <w:r>
              <w:rPr>
                <w:rFonts w:ascii="Times New Roman" w:hAnsi="Times New Roman" w:cs="Times New Roman"/>
                <w:bCs/>
                <w:lang w:val="en-GB"/>
              </w:rPr>
              <w:lastRenderedPageBreak/>
              <w:t xml:space="preserve">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xml:space="preserve">, the maximum unscheduled gap between two successive PUSCHs is exceeded, etc. However, aren’t these scenarios already excluded from the past agreements, i.e., </w:t>
            </w:r>
            <w:proofErr w:type="spellStart"/>
            <w:r>
              <w:rPr>
                <w:rFonts w:ascii="Times New Roman" w:hAnsi="Times New Roman" w:cs="Times New Roman"/>
                <w:kern w:val="0"/>
                <w:szCs w:val="21"/>
                <w:lang w:val="en-GB"/>
              </w:rPr>
              <w:t>gNB</w:t>
            </w:r>
            <w:proofErr w:type="spellEnd"/>
            <w:r>
              <w:rPr>
                <w:rFonts w:ascii="Times New Roman" w:hAnsi="Times New Roman" w:cs="Times New Roman"/>
                <w:kern w:val="0"/>
                <w:szCs w:val="21"/>
                <w:lang w:val="en-GB"/>
              </w:rPr>
              <w:t xml:space="preserve"> will configure a TDW only if the agreed scenarios (e.g., back-to-back transmission for consecutive slots/within a slot) are realized? If, due to dynamic events, a single TDW is broken and a gap is created, won’t the </w:t>
            </w:r>
            <w:proofErr w:type="spellStart"/>
            <w:r>
              <w:rPr>
                <w:rFonts w:ascii="Times New Roman" w:hAnsi="Times New Roman" w:cs="Times New Roman"/>
                <w:kern w:val="0"/>
                <w:szCs w:val="21"/>
                <w:lang w:val="en-GB"/>
              </w:rPr>
              <w:t>gNB</w:t>
            </w:r>
            <w:proofErr w:type="spellEnd"/>
            <w:r>
              <w:rPr>
                <w:rFonts w:ascii="Times New Roman" w:hAnsi="Times New Roman" w:cs="Times New Roman"/>
                <w:kern w:val="0"/>
                <w:szCs w:val="21"/>
                <w:lang w:val="en-GB"/>
              </w:rPr>
              <w:t xml:space="preserve">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lastRenderedPageBreak/>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proofErr w:type="gramStart"/>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w:t>
            </w:r>
            <w:proofErr w:type="gramEnd"/>
            <w:r w:rsidRPr="00D229C5">
              <w:rPr>
                <w:rFonts w:ascii="Times New Roman" w:eastAsia="Malgun Gothic" w:hAnsi="Times New Roman" w:cs="Times New Roman"/>
                <w:bCs/>
                <w:lang w:val="en-GB" w:eastAsia="ko-KR"/>
              </w:rPr>
              <w:t xml:space="preserv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hint="eastAsia"/>
                <w:bCs/>
                <w:lang w:val="en-GB" w:eastAsia="ja-JP"/>
              </w:rPr>
            </w:pPr>
            <w:proofErr w:type="spellStart"/>
            <w:r w:rsidRPr="0005428C">
              <w:rPr>
                <w:rFonts w:ascii="Times New Roman" w:eastAsia="MS Mincho" w:hAnsi="Times New Roman" w:cs="Times New Roman"/>
                <w:bCs/>
                <w:lang w:val="en-GB" w:eastAsia="ja-JP"/>
              </w:rPr>
              <w:t>InterDigital</w:t>
            </w:r>
            <w:proofErr w:type="spellEnd"/>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hint="eastAsia"/>
                <w:bCs/>
                <w:lang w:val="en-GB" w:eastAsia="ja-JP"/>
              </w:rPr>
            </w:pPr>
            <w:r>
              <w:rPr>
                <w:rFonts w:ascii="Times New Roman" w:hAnsi="Times New Roman" w:cs="Times New Roman"/>
                <w:bCs/>
                <w:lang w:val="en-GB"/>
              </w:rPr>
              <w:t>We support the proposal.</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 xml:space="preserve">whether </w:t>
            </w:r>
            <w:r w:rsidRPr="00B12ED9">
              <w:rPr>
                <w:rFonts w:ascii="Times New Roman" w:hAnsi="Times New Roman" w:cs="Times New Roman"/>
                <w:bCs/>
                <w:lang w:val="en-GB"/>
              </w:rPr>
              <w:t>or not</w:t>
            </w:r>
            <w:proofErr w:type="gramEnd"/>
            <w:r w:rsidRPr="00B12ED9">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xml:space="preserve">.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w:t>
            </w:r>
            <w:r w:rsidRPr="00B12ED9">
              <w:rPr>
                <w:rFonts w:ascii="Times New Roman" w:hAnsi="Times New Roman" w:cs="Times New Roman"/>
                <w:bCs/>
                <w:lang w:val="en-GB"/>
              </w:rPr>
              <w:lastRenderedPageBreak/>
              <w:t xml:space="preserve">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w:t>
            </w:r>
            <w:proofErr w:type="spellStart"/>
            <w:r w:rsidRPr="00620D75">
              <w:rPr>
                <w:rFonts w:ascii="Times New Roman" w:hAnsi="Times New Roman" w:cs="Times New Roman"/>
                <w:bCs/>
                <w:lang w:val="en-GB"/>
              </w:rPr>
              <w:t>gNB</w:t>
            </w:r>
            <w:proofErr w:type="spellEnd"/>
            <w:r w:rsidRPr="00620D75">
              <w:rPr>
                <w:rFonts w:ascii="Times New Roman" w:hAnsi="Times New Roman" w:cs="Times New Roman"/>
                <w:bCs/>
                <w:lang w:val="en-GB"/>
              </w:rPr>
              <w:t xml:space="preserve">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 xml:space="preserve">Dynamic signalling can be useful in some channel conditions, such as when it can be beneficial for a UE to apply received TPC commands. In general, it allows a </w:t>
            </w:r>
            <w:proofErr w:type="spellStart"/>
            <w:r w:rsidRPr="0050463B">
              <w:rPr>
                <w:rFonts w:ascii="Times New Roman" w:hAnsi="Times New Roman" w:cs="Times New Roman"/>
                <w:bCs/>
                <w:lang w:val="en-GB"/>
              </w:rPr>
              <w:t>gNB</w:t>
            </w:r>
            <w:proofErr w:type="spellEnd"/>
            <w:r w:rsidRPr="0050463B">
              <w:rPr>
                <w:rFonts w:ascii="Times New Roman" w:hAnsi="Times New Roman" w:cs="Times New Roman"/>
                <w:bCs/>
                <w:lang w:val="en-GB"/>
              </w:rPr>
              <w:t xml:space="preserve"> to control </w:t>
            </w:r>
            <w:proofErr w:type="gramStart"/>
            <w:r w:rsidRPr="0050463B">
              <w:rPr>
                <w:rFonts w:ascii="Times New Roman" w:hAnsi="Times New Roman" w:cs="Times New Roman"/>
                <w:bCs/>
                <w:lang w:val="en-GB"/>
              </w:rPr>
              <w:t>whether or not</w:t>
            </w:r>
            <w:proofErr w:type="gramEnd"/>
            <w:r w:rsidRPr="0050463B">
              <w:rPr>
                <w:rFonts w:ascii="Times New Roman" w:hAnsi="Times New Roman" w:cs="Times New Roman"/>
                <w:bCs/>
                <w:lang w:val="en-GB"/>
              </w:rPr>
              <w:t xml:space="preserve">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hint="eastAsia"/>
                <w:bCs/>
                <w:lang w:val="en-GB" w:eastAsia="ja-JP"/>
              </w:rPr>
            </w:pPr>
            <w:proofErr w:type="spellStart"/>
            <w:r w:rsidRPr="00E809BF">
              <w:rPr>
                <w:rFonts w:ascii="Times New Roman" w:eastAsia="MS Mincho" w:hAnsi="Times New Roman" w:cs="Times New Roman"/>
                <w:bCs/>
                <w:lang w:val="en-GB" w:eastAsia="ja-JP"/>
              </w:rPr>
              <w:t>InterDigital</w:t>
            </w:r>
            <w:proofErr w:type="spellEnd"/>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hint="eastAsia"/>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lastRenderedPageBreak/>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No need. Our understanding is, a UE is expected to maintain power consistency and phase continuity among PUSCH transmissions within a TDW, </w:t>
            </w:r>
            <w:proofErr w:type="gramStart"/>
            <w:r>
              <w:rPr>
                <w:rFonts w:ascii="Times New Roman" w:hAnsi="Times New Roman" w:cs="Times New Roman" w:hint="eastAsia"/>
                <w:bCs/>
              </w:rPr>
              <w:t>as long as</w:t>
            </w:r>
            <w:proofErr w:type="gramEnd"/>
            <w:r>
              <w:rPr>
                <w:rFonts w:ascii="Times New Roman" w:hAnsi="Times New Roman" w:cs="Times New Roman" w:hint="eastAsia"/>
                <w:bCs/>
              </w:rPr>
              <w:t xml:space="preserve">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xml:space="preserve">. These events may not be known by the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so that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w:t>
            </w:r>
            <w:r w:rsidRPr="00156D73">
              <w:rPr>
                <w:rFonts w:ascii="Times New Roman" w:hAnsi="Times New Roman" w:cs="Times New Roman"/>
                <w:szCs w:val="21"/>
                <w:lang w:val="en-GB"/>
              </w:rPr>
              <w:lastRenderedPageBreak/>
              <w:t xml:space="preserve">to the </w:t>
            </w:r>
            <w:proofErr w:type="spellStart"/>
            <w:r w:rsidRPr="00156D73">
              <w:rPr>
                <w:rFonts w:ascii="Times New Roman" w:hAnsi="Times New Roman" w:cs="Times New Roman"/>
                <w:szCs w:val="21"/>
                <w:lang w:val="en-GB"/>
              </w:rPr>
              <w:t>gNB</w:t>
            </w:r>
            <w:proofErr w:type="spellEnd"/>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w:t>
            </w:r>
            <w:proofErr w:type="spellStart"/>
            <w:r w:rsidRPr="00A90F19">
              <w:rPr>
                <w:rFonts w:ascii="Times New Roman" w:eastAsia="Malgun Gothic" w:hAnsi="Times New Roman" w:cs="Times New Roman"/>
                <w:bCs/>
                <w:lang w:val="en-GB" w:eastAsia="ko-KR"/>
              </w:rPr>
              <w:t>gNB</w:t>
            </w:r>
            <w:proofErr w:type="spellEnd"/>
            <w:r w:rsidRPr="00A90F19">
              <w:rPr>
                <w:rFonts w:ascii="Times New Roman" w:eastAsia="Malgun Gothic" w:hAnsi="Times New Roman" w:cs="Times New Roman"/>
                <w:bCs/>
                <w:lang w:val="en-GB" w:eastAsia="ko-KR"/>
              </w:rPr>
              <w:t xml:space="preserve">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would expect UE to apply specific behaviours like TA adjustment and TPC command, which is not </w:t>
            </w:r>
            <w:proofErr w:type="gramStart"/>
            <w:r>
              <w:rPr>
                <w:rFonts w:ascii="Times New Roman" w:eastAsia="Malgun Gothic" w:hAnsi="Times New Roman" w:cs="Times New Roman"/>
                <w:bCs/>
                <w:lang w:val="en-GB" w:eastAsia="ko-KR"/>
              </w:rPr>
              <w:t>applied actually</w:t>
            </w:r>
            <w:proofErr w:type="gramEnd"/>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hint="eastAsia"/>
                <w:bCs/>
                <w:lang w:val="en-GB" w:eastAsia="ja-JP"/>
              </w:rPr>
            </w:pPr>
            <w:proofErr w:type="spellStart"/>
            <w:r w:rsidRPr="000C4AB1">
              <w:rPr>
                <w:rFonts w:ascii="Times New Roman" w:eastAsia="MS Mincho" w:hAnsi="Times New Roman" w:cs="Times New Roman"/>
                <w:bCs/>
                <w:lang w:val="en-GB" w:eastAsia="ja-JP"/>
              </w:rPr>
              <w:t>InterDigital</w:t>
            </w:r>
            <w:proofErr w:type="spellEnd"/>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meetings left and considering the potential specification impacts,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hint="eastAsia"/>
                <w:bCs/>
                <w:lang w:val="en-GB" w:eastAsia="ko-KR"/>
              </w:rPr>
            </w:pPr>
            <w:proofErr w:type="spellStart"/>
            <w:r w:rsidRPr="00D5244E">
              <w:rPr>
                <w:rFonts w:ascii="Times New Roman" w:eastAsia="Malgun Gothic" w:hAnsi="Times New Roman" w:cs="Times New Roman"/>
                <w:bCs/>
                <w:lang w:val="en-GB" w:eastAsia="ko-KR"/>
              </w:rPr>
              <w:t>InterDigital</w:t>
            </w:r>
            <w:proofErr w:type="spellEnd"/>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hint="eastAsia"/>
                <w:bCs/>
                <w:lang w:val="en-GB" w:eastAsia="ko-KR"/>
              </w:rPr>
            </w:pPr>
            <w:r>
              <w:rPr>
                <w:rFonts w:ascii="Times New Roman" w:hAnsi="Times New Roman" w:cs="Times New Roman"/>
                <w:bCs/>
                <w:lang w:val="en-GB"/>
              </w:rPr>
              <w:t>We support Alt. 1.</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is aware of UEs that perform DMRS bundling for PUSCH repetition,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w:t>
            </w:r>
            <w:proofErr w:type="gramStart"/>
            <w:r w:rsidRPr="0050463B">
              <w:rPr>
                <w:rFonts w:ascii="Times New Roman" w:hAnsi="Times New Roman" w:cs="Times New Roman"/>
                <w:bCs/>
                <w:lang w:val="en-GB"/>
              </w:rPr>
              <w:t>control(</w:t>
            </w:r>
            <w:proofErr w:type="gramEnd"/>
            <w:r w:rsidRPr="0050463B">
              <w:rPr>
                <w:rFonts w:ascii="Times New Roman" w:hAnsi="Times New Roman" w:cs="Times New Roman"/>
                <w:bCs/>
                <w:lang w:val="en-GB"/>
              </w:rPr>
              <w:t>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w:t>
            </w:r>
            <w:r w:rsidR="00A36231">
              <w:rPr>
                <w:rFonts w:ascii="Times New Roman" w:hAnsi="Times New Roman" w:cs="Times New Roman"/>
                <w:bCs/>
                <w:lang w:val="en-GB"/>
              </w:rPr>
              <w:t xml:space="preserve">suggest </w:t>
            </w:r>
            <w:proofErr w:type="gramStart"/>
            <w:r w:rsidR="00A36231">
              <w:rPr>
                <w:rFonts w:ascii="Times New Roman" w:hAnsi="Times New Roman" w:cs="Times New Roman"/>
                <w:bCs/>
                <w:lang w:val="en-GB"/>
              </w:rPr>
              <w:t>to modify</w:t>
            </w:r>
            <w:proofErr w:type="gramEnd"/>
            <w:r w:rsidR="00A36231">
              <w:rPr>
                <w:rFonts w:ascii="Times New Roman" w:hAnsi="Times New Roman" w:cs="Times New Roman"/>
                <w:bCs/>
                <w:lang w:val="en-GB"/>
              </w:rPr>
              <w:t xml:space="preserve">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 xml:space="preserve">RAN4 </w:t>
            </w:r>
            <w:proofErr w:type="gramStart"/>
            <w:r w:rsidRPr="0050463B">
              <w:rPr>
                <w:rFonts w:ascii="Times New Roman" w:hAnsi="Times New Roman" w:cs="Times New Roman"/>
                <w:bCs/>
                <w:lang w:val="en-GB"/>
              </w:rPr>
              <w:t>reply</w:t>
            </w:r>
            <w:proofErr w:type="gramEnd"/>
            <w:r w:rsidRPr="0050463B">
              <w:rPr>
                <w:rFonts w:ascii="Times New Roman" w:hAnsi="Times New Roman" w:cs="Times New Roman"/>
                <w:bCs/>
                <w:lang w:val="en-GB"/>
              </w:rPr>
              <w:t xml:space="preserve">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 xml:space="preserve">lly fine with FL's Proposal 6. We agree that at least TA adjustment should not be applied within the time domain window, and further study on details of UE behaviour is needed. Regarding TA adjustment, two cases can be considered: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indicated TA adjustment and DL reception timing adjustment of UE. For the latter case, w</w:t>
            </w:r>
            <w:r w:rsidRPr="00C03A69">
              <w:rPr>
                <w:rFonts w:ascii="Times New Roman" w:eastAsia="Malgun Gothic" w:hAnsi="Times New Roman" w:cs="Times New Roman"/>
                <w:bCs/>
                <w:lang w:val="en-GB" w:eastAsia="ko-KR"/>
              </w:rPr>
              <w:t xml:space="preserve">hen the UE adjusts the DL reception timing, the effective TA is changed even if the TA value itself does not change. Accordingly, the </w:t>
            </w:r>
            <w:r w:rsidRPr="00C03A69">
              <w:rPr>
                <w:rFonts w:ascii="Times New Roman" w:eastAsia="Malgun Gothic" w:hAnsi="Times New Roman" w:cs="Times New Roman"/>
                <w:bCs/>
                <w:lang w:val="en-GB" w:eastAsia="ko-KR"/>
              </w:rPr>
              <w:lastRenderedPageBreak/>
              <w:t>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 xml:space="preserve">FFS how the time domain window is determined (e.g., via explicit configuration and/or implicitly derived) and </w:t>
      </w:r>
      <w:proofErr w:type="gramStart"/>
      <w:r>
        <w:rPr>
          <w:sz w:val="21"/>
          <w:szCs w:val="21"/>
        </w:rPr>
        <w:t>whether or not</w:t>
      </w:r>
      <w:proofErr w:type="gramEnd"/>
      <w:r>
        <w:rPr>
          <w:sz w:val="21"/>
          <w:szCs w:val="21"/>
        </w:rPr>
        <w:t xml:space="preserve">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 xml:space="preserve">FFS </w:t>
      </w:r>
      <w:proofErr w:type="gramStart"/>
      <w:r>
        <w:rPr>
          <w:sz w:val="21"/>
          <w:szCs w:val="21"/>
        </w:rPr>
        <w:t>whether or not</w:t>
      </w:r>
      <w:proofErr w:type="gramEnd"/>
      <w:r>
        <w:rPr>
          <w:sz w:val="21"/>
          <w:szCs w:val="21"/>
        </w:rPr>
        <w:t xml:space="preserve">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lastRenderedPageBreak/>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proofErr w:type="gramStart"/>
      <w:r>
        <w:rPr>
          <w:color w:val="FF0000"/>
          <w:sz w:val="21"/>
          <w:szCs w:val="21"/>
        </w:rPr>
        <w:t>Take into account</w:t>
      </w:r>
      <w:proofErr w:type="gramEnd"/>
      <w:r>
        <w:rPr>
          <w:color w:val="FF0000"/>
          <w:sz w:val="21"/>
          <w:szCs w:val="21"/>
        </w:rPr>
        <w:t xml:space="preserve">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proofErr w:type="gramStart"/>
      <w:r>
        <w:rPr>
          <w:rFonts w:ascii="Times New Roman" w:hAnsi="Times New Roman" w:cs="Times New Roman"/>
          <w:szCs w:val="21"/>
        </w:rPr>
        <w:t>Take into account</w:t>
      </w:r>
      <w:proofErr w:type="gramEnd"/>
      <w:r>
        <w:rPr>
          <w:rFonts w:ascii="Times New Roman" w:hAnsi="Times New Roman" w:cs="Times New Roman"/>
          <w:szCs w:val="21"/>
        </w:rPr>
        <w:t xml:space="preserve">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 xml:space="preserve">Huawei, </w:t>
      </w:r>
      <w:proofErr w:type="spellStart"/>
      <w:r>
        <w:rPr>
          <w:rStyle w:val="Hyperlink"/>
          <w:rFonts w:ascii="Times New Roman" w:eastAsia="SimSun" w:hAnsi="Times New Roman" w:cs="Times New Roman"/>
          <w:color w:val="auto"/>
          <w:kern w:val="0"/>
          <w:sz w:val="20"/>
          <w:szCs w:val="20"/>
          <w:u w:val="none"/>
          <w:lang w:eastAsia="en-US"/>
        </w:rPr>
        <w:t>HiSilicon</w:t>
      </w:r>
      <w:proofErr w:type="spellEnd"/>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Spreadtrum</w:t>
      </w:r>
      <w:proofErr w:type="spellEnd"/>
      <w:r>
        <w:rPr>
          <w:rStyle w:val="Hyperlink"/>
          <w:rFonts w:ascii="Times New Roman" w:eastAsia="SimSun" w:hAnsi="Times New Roman" w:cs="Times New Roman"/>
          <w:color w:val="auto"/>
          <w:kern w:val="0"/>
          <w:sz w:val="20"/>
          <w:szCs w:val="20"/>
          <w:u w:val="none"/>
          <w:lang w:eastAsia="en-US"/>
        </w:rPr>
        <w:t xml:space="preserve">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InterDigital</w:t>
      </w:r>
      <w:proofErr w:type="spellEnd"/>
      <w:r>
        <w:rPr>
          <w:rStyle w:val="Hyperlink"/>
          <w:rFonts w:ascii="Times New Roman" w:eastAsia="SimSun" w:hAnsi="Times New Roman" w:cs="Times New Roman"/>
          <w:color w:val="auto"/>
          <w:kern w:val="0"/>
          <w:sz w:val="20"/>
          <w:szCs w:val="20"/>
          <w:u w:val="none"/>
          <w:lang w:eastAsia="en-US"/>
        </w:rPr>
        <w:t>,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DC7E" w14:textId="77777777" w:rsidR="00F139FE" w:rsidRDefault="00F139FE" w:rsidP="00ED35D3">
      <w:pPr>
        <w:spacing w:after="0" w:line="240" w:lineRule="auto"/>
      </w:pPr>
      <w:r>
        <w:separator/>
      </w:r>
    </w:p>
  </w:endnote>
  <w:endnote w:type="continuationSeparator" w:id="0">
    <w:p w14:paraId="5181C882" w14:textId="77777777" w:rsidR="00F139FE" w:rsidRDefault="00F139FE"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1DAC" w14:textId="77777777" w:rsidR="00F139FE" w:rsidRDefault="00F139FE" w:rsidP="00ED35D3">
      <w:pPr>
        <w:spacing w:after="0" w:line="240" w:lineRule="auto"/>
      </w:pPr>
      <w:r>
        <w:separator/>
      </w:r>
    </w:p>
  </w:footnote>
  <w:footnote w:type="continuationSeparator" w:id="0">
    <w:p w14:paraId="05496919" w14:textId="77777777" w:rsidR="00F139FE" w:rsidRDefault="00F139FE"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表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DFE63E-B93E-416B-B3B6-A7FAEE2C93B8}">
  <ds:schemaRefs>
    <ds:schemaRef ds:uri="http://schemas.openxmlformats.org/officeDocument/2006/bibliography"/>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15802</Words>
  <Characters>90077</Characters>
  <Application>Microsoft Office Word</Application>
  <DocSecurity>0</DocSecurity>
  <Lines>750</Lines>
  <Paragraphs>211</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105668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Fumihiro Hasegawa</cp:lastModifiedBy>
  <cp:revision>13</cp:revision>
  <cp:lastPrinted>2021-04-15T03:16:00Z</cp:lastPrinted>
  <dcterms:created xsi:type="dcterms:W3CDTF">2021-08-17T00:54:00Z</dcterms:created>
  <dcterms:modified xsi:type="dcterms:W3CDTF">2021-08-17T01:03:00Z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