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바탕" w:hAnsi="Arial" w:cs="Arial"/>
          <w:b/>
          <w:bCs/>
          <w:kern w:val="0"/>
          <w:sz w:val="24"/>
          <w:szCs w:val="24"/>
          <w:lang w:val="de-DE" w:eastAsia="en-US"/>
        </w:rPr>
        <w:t>3GPP TSG RAN WG1 #106-e</w:t>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바탕"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1"/>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1"/>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6"/>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a6"/>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6"/>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1"/>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6"/>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6"/>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6"/>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r>
        <w:rPr>
          <w:rFonts w:ascii="Times New Roman" w:eastAsia="바탕"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65pt;height:58.35pt;mso-width-percent:0;mso-height-percent:0;mso-width-percent:0;mso-height-percent:0" o:ole="">
            <v:imagedata r:id="rId16" o:title=""/>
          </v:shape>
          <o:OLEObject Type="Embed" ProgID="Visio.Drawing.11" ShapeID="_x0000_i1025" DrawAspect="Content" ObjectID="_1690696878"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65pt;height:92pt;mso-width-percent:0;mso-height-percent:0;mso-width-percent:0;mso-height-percent:0" o:ole="">
            <v:imagedata r:id="rId18" o:title=""/>
          </v:shape>
          <o:OLEObject Type="Embed" ProgID="Visio.Drawing.11" ShapeID="_x0000_i1026" DrawAspect="Content" ObjectID="_1690696879"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65pt;height:58.35pt;mso-width-percent:0;mso-height-percent:0;mso-width-percent:0;mso-height-percent:0" o:ole="">
            <v:imagedata r:id="rId20" o:title=""/>
          </v:shape>
          <o:OLEObject Type="Embed" ProgID="Visio.Drawing.11" ShapeID="_x0000_i1027" DrawAspect="Content" ObjectID="_1690696880"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65pt;height:59.65pt;mso-width-percent:0;mso-height-percent:0;mso-width-percent:0;mso-height-percent:0" o:ole="">
            <v:imagedata r:id="rId22" o:title=""/>
          </v:shape>
          <o:OLEObject Type="Embed" ProgID="Visio.Drawing.11" ShapeID="_x0000_i1028" DrawAspect="Content" ObjectID="_1690696881"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65pt;height:92pt;mso-width-percent:0;mso-height-percent:0;mso-width-percent:0;mso-height-percent:0" o:ole="">
            <v:imagedata r:id="rId24" o:title=""/>
          </v:shape>
          <o:OLEObject Type="Embed" ProgID="Visio.Drawing.11" ShapeID="_x0000_i1029" DrawAspect="Content" ObjectID="_1690696882"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1"/>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1"/>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lastRenderedPageBreak/>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a6"/>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바탕" w:hAnsi="Times New Roman" w:cs="Times New Roman"/>
          <w:noProof/>
          <w:kern w:val="0"/>
          <w:sz w:val="20"/>
          <w:szCs w:val="20"/>
          <w:lang w:eastAsia="ko-KR"/>
        </w:rPr>
        <w:object w:dxaOrig="9741" w:dyaOrig="1940" w14:anchorId="6DB4995D">
          <v:shape id="_x0000_i1030" type="#_x0000_t75" alt="" style="width:488pt;height:97.35pt;mso-width-percent:0;mso-height-percent:0;mso-width-percent:0;mso-height-percent:0" o:ole="">
            <v:imagedata r:id="rId29" o:title=""/>
          </v:shape>
          <o:OLEObject Type="Embed" ProgID="Visio.Drawing.15" ShapeID="_x0000_i1030" DrawAspect="Content" ObjectID="_1690696883"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65pt;height:100pt;mso-width-percent:0;mso-height-percent:0;mso-width-percent:0;mso-height-percent:0" o:ole="">
            <v:imagedata r:id="rId32" o:title=""/>
          </v:shape>
          <o:OLEObject Type="Embed" ProgID="Visio.Drawing.15" ShapeID="_x0000_i1031" DrawAspect="Content" ObjectID="_1690696884"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65pt;height:148pt;mso-width-percent:0;mso-height-percent:0;mso-width-percent:0;mso-height-percent:0" o:ole="">
            <v:imagedata r:id="rId35" o:title=""/>
          </v:shape>
          <o:OLEObject Type="Embed" ProgID="Visio.Drawing.15" ShapeID="_x0000_i1032" DrawAspect="Content" ObjectID="_1690696885"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맑은 고딕"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맑은 고딕"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According to RAN4’s replay, </w:t>
            </w:r>
            <w:r w:rsidRPr="00AA1975">
              <w:rPr>
                <w:rFonts w:ascii="Times New Roman" w:eastAsia="맑은 고딕" w:hAnsi="Times New Roman" w:cs="Times New Roman"/>
                <w:bCs/>
                <w:lang w:val="en-GB" w:eastAsia="ko-KR"/>
              </w:rPr>
              <w:t>RAN4 is still discussing the feasibility of 14 symbols or 1 ms for different SCSs for the un-scheduled gap.</w:t>
            </w:r>
            <w:r>
              <w:rPr>
                <w:rFonts w:ascii="Times New Roman" w:eastAsia="맑은 고딕"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lastRenderedPageBreak/>
              <w:t>LG</w:t>
            </w:r>
          </w:p>
        </w:tc>
        <w:tc>
          <w:tcPr>
            <w:tcW w:w="8257" w:type="dxa"/>
            <w:shd w:val="clear" w:color="auto" w:fill="auto"/>
            <w:vAlign w:val="center"/>
          </w:tcPr>
          <w:p w14:paraId="26060CB0" w14:textId="534792D2" w:rsidR="00FF729D" w:rsidRDefault="00FF729D" w:rsidP="00FF729D">
            <w:pPr>
              <w:rPr>
                <w:rFonts w:ascii="Times New Roman" w:eastAsia="맑은 고딕" w:hAnsi="Times New Roman" w:cs="Times New Roman"/>
                <w:bCs/>
                <w:lang w:val="en-GB" w:eastAsia="ko-KR"/>
              </w:rPr>
            </w:pPr>
            <w:r w:rsidRPr="0062168B">
              <w:rPr>
                <w:rFonts w:ascii="Times New Roman" w:eastAsia="맑은 고딕" w:hAnsi="Times New Roman" w:cs="Times New Roman"/>
                <w:bCs/>
                <w:lang w:val="en-GB" w:eastAsia="ko-KR"/>
              </w:rPr>
              <w:t xml:space="preserve">Although the details of TBoMS have not been decided yet, it is questionable </w:t>
            </w:r>
            <w:r>
              <w:rPr>
                <w:rFonts w:ascii="Times New Roman" w:eastAsia="맑은 고딕" w:hAnsi="Times New Roman" w:cs="Times New Roman"/>
                <w:bCs/>
                <w:lang w:val="en-GB" w:eastAsia="ko-KR"/>
              </w:rPr>
              <w:t xml:space="preserve">for us </w:t>
            </w:r>
            <w:r w:rsidRPr="0062168B">
              <w:rPr>
                <w:rFonts w:ascii="Times New Roman" w:eastAsia="맑은 고딕" w:hAnsi="Times New Roman" w:cs="Times New Roman"/>
                <w:bCs/>
                <w:lang w:val="en-GB" w:eastAsia="ko-KR"/>
              </w:rPr>
              <w:t>how to decide whether to support it. It is also recommended to discuss after the details of TBoMS are decided.</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맑은 고딕"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 it.</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B</w:t>
            </w:r>
            <w:r>
              <w:rPr>
                <w:rFonts w:ascii="Times New Roman" w:eastAsia="맑은 고딕" w:hAnsi="Times New Roman" w:cs="Times New Roman" w:hint="eastAsia"/>
                <w:bCs/>
                <w:lang w:val="en-GB" w:eastAsia="ko-KR"/>
              </w:rPr>
              <w:t xml:space="preserve">efore </w:t>
            </w:r>
            <w:r>
              <w:rPr>
                <w:rFonts w:ascii="Times New Roman" w:eastAsia="맑은 고딕"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맑은 고딕"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맑은 고딕" w:hAnsi="Times New Roman" w:cs="Times New Roman"/>
                <w:bCs/>
                <w:lang w:val="en-GB" w:eastAsia="ko-KR"/>
              </w:rPr>
            </w:pPr>
            <w:r w:rsidRPr="006032B8">
              <w:rPr>
                <w:rFonts w:ascii="Times New Roman" w:eastAsia="맑은 고딕" w:hAnsi="Times New Roman" w:cs="Times New Roman"/>
                <w:bCs/>
                <w:lang w:val="en-GB" w:eastAsia="ko-KR"/>
              </w:rPr>
              <w:t xml:space="preserve">Also, even </w:t>
            </w:r>
            <w:r>
              <w:rPr>
                <w:rFonts w:ascii="Times New Roman" w:eastAsia="맑은 고딕" w:hAnsi="Times New Roman" w:cs="Times New Roman" w:hint="eastAsia"/>
                <w:bCs/>
                <w:lang w:val="en-GB" w:eastAsia="ko-KR"/>
              </w:rPr>
              <w:t>assuming the unit</w:t>
            </w:r>
            <w:r w:rsidRPr="006032B8">
              <w:rPr>
                <w:rFonts w:ascii="Times New Roman" w:eastAsia="맑은 고딕" w:hAnsi="Times New Roman" w:cs="Times New Roman"/>
                <w:bCs/>
                <w:lang w:val="en-GB" w:eastAsia="ko-KR"/>
              </w:rPr>
              <w:t xml:space="preserve"> is</w:t>
            </w:r>
            <w:r>
              <w:rPr>
                <w:rFonts w:ascii="Times New Roman" w:eastAsia="맑은 고딕" w:hAnsi="Times New Roman" w:cs="Times New Roman"/>
                <w:bCs/>
                <w:lang w:val="en-GB" w:eastAsia="ko-KR"/>
              </w:rPr>
              <w:t xml:space="preserve"> agreed to be</w:t>
            </w:r>
            <w:r w:rsidRPr="006032B8">
              <w:rPr>
                <w:rFonts w:ascii="Times New Roman" w:eastAsia="맑은 고딕" w:hAnsi="Times New Roman" w:cs="Times New Roman"/>
                <w:bCs/>
                <w:lang w:val="en-GB" w:eastAsia="ko-KR"/>
              </w:rPr>
              <w:t xml:space="preserve"> a slot, the </w:t>
            </w:r>
            <w:r>
              <w:rPr>
                <w:rFonts w:ascii="Times New Roman" w:eastAsia="맑은 고딕" w:hAnsi="Times New Roman" w:cs="Times New Roman"/>
                <w:bCs/>
                <w:lang w:val="en-GB" w:eastAsia="ko-KR"/>
              </w:rPr>
              <w:t xml:space="preserve">understanding </w:t>
            </w:r>
            <w:r w:rsidRPr="006032B8">
              <w:rPr>
                <w:rFonts w:ascii="Times New Roman" w:eastAsia="맑은 고딕" w:hAnsi="Times New Roman" w:cs="Times New Roman"/>
                <w:bCs/>
                <w:lang w:val="en-GB" w:eastAsia="ko-KR"/>
              </w:rPr>
              <w:t>of the companies are different a</w:t>
            </w:r>
            <w:r>
              <w:rPr>
                <w:rFonts w:ascii="Times New Roman" w:eastAsia="맑은 고딕" w:hAnsi="Times New Roman" w:cs="Times New Roman"/>
                <w:bCs/>
                <w:lang w:val="en-GB" w:eastAsia="ko-KR"/>
              </w:rPr>
              <w:t>ccording</w:t>
            </w:r>
            <w:r w:rsidRPr="006032B8">
              <w:rPr>
                <w:rFonts w:ascii="Times New Roman" w:eastAsia="맑은 고딕" w:hAnsi="Times New Roman" w:cs="Times New Roman"/>
                <w:bCs/>
                <w:lang w:val="en-GB" w:eastAsia="ko-KR"/>
              </w:rPr>
              <w:t xml:space="preserve"> to whether </w:t>
            </w:r>
            <w:r>
              <w:rPr>
                <w:rFonts w:ascii="Times New Roman" w:eastAsia="맑은 고딕" w:hAnsi="Times New Roman" w:cs="Times New Roman"/>
                <w:bCs/>
                <w:lang w:val="en-GB" w:eastAsia="ko-KR"/>
              </w:rPr>
              <w:t>the slot</w:t>
            </w:r>
            <w:r w:rsidRPr="006032B8">
              <w:rPr>
                <w:rFonts w:ascii="Times New Roman" w:eastAsia="맑은 고딕" w:hAnsi="Times New Roman" w:cs="Times New Roman"/>
                <w:bCs/>
                <w:lang w:val="en-GB" w:eastAsia="ko-KR"/>
              </w:rPr>
              <w:t xml:space="preserve"> consists of only an uplink slot or a physical slot that includes a downlink slot.</w:t>
            </w:r>
            <w:r>
              <w:rPr>
                <w:rFonts w:ascii="Times New Roman" w:eastAsia="맑은 고딕"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Addition to that, it is quite confusion about sub window since the term sub window is not agreed.</w:t>
            </w:r>
            <w:r>
              <w:rPr>
                <w:rFonts w:ascii="Times New Roman" w:eastAsia="맑은 고딕" w:hAnsi="Times New Roman" w:cs="Times New Roman" w:hint="eastAsia"/>
                <w:bCs/>
                <w:lang w:val="en-GB" w:eastAsia="ko-KR"/>
              </w:rPr>
              <w:t xml:space="preserve"> </w:t>
            </w:r>
            <w:r>
              <w:rPr>
                <w:rFonts w:ascii="Times New Roman" w:eastAsia="맑은 고딕"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맑은 고딕" w:hAnsi="Times New Roman" w:cs="Times New Roman"/>
                <w:bCs/>
                <w:lang w:val="en-GB" w:eastAsia="ko-KR"/>
              </w:rPr>
              <w:t xml:space="preserve"> a given </w:t>
            </w:r>
            <w:r>
              <w:rPr>
                <w:rFonts w:ascii="Times New Roman" w:eastAsia="맑은 고딕" w:hAnsi="Times New Roman" w:cs="Times New Roman"/>
                <w:bCs/>
                <w:lang w:val="en-GB" w:eastAsia="ko-KR"/>
              </w:rPr>
              <w:t xml:space="preserve">(configured) </w:t>
            </w:r>
            <w:r w:rsidRPr="00107831">
              <w:rPr>
                <w:rFonts w:ascii="Times New Roman" w:eastAsia="맑은 고딕"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맑은 고딕" w:hAnsi="Times New Roman" w:cs="Times New Roman"/>
                <w:bCs/>
                <w:lang w:val="en-GB" w:eastAsia="ko-KR"/>
              </w:rPr>
              <w:t>For these detailed terms, a discussion to align the views between companies should be preceded.</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바탕"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w:t>
            </w:r>
            <w:r>
              <w:rPr>
                <w:rFonts w:ascii="Times New Roman" w:eastAsia="바탕" w:hAnsi="Times New Roman" w:cs="Times New Roman" w:hint="eastAsia"/>
                <w:kern w:val="0"/>
                <w:szCs w:val="21"/>
              </w:rPr>
              <w:lastRenderedPageBreak/>
              <w:t xml:space="preserve">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바탕" w:hAnsi="Times New Roman" w:cs="Times New Roman"/>
                <w:kern w:val="0"/>
                <w:szCs w:val="21"/>
                <w:lang w:val="en-GB" w:eastAsia="x-none"/>
              </w:rPr>
              <w:t>All the repetitions are covered by one</w:t>
            </w:r>
            <w:r w:rsidRPr="00FB2328">
              <w:rPr>
                <w:rFonts w:ascii="Times New Roman" w:eastAsia="바탕" w:hAnsi="Times New Roman" w:cs="Times New Roman"/>
                <w:kern w:val="0"/>
                <w:szCs w:val="21"/>
                <w:lang w:val="en-GB" w:eastAsia="x-none"/>
              </w:rPr>
              <w:t xml:space="preserve"> or multiple consecutive TDWs</w:t>
            </w:r>
            <w:r>
              <w:rPr>
                <w:rFonts w:ascii="Times New Roman" w:eastAsia="바탕"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eastAsia="바탕"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1"/>
              <w:numPr>
                <w:ilvl w:val="0"/>
                <w:numId w:val="6"/>
              </w:numPr>
              <w:ind w:firstLineChars="0"/>
              <w:rPr>
                <w:bCs/>
                <w:sz w:val="20"/>
                <w:szCs w:val="20"/>
                <w:lang w:val="en-GB"/>
              </w:rPr>
            </w:pPr>
            <w:r w:rsidRPr="00C75379">
              <w:rPr>
                <w:bCs/>
                <w:sz w:val="20"/>
                <w:szCs w:val="20"/>
                <w:lang w:val="en-GB"/>
              </w:rPr>
              <w:t>For “</w:t>
            </w:r>
            <w:r w:rsidRPr="00C75379">
              <w:rPr>
                <w:rFonts w:eastAsia="바탕"/>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바탕"/>
                <w:sz w:val="20"/>
                <w:szCs w:val="20"/>
                <w:lang w:val="en-GB" w:eastAsia="x-none"/>
              </w:rPr>
              <w:t>start of the first TDW is the first PUSCH transmission</w:t>
            </w:r>
            <w:r>
              <w:rPr>
                <w:rFonts w:eastAsia="바탕"/>
                <w:sz w:val="20"/>
                <w:szCs w:val="20"/>
                <w:lang w:val="en-GB" w:eastAsia="x-none"/>
              </w:rPr>
              <w:t>.</w:t>
            </w:r>
          </w:p>
          <w:p w14:paraId="209E17BA" w14:textId="77777777" w:rsidR="003E5C60" w:rsidRDefault="003E5C60" w:rsidP="003E5C60">
            <w:pPr>
              <w:pStyle w:val="af1"/>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1"/>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w:t>
            </w:r>
            <w:r w:rsidRPr="0050463B">
              <w:rPr>
                <w:rFonts w:ascii="Times New Roman" w:hAnsi="Times New Roman" w:cs="Times New Roman"/>
              </w:rPr>
              <w:lastRenderedPageBreak/>
              <w:t>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맑은 고딕" w:hAnsi="Times New Roman" w:cs="Times New Roman" w:hint="eastAsia"/>
                <w:bCs/>
                <w:lang w:val="en-GB" w:eastAsia="ko-KR"/>
              </w:rPr>
              <w:t>Same comments on Alt 1.</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1"/>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 xml:space="preserve">Support. </w:t>
            </w:r>
            <w:r w:rsidRPr="00D229C5">
              <w:rPr>
                <w:rFonts w:ascii="Times New Roman" w:eastAsia="맑은 고딕" w:hAnsi="Times New Roman" w:cs="Times New Roman"/>
                <w:bCs/>
                <w:lang w:val="en-GB" w:eastAsia="ko-KR"/>
              </w:rPr>
              <w:t>Separat</w:t>
            </w:r>
            <w:r>
              <w:rPr>
                <w:rFonts w:ascii="Times New Roman" w:eastAsia="맑은 고딕" w:hAnsi="Times New Roman" w:cs="Times New Roman"/>
                <w:bCs/>
                <w:lang w:val="en-GB" w:eastAsia="ko-KR"/>
              </w:rPr>
              <w:t>ing configuration of time domain</w:t>
            </w:r>
            <w:r w:rsidRPr="00D229C5">
              <w:rPr>
                <w:rFonts w:ascii="Times New Roman" w:eastAsia="맑은 고딕" w:hAnsi="Times New Roman" w:cs="Times New Roman"/>
                <w:bCs/>
                <w:lang w:val="en-GB" w:eastAsia="ko-KR"/>
              </w:rPr>
              <w:t xml:space="preserve"> window and joint channel estimation can cause unnecessary ambiguity. For example, it is unclear </w:t>
            </w:r>
            <w:r>
              <w:rPr>
                <w:rFonts w:ascii="Times New Roman" w:eastAsia="맑은 고딕" w:hAnsi="Times New Roman" w:cs="Times New Roman"/>
                <w:bCs/>
                <w:lang w:val="en-GB" w:eastAsia="ko-KR"/>
              </w:rPr>
              <w:t xml:space="preserve">the UE behaviour </w:t>
            </w:r>
            <w:r w:rsidRPr="00D229C5">
              <w:rPr>
                <w:rFonts w:ascii="Times New Roman" w:eastAsia="맑은 고딕"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맑은 고딕" w:hAnsi="Times New Roman" w:cs="Times New Roman"/>
                <w:bCs/>
                <w:lang w:val="en-GB" w:eastAsia="ko-KR"/>
              </w:rPr>
              <w:t xml:space="preserve">. Especially for latter case, it is confusing to us how UE should </w:t>
            </w:r>
            <w:r w:rsidRPr="00D229C5">
              <w:rPr>
                <w:rFonts w:ascii="Times New Roman" w:eastAsia="맑은 고딕" w:hAnsi="Times New Roman" w:cs="Times New Roman"/>
                <w:bCs/>
                <w:lang w:val="en-GB" w:eastAsia="ko-KR"/>
              </w:rPr>
              <w:t xml:space="preserve">interpret this time domain window. </w:t>
            </w:r>
            <w:r>
              <w:rPr>
                <w:rFonts w:ascii="Times New Roman" w:eastAsia="맑은 고딕" w:hAnsi="Times New Roman" w:cs="Times New Roman"/>
                <w:bCs/>
                <w:lang w:val="en-GB" w:eastAsia="ko-KR"/>
              </w:rPr>
              <w:t>T</w:t>
            </w:r>
            <w:r w:rsidRPr="00D229C5">
              <w:rPr>
                <w:rFonts w:ascii="Times New Roman" w:eastAsia="맑은 고딕" w:hAnsi="Times New Roman" w:cs="Times New Roman"/>
                <w:bCs/>
                <w:lang w:val="en-GB" w:eastAsia="ko-KR"/>
              </w:rPr>
              <w:t>herefore it would be desirable to be jointly configured.</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1"/>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lastRenderedPageBreak/>
              <w:t xml:space="preserve">We also don’t see the need for additional dynamic signalling to enable/disable joint channel </w:t>
            </w:r>
            <w:r>
              <w:rPr>
                <w:rFonts w:ascii="Times New Roman" w:hAnsi="Times New Roman" w:cs="Times New Roman"/>
                <w:bCs/>
                <w:lang w:val="en-GB"/>
              </w:rPr>
              <w:lastRenderedPageBreak/>
              <w:t>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맑은 고딕" w:hAnsi="Times New Roman" w:cs="Times New Roman"/>
                <w:bCs/>
                <w:lang w:val="en-GB" w:eastAsia="ko-KR"/>
              </w:rPr>
              <w:t xml:space="preserve">Not support. </w:t>
            </w:r>
            <w:r w:rsidRPr="00D229C5">
              <w:rPr>
                <w:rFonts w:ascii="Times New Roman" w:eastAsia="맑은 고딕" w:hAnsi="Times New Roman" w:cs="Times New Roman"/>
                <w:bCs/>
                <w:lang w:val="en-GB" w:eastAsia="ko-KR"/>
              </w:rPr>
              <w:t>The use case that requires additional dynamic signal</w:t>
            </w:r>
            <w:r>
              <w:rPr>
                <w:rFonts w:ascii="Times New Roman" w:eastAsia="맑은 고딕" w:hAnsi="Times New Roman" w:cs="Times New Roman"/>
                <w:bCs/>
                <w:lang w:val="en-GB" w:eastAsia="ko-KR"/>
              </w:rPr>
              <w:t>l</w:t>
            </w:r>
            <w:r w:rsidRPr="00D229C5">
              <w:rPr>
                <w:rFonts w:ascii="Times New Roman" w:eastAsia="맑은 고딕" w:hAnsi="Times New Roman" w:cs="Times New Roman"/>
                <w:bCs/>
                <w:lang w:val="en-GB" w:eastAsia="ko-KR"/>
              </w:rPr>
              <w:t xml:space="preserve">ing and </w:t>
            </w:r>
            <w:r>
              <w:rPr>
                <w:rFonts w:ascii="Times New Roman" w:eastAsia="맑은 고딕" w:hAnsi="Times New Roman" w:cs="Times New Roman"/>
                <w:bCs/>
                <w:lang w:val="en-GB" w:eastAsia="ko-KR"/>
              </w:rPr>
              <w:t>benefit of it</w:t>
            </w:r>
            <w:r w:rsidRPr="00D229C5">
              <w:rPr>
                <w:rFonts w:ascii="Times New Roman" w:eastAsia="맑은 고딕" w:hAnsi="Times New Roman" w:cs="Times New Roman"/>
                <w:bCs/>
                <w:lang w:val="en-GB" w:eastAsia="ko-KR"/>
              </w:rPr>
              <w:t xml:space="preserve"> are not clear</w:t>
            </w:r>
            <w:r>
              <w:rPr>
                <w:rFonts w:ascii="Times New Roman" w:eastAsia="맑은 고딕" w:hAnsi="Times New Roman" w:cs="Times New Roman" w:hint="eastAsia"/>
                <w:bCs/>
                <w:lang w:val="en-GB" w:eastAsia="ko-KR"/>
              </w:rPr>
              <w:t>.</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w:t>
            </w:r>
            <w:r>
              <w:rPr>
                <w:rFonts w:ascii="Times New Roman" w:hAnsi="Times New Roman" w:cs="Times New Roman"/>
                <w:bCs/>
                <w:lang w:val="en-GB"/>
              </w:rPr>
              <w:lastRenderedPageBreak/>
              <w:t xml:space="preserve">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맑은 고딕" w:hAnsi="Times New Roman" w:cs="Times New Roman" w:hint="eastAsia"/>
                <w:bCs/>
                <w:lang w:val="en-GB" w:eastAsia="ko-KR"/>
              </w:rPr>
            </w:pPr>
            <w:r w:rsidRPr="00A90F19">
              <w:rPr>
                <w:rFonts w:ascii="Times New Roman" w:eastAsia="맑은 고딕" w:hAnsi="Times New Roman" w:cs="Times New Roman"/>
                <w:bCs/>
                <w:lang w:val="en-GB" w:eastAsia="ko-KR"/>
              </w:rPr>
              <w:t xml:space="preserve">The gNB would expect the UE to perform </w:t>
            </w:r>
            <w:r>
              <w:rPr>
                <w:rFonts w:ascii="Times New Roman" w:eastAsia="맑은 고딕" w:hAnsi="Times New Roman" w:cs="Times New Roman"/>
                <w:bCs/>
                <w:lang w:val="en-GB" w:eastAsia="ko-KR"/>
              </w:rPr>
              <w:t>specific behaviours</w:t>
            </w:r>
            <w:r w:rsidRPr="00A90F19">
              <w:rPr>
                <w:rFonts w:ascii="Times New Roman" w:eastAsia="맑은 고딕" w:hAnsi="Times New Roman" w:cs="Times New Roman"/>
                <w:bCs/>
                <w:lang w:val="en-GB" w:eastAsia="ko-KR"/>
              </w:rPr>
              <w:t xml:space="preserve"> at the window boundary </w:t>
            </w:r>
            <w:r>
              <w:rPr>
                <w:rFonts w:ascii="Times New Roman" w:eastAsia="맑은 고딕" w:hAnsi="Times New Roman" w:cs="Times New Roman"/>
                <w:bCs/>
                <w:lang w:val="en-GB" w:eastAsia="ko-KR"/>
              </w:rPr>
              <w:t xml:space="preserve">which is limited </w:t>
            </w:r>
            <w:r w:rsidRPr="00A90F19">
              <w:rPr>
                <w:rFonts w:ascii="Times New Roman" w:eastAsia="맑은 고딕" w:hAnsi="Times New Roman" w:cs="Times New Roman"/>
                <w:bCs/>
                <w:lang w:val="en-GB" w:eastAsia="ko-KR"/>
              </w:rPr>
              <w:t>within the time domain window to</w:t>
            </w:r>
            <w:r>
              <w:rPr>
                <w:rFonts w:ascii="Times New Roman" w:eastAsia="맑은 고딕"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1"/>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1"/>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바탕" w:hAnsi="Times New Roman" w:cs="Times New Roman"/>
                <w:kern w:val="0"/>
                <w:szCs w:val="21"/>
                <w:lang w:val="en-GB"/>
              </w:rPr>
              <w:t xml:space="preserve">ptimization of DMRS </w:t>
            </w:r>
            <w:r>
              <w:rPr>
                <w:rFonts w:ascii="Times New Roman" w:eastAsia="바탕" w:hAnsi="Times New Roman" w:cs="Times New Roman"/>
                <w:kern w:val="0"/>
                <w:szCs w:val="21"/>
                <w:lang w:val="en-GB"/>
              </w:rPr>
              <w:t>location</w:t>
            </w:r>
            <w:r w:rsidRPr="00AF4387">
              <w:rPr>
                <w:rFonts w:ascii="Times New Roman" w:eastAsia="바탕" w:hAnsi="Times New Roman" w:cs="Times New Roman"/>
                <w:kern w:val="0"/>
                <w:szCs w:val="21"/>
                <w:lang w:val="en-GB"/>
              </w:rPr>
              <w:t xml:space="preserve"> in time domain for PUSCH </w:t>
            </w:r>
            <w:r w:rsidRPr="00AF4387">
              <w:rPr>
                <w:rFonts w:ascii="Times New Roman" w:eastAsia="바탕"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Not support. </w:t>
            </w:r>
            <w:r>
              <w:rPr>
                <w:rFonts w:ascii="Times New Roman" w:eastAsia="맑은 고딕"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1"/>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1"/>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1"/>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t>
            </w:r>
            <w:r w:rsidRPr="0050463B">
              <w:rPr>
                <w:rFonts w:ascii="Times New Roman" w:hAnsi="Times New Roman" w:cs="Times New Roman"/>
                <w:bCs/>
                <w:lang w:val="en-GB"/>
              </w:rPr>
              <w:lastRenderedPageBreak/>
              <w:t>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맑은 고딕" w:hAnsi="Times New Roman" w:cs="Times New Roman"/>
                <w:bCs/>
                <w:lang w:val="en-GB" w:eastAsia="ko-KR"/>
              </w:rPr>
              <w:t>We</w:t>
            </w:r>
            <w:r w:rsidRPr="00A13D5D">
              <w:rPr>
                <w:rFonts w:ascii="Times New Roman" w:eastAsia="맑은 고딕" w:hAnsi="Times New Roman" w:cs="Times New Roman"/>
                <w:bCs/>
                <w:lang w:val="en-GB" w:eastAsia="ko-KR"/>
              </w:rPr>
              <w:t xml:space="preserve"> basically agree with the idea that the power continuity within the time domain window should not be affected by the TP</w:t>
            </w:r>
            <w:bookmarkStart w:id="11" w:name="_GoBack"/>
            <w:bookmarkEnd w:id="11"/>
            <w:r w:rsidRPr="00A13D5D">
              <w:rPr>
                <w:rFonts w:ascii="Times New Roman" w:eastAsia="맑은 고딕" w:hAnsi="Times New Roman" w:cs="Times New Roman"/>
                <w:bCs/>
                <w:lang w:val="en-GB" w:eastAsia="ko-KR"/>
              </w:rPr>
              <w:t>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1"/>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맑은 고딕" w:hAnsi="Times New Roman" w:cs="Times New Roman"/>
                <w:bCs/>
                <w:lang w:val="en-GB" w:eastAsia="ko-KR"/>
              </w:rPr>
              <w:t>Genera</w:t>
            </w:r>
            <w:r>
              <w:rPr>
                <w:rFonts w:ascii="Times New Roman" w:eastAsia="맑은 고딕"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맑은 고딕" w:hAnsi="Times New Roman" w:cs="Times New Roman"/>
                <w:bCs/>
                <w:lang w:val="en-GB" w:eastAsia="ko-KR"/>
              </w:rPr>
              <w:t xml:space="preserve">hen the UE adjusts the DL reception timing, the effective TA is changed even if the TA value itself does not change. Accordingly, the boundary between the previously transmitted symbol and the later transmitted symbol is </w:t>
            </w:r>
            <w:r w:rsidRPr="00C03A69">
              <w:rPr>
                <w:rFonts w:ascii="Times New Roman" w:eastAsia="맑은 고딕" w:hAnsi="Times New Roman" w:cs="Times New Roman"/>
                <w:bCs/>
                <w:lang w:val="en-GB" w:eastAsia="ko-KR"/>
              </w:rPr>
              <w:lastRenderedPageBreak/>
              <w:t>different, and the base station does not know this. Therefore, further study on the details of UE behaviour for the above two cases is required.</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바탕"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lastRenderedPageBreak/>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3F1FB42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1"/>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1"/>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1"/>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1"/>
        <w:numPr>
          <w:ilvl w:val="1"/>
          <w:numId w:val="21"/>
        </w:numPr>
        <w:adjustRightInd/>
        <w:spacing w:line="252" w:lineRule="auto"/>
        <w:ind w:left="780" w:firstLineChars="0"/>
        <w:rPr>
          <w:sz w:val="21"/>
          <w:szCs w:val="21"/>
        </w:rPr>
      </w:pPr>
      <w:r>
        <w:rPr>
          <w:sz w:val="21"/>
          <w:szCs w:val="21"/>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1"/>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1"/>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1"/>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1"/>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1"/>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1"/>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1"/>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1"/>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1"/>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lastRenderedPageBreak/>
        <w:t>FFS: whether the term "time domain window" is used in the specification or replaced by other technical terms</w:t>
      </w:r>
    </w:p>
    <w:p w14:paraId="04B8ED8B"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1"/>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1"/>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1"/>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1"/>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3" w:name="_Ref76651243"/>
      <w:bookmarkStart w:id="14"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5"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7"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672D" w14:textId="77777777" w:rsidR="00CF7F0A" w:rsidRDefault="00CF7F0A" w:rsidP="00ED35D3">
      <w:pPr>
        <w:spacing w:after="0" w:line="240" w:lineRule="auto"/>
      </w:pPr>
      <w:r>
        <w:separator/>
      </w:r>
    </w:p>
  </w:endnote>
  <w:endnote w:type="continuationSeparator" w:id="0">
    <w:p w14:paraId="05EC7DA9" w14:textId="77777777" w:rsidR="00CF7F0A" w:rsidRDefault="00CF7F0A"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6913" w14:textId="77777777" w:rsidR="00CF7F0A" w:rsidRDefault="00CF7F0A" w:rsidP="00ED35D3">
      <w:pPr>
        <w:spacing w:after="0" w:line="240" w:lineRule="auto"/>
      </w:pPr>
      <w:r>
        <w:separator/>
      </w:r>
    </w:p>
  </w:footnote>
  <w:footnote w:type="continuationSeparator" w:id="0">
    <w:p w14:paraId="27156298" w14:textId="77777777" w:rsidR="00CF7F0A" w:rsidRDefault="00CF7F0A" w:rsidP="00ED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_23.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_1.vsd"/><Relationship Id="rId25" Type="http://schemas.openxmlformats.org/officeDocument/2006/relationships/oleObject" Target="embeddings/Microsoft_Visio_2003-2010____45.vsd"/><Relationship Id="rId33" Type="http://schemas.openxmlformats.org/officeDocument/2006/relationships/package" Target="embeddings/Microsoft_Visio____1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_34.vsd"/><Relationship Id="rId28" Type="http://schemas.openxmlformats.org/officeDocument/2006/relationships/image" Target="media/image12.png"/><Relationship Id="rId36" Type="http://schemas.openxmlformats.org/officeDocument/2006/relationships/package" Target="embeddings/Microsoft_Visio____23.vsdx"/><Relationship Id="rId10" Type="http://schemas.openxmlformats.org/officeDocument/2006/relationships/footnotes" Target="footnotes.xml"/><Relationship Id="rId19" Type="http://schemas.openxmlformats.org/officeDocument/2006/relationships/oleObject" Target="embeddings/Microsoft_Visio_2003-2010____12.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DFE63E-B93E-416B-B3B6-A7FAEE2C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14960</Words>
  <Characters>85274</Characters>
  <Application>Microsoft Office Word</Application>
  <DocSecurity>0</DocSecurity>
  <Lines>710</Lines>
  <Paragraphs>200</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100034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심재남/선임연구원/미래기술센터 C&amp;M표준(연)5G무선통신표준Task(jaenam.shim@lge.com)</cp:lastModifiedBy>
  <cp:revision>2</cp:revision>
  <cp:lastPrinted>2021-04-15T03:16:00Z</cp:lastPrinted>
  <dcterms:created xsi:type="dcterms:W3CDTF">2021-08-17T00:14:00Z</dcterms:created>
  <dcterms:modified xsi:type="dcterms:W3CDTF">2021-08-17T00:14:00Z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