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Single TBoMS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r>
        <w:rPr>
          <w:sz w:val="22"/>
          <w:lang w:val="en-US"/>
        </w:rPr>
        <w:t>TBoMS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
        <w:numPr>
          <w:ilvl w:val="2"/>
          <w:numId w:val="7"/>
        </w:numPr>
        <w:jc w:val="both"/>
        <w:rPr>
          <w:sz w:val="22"/>
          <w:lang w:val="en-US"/>
        </w:rPr>
      </w:pPr>
      <w:r>
        <w:rPr>
          <w:sz w:val="22"/>
          <w:lang w:val="en-US"/>
        </w:rPr>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f"/>
        <w:numPr>
          <w:ilvl w:val="2"/>
          <w:numId w:val="7"/>
        </w:numPr>
        <w:jc w:val="both"/>
        <w:rPr>
          <w:sz w:val="22"/>
          <w:lang w:val="en-US"/>
        </w:rPr>
      </w:pPr>
      <w:r>
        <w:rPr>
          <w:sz w:val="22"/>
          <w:lang w:val="en-US"/>
        </w:rPr>
        <w:t>Special TBS values for TBoMS</w:t>
      </w:r>
    </w:p>
    <w:p w14:paraId="296BA8CB" w14:textId="77777777" w:rsidR="00166956" w:rsidRDefault="008B7C25">
      <w:pPr>
        <w:pStyle w:val="aff"/>
        <w:numPr>
          <w:ilvl w:val="2"/>
          <w:numId w:val="7"/>
        </w:numPr>
        <w:jc w:val="both"/>
        <w:rPr>
          <w:sz w:val="22"/>
          <w:lang w:val="en-US"/>
        </w:rPr>
      </w:pPr>
      <w:r>
        <w:rPr>
          <w:sz w:val="22"/>
          <w:lang w:val="en-US"/>
        </w:rPr>
        <w:t>Rank of TBoMS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Interleaved TBoMS transmissions</w:t>
      </w:r>
    </w:p>
    <w:p w14:paraId="173E31A2" w14:textId="77777777" w:rsidR="00166956" w:rsidRDefault="008B7C25">
      <w:pPr>
        <w:pStyle w:val="aff"/>
        <w:numPr>
          <w:ilvl w:val="2"/>
          <w:numId w:val="7"/>
        </w:numPr>
        <w:jc w:val="both"/>
        <w:rPr>
          <w:sz w:val="22"/>
          <w:lang w:val="en-US"/>
        </w:rPr>
      </w:pPr>
      <w:r>
        <w:rPr>
          <w:sz w:val="22"/>
          <w:lang w:val="en-US"/>
        </w:rPr>
        <w:t>Application of DM-RS bundling to TBoMS</w:t>
      </w:r>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Single TBoMS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IITH, IITM, CEWIT, Reliance Jio, Tejas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IITH, IITM, CEWIT, Reliance Jio, Tejas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IITH, IITM, CEWIT, Reliance Jio, Tejas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14:paraId="5BF19DC7" w14:textId="77777777" w:rsidR="00166956" w:rsidRDefault="008B7C25">
            <w:pPr>
              <w:spacing w:after="0"/>
              <w:jc w:val="both"/>
            </w:pPr>
            <w:r>
              <w:rPr>
                <w:rFonts w:eastAsia="ＭＳ 明朝"/>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r>
        <w:rPr>
          <w:sz w:val="22"/>
          <w:szCs w:val="22"/>
          <w:lang w:val="en-US"/>
        </w:rPr>
        <w:t>InterDigital</w:t>
      </w:r>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668C7EE8" w:rsidR="00D55B49" w:rsidRDefault="00C82307" w:rsidP="00D55B49">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ＭＳ 明朝"/>
                <w:lang w:eastAsia="ja-JP"/>
              </w:rPr>
            </w:pPr>
            <w:r w:rsidRPr="00D71774">
              <w:rPr>
                <w:rFonts w:eastAsia="ＭＳ 明朝"/>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ＭＳ 明朝"/>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ＭＳ 明朝"/>
                <w:lang w:eastAsia="ja-JP"/>
              </w:rPr>
            </w:pPr>
            <w:r w:rsidRPr="00AE174A">
              <w:rPr>
                <w:rFonts w:eastAsia="ＭＳ 明朝"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ＭＳ 明朝"/>
                <w:sz w:val="22"/>
                <w:lang w:eastAsia="ja-JP"/>
              </w:rPr>
            </w:pPr>
            <w:r>
              <w:rPr>
                <w:rFonts w:eastAsia="ＭＳ 明朝"/>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ＭＳ 明朝"/>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aff"/>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aff"/>
        <w:jc w:val="both"/>
        <w:rPr>
          <w:rFonts w:eastAsia="SimSun"/>
          <w:sz w:val="22"/>
          <w:szCs w:val="22"/>
        </w:rPr>
      </w:pPr>
    </w:p>
    <w:p w14:paraId="074AEC4E" w14:textId="6DD3EDE2" w:rsidR="006A1686" w:rsidRPr="006A1686" w:rsidRDefault="006A1686" w:rsidP="0026311B">
      <w:pPr>
        <w:pStyle w:val="aff"/>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f"/>
        <w:jc w:val="both"/>
        <w:rPr>
          <w:rFonts w:eastAsia="SimSun"/>
          <w:sz w:val="22"/>
          <w:szCs w:val="22"/>
        </w:rPr>
      </w:pPr>
    </w:p>
    <w:p w14:paraId="74455854" w14:textId="588EDB75"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aff"/>
        <w:jc w:val="both"/>
        <w:rPr>
          <w:rFonts w:eastAsia="SimSun"/>
          <w:sz w:val="22"/>
          <w:szCs w:val="22"/>
        </w:rPr>
      </w:pPr>
    </w:p>
    <w:p w14:paraId="239D3A92" w14:textId="42CC57F1"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aff"/>
        <w:jc w:val="both"/>
        <w:rPr>
          <w:rFonts w:eastAsia="SimSun"/>
          <w:sz w:val="22"/>
          <w:szCs w:val="22"/>
        </w:rPr>
      </w:pPr>
    </w:p>
    <w:p w14:paraId="3FD2A9DA" w14:textId="5A9FE315" w:rsidR="00F15FDB" w:rsidRPr="00F15FDB" w:rsidRDefault="00F15FDB" w:rsidP="0026311B">
      <w:pPr>
        <w:pStyle w:val="aff"/>
        <w:numPr>
          <w:ilvl w:val="0"/>
          <w:numId w:val="123"/>
        </w:numPr>
        <w:jc w:val="both"/>
        <w:rPr>
          <w:rFonts w:eastAsia="SimSun"/>
          <w:sz w:val="22"/>
          <w:szCs w:val="22"/>
        </w:rPr>
      </w:pPr>
      <w:r>
        <w:rPr>
          <w:rFonts w:eastAsia="ＭＳ 明朝"/>
          <w:sz w:val="22"/>
          <w:lang w:val="en-US" w:eastAsia="ja-JP"/>
        </w:rPr>
        <w:t>R</w:t>
      </w:r>
      <w:r w:rsidRPr="00F15FDB">
        <w:rPr>
          <w:rFonts w:eastAsia="ＭＳ 明朝"/>
          <w:sz w:val="22"/>
          <w:lang w:val="en-US" w:eastAsia="ja-JP"/>
        </w:rPr>
        <w:t>estriction on MCS index leads to low flexibility in code rates</w:t>
      </w:r>
      <w:r>
        <w:rPr>
          <w:rFonts w:eastAsia="ＭＳ 明朝"/>
          <w:sz w:val="22"/>
          <w:lang w:val="en-US" w:eastAsia="ja-JP"/>
        </w:rPr>
        <w:t>. Restrictions on the</w:t>
      </w:r>
      <w:r w:rsidRPr="00F15FDB">
        <w:rPr>
          <w:rFonts w:eastAsia="ＭＳ 明朝"/>
          <w:sz w:val="22"/>
          <w:lang w:val="en-US" w:eastAsia="ja-JP"/>
        </w:rPr>
        <w:t xml:space="preserve"> scaling factor </w:t>
      </w:r>
      <w:r>
        <w:rPr>
          <w:rFonts w:eastAsia="ＭＳ 明朝"/>
          <w:sz w:val="22"/>
          <w:lang w:val="en-US" w:eastAsia="ja-JP"/>
        </w:rPr>
        <w:t xml:space="preserve">K </w:t>
      </w:r>
      <w:r w:rsidRPr="00F15FDB">
        <w:rPr>
          <w:rFonts w:eastAsia="ＭＳ 明朝"/>
          <w:sz w:val="22"/>
          <w:lang w:val="en-US" w:eastAsia="ja-JP"/>
        </w:rPr>
        <w:t>reduce the gain of TBoMS</w:t>
      </w:r>
      <w:r>
        <w:rPr>
          <w:rFonts w:eastAsia="ＭＳ 明朝"/>
          <w:sz w:val="22"/>
          <w:lang w:val="en-US" w:eastAsia="ja-JP"/>
        </w:rPr>
        <w:t xml:space="preserve"> over PUSCH repetitions</w:t>
      </w:r>
      <w:r w:rsidRPr="00F15FDB">
        <w:rPr>
          <w:rFonts w:eastAsia="ＭＳ 明朝"/>
          <w:sz w:val="22"/>
          <w:lang w:val="en-US" w:eastAsia="ja-JP"/>
        </w:rPr>
        <w:t>.</w:t>
      </w:r>
      <w:r w:rsidR="00793F1C">
        <w:rPr>
          <w:rFonts w:eastAsia="ＭＳ 明朝"/>
          <w:sz w:val="22"/>
          <w:lang w:val="en-US" w:eastAsia="ja-JP"/>
        </w:rPr>
        <w:t xml:space="preserve"> Attractiveness of TBoMS would be much lower, if any, in this case.</w:t>
      </w:r>
    </w:p>
    <w:p w14:paraId="4D9A89AD" w14:textId="77777777" w:rsidR="00F15FDB" w:rsidRPr="00F15FDB" w:rsidRDefault="00F15FDB" w:rsidP="0026311B">
      <w:pPr>
        <w:pStyle w:val="aff"/>
        <w:jc w:val="both"/>
        <w:rPr>
          <w:sz w:val="22"/>
          <w:szCs w:val="22"/>
        </w:rPr>
      </w:pPr>
    </w:p>
    <w:p w14:paraId="2874967F" w14:textId="15576029" w:rsidR="000242F8" w:rsidRDefault="006A1686" w:rsidP="0026311B">
      <w:pPr>
        <w:jc w:val="both"/>
        <w:rPr>
          <w:rFonts w:eastAsia="ＭＳ 明朝"/>
          <w:sz w:val="22"/>
          <w:lang w:val="en-US" w:eastAsia="ja-JP"/>
        </w:rPr>
      </w:pPr>
      <w:r w:rsidRPr="006A1686">
        <w:rPr>
          <w:rFonts w:eastAsia="ＭＳ 明朝"/>
          <w:sz w:val="22"/>
          <w:lang w:val="en-US" w:eastAsia="ja-JP"/>
        </w:rPr>
        <w:t>Given the above, and always trying not to resort to the “counting hands” approach</w:t>
      </w:r>
      <w:r>
        <w:rPr>
          <w:rFonts w:eastAsia="ＭＳ 明朝"/>
          <w:sz w:val="22"/>
          <w:lang w:val="en-US" w:eastAsia="ja-JP"/>
        </w:rPr>
        <w:t>,</w:t>
      </w:r>
      <w:r w:rsidRPr="006A1686">
        <w:rPr>
          <w:rFonts w:eastAsia="ＭＳ 明朝"/>
          <w:sz w:val="22"/>
          <w:lang w:val="en-US" w:eastAsia="ja-JP"/>
        </w:rPr>
        <w:t xml:space="preserve"> which is often unpleasant and painful</w:t>
      </w:r>
      <w:r>
        <w:rPr>
          <w:rFonts w:eastAsia="ＭＳ 明朝"/>
          <w:sz w:val="22"/>
          <w:lang w:val="en-US" w:eastAsia="ja-JP"/>
        </w:rPr>
        <w:t xml:space="preserve">, I would then submit to the attention of the group the following “middle ground approach” for consideration. Hopefully it </w:t>
      </w:r>
      <w:r w:rsidR="00793F1C">
        <w:rPr>
          <w:rFonts w:eastAsia="ＭＳ 明朝"/>
          <w:sz w:val="22"/>
          <w:lang w:val="en-US" w:eastAsia="ja-JP"/>
        </w:rPr>
        <w:t>will</w:t>
      </w:r>
      <w:r>
        <w:rPr>
          <w:rFonts w:eastAsia="ＭＳ 明朝"/>
          <w:sz w:val="22"/>
          <w:lang w:val="en-US" w:eastAsia="ja-JP"/>
        </w:rPr>
        <w:t xml:space="preserve"> be a good setting to work together and converge quickly. On the other hand, please note that if we fail at this exercise, then </w:t>
      </w:r>
      <w:r w:rsidRPr="00A30F03">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sidRPr="006A1686">
        <w:rPr>
          <w:rFonts w:eastAsia="ＭＳ 明朝"/>
          <w:sz w:val="22"/>
          <w:vertAlign w:val="superscript"/>
          <w:lang w:val="en-US" w:eastAsia="ja-JP"/>
        </w:rPr>
        <w:t>th</w:t>
      </w:r>
      <w:r>
        <w:rPr>
          <w:rFonts w:eastAsia="ＭＳ 明朝"/>
          <w:sz w:val="22"/>
          <w:lang w:val="en-US" w:eastAsia="ja-JP"/>
        </w:rPr>
        <w:t xml:space="preserve">). I hope this can </w:t>
      </w:r>
      <w:r w:rsidR="0050601C">
        <w:rPr>
          <w:rFonts w:eastAsia="ＭＳ 明朝"/>
          <w:sz w:val="22"/>
          <w:lang w:val="en-US" w:eastAsia="ja-JP"/>
        </w:rPr>
        <w:t xml:space="preserve">give </w:t>
      </w:r>
      <w:r>
        <w:rPr>
          <w:rFonts w:eastAsia="ＭＳ 明朝"/>
          <w:sz w:val="22"/>
          <w:lang w:val="en-US" w:eastAsia="ja-JP"/>
        </w:rPr>
        <w:t xml:space="preserve">sufficient motivation </w:t>
      </w:r>
      <w:r w:rsidR="00D61E36">
        <w:rPr>
          <w:rFonts w:eastAsia="ＭＳ 明朝"/>
          <w:sz w:val="22"/>
          <w:lang w:val="en-US" w:eastAsia="ja-JP"/>
        </w:rPr>
        <w:t xml:space="preserve">to all companies </w:t>
      </w:r>
      <w:r>
        <w:rPr>
          <w:rFonts w:eastAsia="ＭＳ 明朝"/>
          <w:sz w:val="22"/>
          <w:lang w:val="en-US" w:eastAsia="ja-JP"/>
        </w:rPr>
        <w:t>to be constructive.</w:t>
      </w:r>
    </w:p>
    <w:p w14:paraId="157385BE" w14:textId="51AF5ED2" w:rsidR="006A1686" w:rsidRDefault="006A1686" w:rsidP="0026311B">
      <w:pPr>
        <w:jc w:val="both"/>
        <w:rPr>
          <w:rFonts w:eastAsia="ＭＳ 明朝"/>
          <w:sz w:val="22"/>
          <w:lang w:val="en-US" w:eastAsia="ja-JP"/>
        </w:rPr>
      </w:pPr>
      <w:r>
        <w:rPr>
          <w:rFonts w:eastAsia="ＭＳ 明朝"/>
          <w:sz w:val="22"/>
          <w:lang w:val="en-US" w:eastAsia="ja-JP"/>
        </w:rPr>
        <w:t xml:space="preserve">Let us refer to this middle ground solution as Alt. 4, for simplicity. I will describe it </w:t>
      </w:r>
      <w:r w:rsidR="00507091">
        <w:rPr>
          <w:rFonts w:eastAsia="ＭＳ 明朝"/>
          <w:sz w:val="22"/>
          <w:lang w:val="en-US" w:eastAsia="ja-JP"/>
        </w:rPr>
        <w:t>in very high detail</w:t>
      </w:r>
      <w:r>
        <w:rPr>
          <w:rFonts w:eastAsia="ＭＳ 明朝"/>
          <w:sz w:val="22"/>
          <w:lang w:val="en-US" w:eastAsia="ja-JP"/>
        </w:rPr>
        <w:t xml:space="preserve">, </w:t>
      </w:r>
      <w:r w:rsidR="00507091">
        <w:rPr>
          <w:rFonts w:eastAsia="ＭＳ 明朝"/>
          <w:sz w:val="22"/>
          <w:lang w:val="en-US" w:eastAsia="ja-JP"/>
        </w:rPr>
        <w:t>to ensure everything is</w:t>
      </w:r>
      <w:r>
        <w:rPr>
          <w:rFonts w:eastAsia="ＭＳ 明朝"/>
          <w:sz w:val="22"/>
          <w:lang w:val="en-US" w:eastAsia="ja-JP"/>
        </w:rPr>
        <w:t xml:space="preserve"> as clear as possible.</w:t>
      </w:r>
    </w:p>
    <w:p w14:paraId="4FD5719C" w14:textId="4A7446E9" w:rsidR="00507091" w:rsidRDefault="00507091">
      <w:pPr>
        <w:rPr>
          <w:rFonts w:eastAsia="ＭＳ 明朝"/>
          <w:sz w:val="22"/>
          <w:lang w:val="en-US" w:eastAsia="ja-JP"/>
        </w:rPr>
      </w:pPr>
    </w:p>
    <w:p w14:paraId="257D3245" w14:textId="77777777" w:rsidR="004A449E" w:rsidRPr="006A1686" w:rsidRDefault="004A449E">
      <w:pPr>
        <w:pBdr>
          <w:bottom w:val="single" w:sz="6" w:space="1" w:color="auto"/>
        </w:pBdr>
        <w:rPr>
          <w:rFonts w:eastAsia="ＭＳ 明朝"/>
          <w:sz w:val="22"/>
          <w:lang w:val="en-US" w:eastAsia="ja-JP"/>
        </w:rPr>
      </w:pPr>
    </w:p>
    <w:p w14:paraId="4DFD4E8B" w14:textId="7F0FF54E" w:rsidR="006A1686" w:rsidRPr="00507091" w:rsidRDefault="006A1686">
      <w:pPr>
        <w:rPr>
          <w:b/>
          <w:bCs/>
          <w:sz w:val="24"/>
          <w:szCs w:val="24"/>
          <w:u w:val="single"/>
        </w:rPr>
      </w:pPr>
      <w:bookmarkStart w:id="2"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f"/>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f"/>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f"/>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f"/>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f"/>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f"/>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f"/>
        <w:ind w:left="360"/>
        <w:rPr>
          <w:sz w:val="22"/>
          <w:szCs w:val="22"/>
        </w:rPr>
      </w:pPr>
    </w:p>
    <w:p w14:paraId="1C416184" w14:textId="5B0EC798" w:rsidR="00507091" w:rsidRPr="0021541C" w:rsidRDefault="0026311B" w:rsidP="004A449E">
      <w:pPr>
        <w:pStyle w:val="aff"/>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f"/>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f"/>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f"/>
        <w:ind w:left="360"/>
        <w:rPr>
          <w:sz w:val="22"/>
          <w:szCs w:val="22"/>
        </w:rPr>
      </w:pPr>
    </w:p>
    <w:p w14:paraId="5B236BDB" w14:textId="70AFB92A" w:rsidR="00507091" w:rsidRPr="00507091" w:rsidRDefault="00507091" w:rsidP="004A449E">
      <w:pPr>
        <w:pStyle w:val="aff"/>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f"/>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f"/>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f"/>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f"/>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aff"/>
        <w:rPr>
          <w:sz w:val="22"/>
          <w:szCs w:val="22"/>
          <w:u w:val="single"/>
          <w:lang w:val="en-US"/>
        </w:rPr>
      </w:pPr>
    </w:p>
    <w:p w14:paraId="5FB4ACD0" w14:textId="0DFB9F44" w:rsidR="004A449E" w:rsidRPr="004A449E" w:rsidRDefault="004A449E" w:rsidP="004A449E">
      <w:pPr>
        <w:pStyle w:val="aff"/>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2"/>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2"/>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58B013B" w14:textId="77777777" w:rsidR="00DE16E8" w:rsidRDefault="00DE16E8" w:rsidP="00C315A0">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K can take any value between 1 (according to existing agreement) and the maximum supported value by UE</w:t>
            </w:r>
            <w:r>
              <w:rPr>
                <w:rFonts w:eastAsia="ＭＳ 明朝"/>
                <w:lang w:eastAsia="ja-JP"/>
              </w:rPr>
              <w:t>, however it cannot be greater than N</w:t>
            </w:r>
          </w:p>
          <w:p w14:paraId="3EA963BE" w14:textId="77777777" w:rsidR="00DE16E8" w:rsidRDefault="00DE16E8" w:rsidP="00DE16E8">
            <w:pPr>
              <w:spacing w:after="0" w:afterAutospacing="0"/>
              <w:jc w:val="both"/>
              <w:rPr>
                <w:rFonts w:eastAsia="ＭＳ 明朝"/>
                <w:lang w:eastAsia="ja-JP"/>
              </w:rPr>
            </w:pPr>
            <w:r>
              <w:rPr>
                <w:rFonts w:eastAsia="ＭＳ 明朝" w:hint="eastAsia"/>
                <w:lang w:eastAsia="ja-JP"/>
              </w:rPr>
              <w:t>F</w:t>
            </w:r>
            <w:r>
              <w:rPr>
                <w:rFonts w:eastAsia="ＭＳ 明朝"/>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ＭＳ 明朝"/>
                <w:lang w:eastAsia="ja-JP"/>
              </w:rPr>
            </w:pPr>
          </w:p>
          <w:p w14:paraId="37E835F2" w14:textId="77777777" w:rsidR="00DE16E8"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 xml:space="preserve">RVs are refreshed every K </w:t>
            </w:r>
            <w:proofErr w:type="gramStart"/>
            <w:r w:rsidRPr="00DE16E8">
              <w:rPr>
                <w:rFonts w:eastAsia="ＭＳ 明朝"/>
                <w:lang w:eastAsia="ja-JP"/>
              </w:rPr>
              <w:t>slots</w:t>
            </w:r>
            <w:proofErr w:type="gramEnd"/>
            <w:r w:rsidRPr="00DE16E8">
              <w:rPr>
                <w:rFonts w:eastAsia="ＭＳ 明朝"/>
                <w:lang w:eastAsia="ja-JP"/>
              </w:rPr>
              <w:t>, with no offset (same logic as Alt.1 above, i.e., Option 4)</w:t>
            </w:r>
          </w:p>
          <w:p w14:paraId="5A7F367C" w14:textId="18EB6789" w:rsidR="00DE16E8" w:rsidRPr="00DE16E8" w:rsidRDefault="00DE16E8" w:rsidP="00DE16E8">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ＭＳ 明朝"/>
                <w:lang w:eastAsia="ja-JP"/>
              </w:rPr>
            </w:pPr>
            <w:bookmarkStart w:id="3" w:name="_Hlk80267763"/>
            <w:r>
              <w:rPr>
                <w:rFonts w:eastAsia="ＭＳ 明朝"/>
                <w:lang w:eastAsia="ja-JP"/>
              </w:rPr>
              <w:t>Intel</w:t>
            </w:r>
          </w:p>
        </w:tc>
        <w:tc>
          <w:tcPr>
            <w:tcW w:w="7450" w:type="dxa"/>
          </w:tcPr>
          <w:p w14:paraId="5CE7D7D6" w14:textId="7C0730F9" w:rsidR="00D03F1E" w:rsidRDefault="00D03F1E" w:rsidP="00C315A0">
            <w:pPr>
              <w:spacing w:after="0"/>
              <w:jc w:val="both"/>
              <w:rPr>
                <w:rFonts w:eastAsia="ＭＳ 明朝"/>
                <w:lang w:eastAsia="ja-JP"/>
              </w:rPr>
            </w:pPr>
            <w:r>
              <w:rPr>
                <w:rFonts w:eastAsia="ＭＳ 明朝"/>
                <w:lang w:eastAsia="ja-JP"/>
              </w:rPr>
              <w:t xml:space="preserve">Thanks FL for </w:t>
            </w:r>
            <w:r w:rsidR="00071D7B">
              <w:rPr>
                <w:rFonts w:eastAsia="ＭＳ 明朝"/>
                <w:lang w:eastAsia="ja-JP"/>
              </w:rPr>
              <w:t xml:space="preserve">the </w:t>
            </w:r>
            <w:r>
              <w:rPr>
                <w:rFonts w:eastAsia="ＭＳ 明朝"/>
                <w:lang w:eastAsia="ja-JP"/>
              </w:rPr>
              <w:t xml:space="preserve">great effort to merge different options. </w:t>
            </w:r>
          </w:p>
          <w:p w14:paraId="4CF1E771" w14:textId="6EFD39A1" w:rsidR="00D03F1E" w:rsidRDefault="003F7817" w:rsidP="00C315A0">
            <w:pPr>
              <w:spacing w:after="0"/>
              <w:jc w:val="both"/>
              <w:rPr>
                <w:rFonts w:eastAsia="ＭＳ 明朝"/>
                <w:lang w:eastAsia="ja-JP"/>
              </w:rPr>
            </w:pPr>
            <w:r>
              <w:rPr>
                <w:rFonts w:eastAsia="ＭＳ 明朝"/>
                <w:lang w:eastAsia="ja-JP"/>
              </w:rPr>
              <w:t>It</w:t>
            </w:r>
            <w:r w:rsidR="00D03F1E">
              <w:rPr>
                <w:rFonts w:eastAsia="ＭＳ 明朝"/>
                <w:lang w:eastAsia="ja-JP"/>
              </w:rPr>
              <w:t xml:space="preserve"> seems that Alt 4 </w:t>
            </w:r>
            <w:r w:rsidR="00A03702">
              <w:rPr>
                <w:rFonts w:eastAsia="ＭＳ 明朝"/>
                <w:lang w:eastAsia="ja-JP"/>
              </w:rPr>
              <w:t xml:space="preserve">is more aligned with our thinking. </w:t>
            </w:r>
            <w:r w:rsidR="006D649A">
              <w:rPr>
                <w:rFonts w:eastAsia="ＭＳ 明朝"/>
                <w:lang w:eastAsia="ja-JP"/>
              </w:rPr>
              <w:t>In our view, given that K is used to determine the TBS, K &lt; N with RV cycling</w:t>
            </w:r>
            <w:r>
              <w:rPr>
                <w:rFonts w:eastAsia="ＭＳ 明朝"/>
                <w:lang w:eastAsia="ja-JP"/>
              </w:rPr>
              <w:t xml:space="preserve"> (based on current design in NR)</w:t>
            </w:r>
            <w:r w:rsidR="006D649A">
              <w:rPr>
                <w:rFonts w:eastAsia="ＭＳ 明朝"/>
                <w:lang w:eastAsia="ja-JP"/>
              </w:rPr>
              <w:t xml:space="preserve"> can be viewed as a combination of TBoMS and repetition. </w:t>
            </w:r>
          </w:p>
          <w:p w14:paraId="51D72433" w14:textId="5158E5A0" w:rsidR="00241348" w:rsidRDefault="00A726C5" w:rsidP="00C315A0">
            <w:pPr>
              <w:spacing w:after="0"/>
              <w:jc w:val="both"/>
              <w:rPr>
                <w:rFonts w:eastAsia="ＭＳ 明朝"/>
                <w:lang w:eastAsia="ja-JP"/>
              </w:rPr>
            </w:pPr>
            <w:r>
              <w:rPr>
                <w:rFonts w:eastAsia="ＭＳ 明朝"/>
                <w:lang w:eastAsia="ja-JP"/>
              </w:rPr>
              <w:lastRenderedPageBreak/>
              <w:t xml:space="preserve">We share similar view as Panasonic that this may be good to consider a subset of K values to be more meaningful and to reduce the test effort. </w:t>
            </w:r>
            <w:r w:rsidR="00241348">
              <w:rPr>
                <w:rFonts w:eastAsia="ＭＳ 明朝"/>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ＭＳ 明朝"/>
                <w:lang w:eastAsia="ja-JP"/>
              </w:rPr>
            </w:pPr>
            <w:r>
              <w:rPr>
                <w:rFonts w:eastAsia="ＭＳ 明朝"/>
                <w:lang w:eastAsia="ja-JP"/>
              </w:rPr>
              <w:lastRenderedPageBreak/>
              <w:t>Qualcomm</w:t>
            </w:r>
          </w:p>
        </w:tc>
        <w:tc>
          <w:tcPr>
            <w:tcW w:w="7450" w:type="dxa"/>
          </w:tcPr>
          <w:p w14:paraId="494EC53F" w14:textId="4CFF6235" w:rsidR="00B70CF5" w:rsidRDefault="00B70CF5" w:rsidP="00C315A0">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ＭＳ 明朝"/>
                <w:lang w:eastAsia="ja-JP"/>
              </w:rPr>
            </w:pPr>
            <w:r>
              <w:rPr>
                <w:rFonts w:eastAsia="ＭＳ 明朝"/>
                <w:lang w:eastAsia="ja-JP"/>
              </w:rPr>
              <w:t>One aspect that</w:t>
            </w:r>
            <w:r w:rsidR="00C20BAB">
              <w:rPr>
                <w:rFonts w:eastAsia="ＭＳ 明朝"/>
                <w:lang w:eastAsia="ja-JP"/>
              </w:rPr>
              <w:t xml:space="preserve"> might need some further investigation is whether we should couple TB scale factor (K) to the number slots that use a single RV</w:t>
            </w:r>
            <w:r>
              <w:rPr>
                <w:rFonts w:eastAsia="ＭＳ 明朝"/>
                <w:lang w:eastAsia="ja-JP"/>
              </w:rPr>
              <w:t xml:space="preserve"> (call this L)</w:t>
            </w:r>
            <w:r w:rsidR="00C20BAB">
              <w:rPr>
                <w:rFonts w:eastAsia="ＭＳ 明朝"/>
                <w:lang w:eastAsia="ja-JP"/>
              </w:rPr>
              <w:t xml:space="preserve"> or not. </w:t>
            </w:r>
            <w:r>
              <w:rPr>
                <w:rFonts w:eastAsia="ＭＳ 明朝"/>
                <w:lang w:eastAsia="ja-JP"/>
              </w:rPr>
              <w:t>We were thinking of letting them be independen</w:t>
            </w:r>
            <w:r w:rsidR="00A6554F">
              <w:rPr>
                <w:rFonts w:eastAsia="ＭＳ 明朝"/>
                <w:lang w:eastAsia="ja-JP"/>
              </w:rPr>
              <w:t>t.</w:t>
            </w:r>
          </w:p>
          <w:p w14:paraId="5118152A" w14:textId="0B5631CF" w:rsidR="00B70CF5" w:rsidRDefault="00B70CF5" w:rsidP="00C315A0">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ＭＳ 明朝"/>
                <w:lang w:eastAsia="ja-JP"/>
              </w:rPr>
            </w:pPr>
          </w:p>
          <w:p w14:paraId="303DB6EF" w14:textId="2C6732F9" w:rsidR="00C20BAB" w:rsidRDefault="00C20BAB" w:rsidP="00C315A0">
            <w:pPr>
              <w:spacing w:after="0"/>
              <w:jc w:val="both"/>
              <w:rPr>
                <w:rFonts w:eastAsia="ＭＳ 明朝"/>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208ED7AE" w14:textId="13A96EB3" w:rsidR="001D6C86" w:rsidRDefault="00E133D7" w:rsidP="00C315A0">
            <w:pPr>
              <w:spacing w:after="0"/>
              <w:jc w:val="both"/>
              <w:rPr>
                <w:rFonts w:eastAsia="ＭＳ 明朝" w:hint="eastAsia"/>
                <w:lang w:eastAsia="ja-JP"/>
              </w:rPr>
            </w:pPr>
            <w:r>
              <w:rPr>
                <w:rFonts w:eastAsia="ＭＳ 明朝" w:hint="eastAsia"/>
                <w:lang w:eastAsia="ja-JP"/>
              </w:rPr>
              <w:t>T</w:t>
            </w:r>
            <w:r>
              <w:rPr>
                <w:rFonts w:eastAsia="ＭＳ 明朝"/>
                <w:lang w:eastAsia="ja-JP"/>
              </w:rPr>
              <w:t xml:space="preserve">hanks FL for your great effort. We can live with Alt.4. </w:t>
            </w:r>
            <w:r w:rsidR="001D6C86">
              <w:rPr>
                <w:rFonts w:eastAsia="ＭＳ 明朝"/>
                <w:lang w:eastAsia="ja-JP"/>
              </w:rPr>
              <w:t>We are supportive of Panasonic’s suggestion regarding FFS on candidate value restriction.</w:t>
            </w:r>
            <w:bookmarkStart w:id="4" w:name="_GoBack"/>
            <w:bookmarkEnd w:id="4"/>
          </w:p>
        </w:tc>
      </w:tr>
      <w:bookmarkEnd w:id="3"/>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lastRenderedPageBreak/>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lastRenderedPageBreak/>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ＭＳ 明朝"/>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lastRenderedPageBreak/>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The interleaver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lastRenderedPageBreak/>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 xml:space="preserve">Timeline and prioritization rules would also need to be rediscussed. Agreeing on how to perform UCI multiplexing would also require longer discussions. Simulations in this sense have not been made by </w:t>
            </w:r>
            <w:r>
              <w:lastRenderedPageBreak/>
              <w:t>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lastRenderedPageBreak/>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f"/>
              <w:numPr>
                <w:ilvl w:val="0"/>
                <w:numId w:val="25"/>
              </w:numPr>
              <w:ind w:left="333"/>
              <w:jc w:val="both"/>
            </w:pPr>
            <w:r>
              <w:t xml:space="preserve">Concern on different interleaver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lastRenderedPageBreak/>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The interleaver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interleaver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lastRenderedPageBreak/>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f"/>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lastRenderedPageBreak/>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w:t>
            </w:r>
            <w:proofErr w:type="spellStart"/>
            <w:r w:rsidR="00753411">
              <w:rPr>
                <w:rFonts w:eastAsia="Malgun Gothic"/>
                <w:lang w:eastAsia="ko-KR"/>
              </w:rPr>
              <w:t>Jio</w:t>
            </w:r>
            <w:proofErr w:type="spellEnd"/>
            <w:r w:rsidR="00753411">
              <w:rPr>
                <w:rFonts w:eastAsia="Malgun Gothic"/>
                <w:lang w:eastAsia="ko-KR"/>
              </w:rPr>
              <w:t xml:space="preserve">,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w:t>
            </w:r>
            <w:r>
              <w:rPr>
                <w:rFonts w:hint="eastAsia"/>
                <w:lang w:eastAsia="zh-CN"/>
              </w:rPr>
              <w:lastRenderedPageBreak/>
              <w:t xml:space="preserve">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ＭＳ 明朝"/>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lastRenderedPageBreak/>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a"/>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5pt;height:29.55pt" o:ole="">
                  <v:imagedata r:id="rId17" o:title=""/>
                </v:shape>
                <o:OLEObject Type="Embed" ProgID="Equation.3" ShapeID="_x0000_i1025" DrawAspect="Content" ObjectID="_1690955346" r:id="rId18"/>
              </w:object>
            </w:r>
            <w:r>
              <w:t xml:space="preserve">, where </w:t>
            </w:r>
            <w:r w:rsidRPr="002625EB">
              <w:rPr>
                <w:rFonts w:eastAsiaTheme="minorEastAsia"/>
                <w:position w:val="-6"/>
              </w:rPr>
              <w:object w:dxaOrig="260" w:dyaOrig="279" w14:anchorId="49240CD7">
                <v:shape id="_x0000_i1026" type="#_x0000_t75" style="width:10.8pt;height:10.8pt" o:ole="">
                  <v:imagedata r:id="rId19" o:title=""/>
                </v:shape>
                <o:OLEObject Type="Embed" ProgID="Equation.3" ShapeID="_x0000_i1026" DrawAspect="Content" ObjectID="_1690955347"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lastRenderedPageBreak/>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xml:space="preserve">. At this stage of the WI, it is expected that companies against or in </w:t>
      </w:r>
      <w:r>
        <w:rPr>
          <w:sz w:val="22"/>
          <w:lang w:val="en-US"/>
        </w:rPr>
        <w:lastRenderedPageBreak/>
        <w:t>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lastRenderedPageBreak/>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lastRenderedPageBreak/>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lastRenderedPageBreak/>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503902285"/>
      <w:bookmarkStart w:id="6" w:name="_Toc415085486"/>
      <w:r>
        <w:t xml:space="preserve">     </w:t>
      </w:r>
    </w:p>
    <w:p w14:paraId="454EAA63" w14:textId="7CBD3996" w:rsidR="00166956" w:rsidRDefault="00D55B49">
      <w:pPr>
        <w:pStyle w:val="3"/>
        <w:numPr>
          <w:ilvl w:val="2"/>
          <w:numId w:val="4"/>
        </w:numPr>
        <w:jc w:val="both"/>
        <w:rPr>
          <w:lang w:val="en-US"/>
        </w:rPr>
      </w:pPr>
      <w:bookmarkStart w:id="7"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7"/>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lastRenderedPageBreak/>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ＭＳ 明朝"/>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ＭＳ 明朝"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3"/>
        <w:numPr>
          <w:ilvl w:val="2"/>
          <w:numId w:val="4"/>
        </w:numPr>
        <w:jc w:val="both"/>
        <w:rPr>
          <w:lang w:val="en-US"/>
        </w:rPr>
      </w:pPr>
      <w:bookmarkStart w:id="8" w:name="_Hlk79682508"/>
      <w:r>
        <w:rPr>
          <w:color w:val="00B050"/>
        </w:rPr>
        <w:t>[OPEN]</w:t>
      </w:r>
      <w:r>
        <w:t xml:space="preserve"> </w:t>
      </w:r>
      <w:r w:rsidR="008B7C25">
        <w:rPr>
          <w:lang w:val="en-US"/>
        </w:rPr>
        <w:t>How to indicate the number of allocated slots for TBoMS</w:t>
      </w:r>
      <w:bookmarkEnd w:id="8"/>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
        <w:numPr>
          <w:ilvl w:val="2"/>
          <w:numId w:val="50"/>
        </w:numPr>
        <w:rPr>
          <w:sz w:val="22"/>
          <w:szCs w:val="22"/>
          <w:lang w:val="en-US"/>
        </w:rPr>
      </w:pPr>
      <w:r>
        <w:rPr>
          <w:sz w:val="22"/>
          <w:szCs w:val="22"/>
          <w:lang w:val="en-US"/>
        </w:rPr>
        <w:lastRenderedPageBreak/>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lastRenderedPageBreak/>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lastRenderedPageBreak/>
              <w:t>Qualcomm</w:t>
            </w:r>
          </w:p>
        </w:tc>
        <w:tc>
          <w:tcPr>
            <w:tcW w:w="6081" w:type="dxa"/>
          </w:tcPr>
          <w:p w14:paraId="59EBE519" w14:textId="77777777" w:rsidR="00166956" w:rsidRDefault="008B7C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lastRenderedPageBreak/>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175B2E68" w14:textId="7CCB0278" w:rsidR="002B5E04" w:rsidRPr="00DE16E8" w:rsidRDefault="00DE16E8" w:rsidP="00C315A0">
            <w:pPr>
              <w:spacing w:after="100"/>
              <w:jc w:val="both"/>
              <w:rPr>
                <w:rFonts w:eastAsia="ＭＳ 明朝"/>
                <w:lang w:eastAsia="ja-JP"/>
              </w:rPr>
            </w:pPr>
            <w:r>
              <w:rPr>
                <w:rFonts w:eastAsia="ＭＳ 明朝"/>
                <w:lang w:eastAsia="ja-JP"/>
              </w:rPr>
              <w:t>We support the FL’s proposal 3-v2</w:t>
            </w:r>
            <w:r w:rsidR="00C315A0">
              <w:rPr>
                <w:rFonts w:eastAsia="ＭＳ 明朝"/>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4E2D18E5" w14:textId="21B8458E" w:rsidR="007B4D9D" w:rsidRDefault="007B4D9D" w:rsidP="00C315A0">
            <w:pPr>
              <w:spacing w:after="100"/>
              <w:jc w:val="both"/>
              <w:rPr>
                <w:rFonts w:eastAsia="ＭＳ 明朝"/>
                <w:lang w:eastAsia="ja-JP"/>
              </w:rPr>
            </w:pPr>
            <w:r>
              <w:rPr>
                <w:rFonts w:eastAsia="ＭＳ 明朝"/>
                <w:lang w:eastAsia="ja-JP"/>
              </w:rPr>
              <w:t>We support the FL’s proposal 3-v2.</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f"/>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
        <w:numPr>
          <w:ilvl w:val="1"/>
          <w:numId w:val="56"/>
        </w:numPr>
        <w:jc w:val="both"/>
        <w:rPr>
          <w:sz w:val="22"/>
          <w:szCs w:val="22"/>
          <w:lang w:eastAsia="zh-CN"/>
        </w:rPr>
      </w:pPr>
      <w:r>
        <w:rPr>
          <w:sz w:val="22"/>
          <w:szCs w:val="22"/>
          <w:lang w:eastAsia="zh-CN"/>
        </w:rPr>
        <w:lastRenderedPageBreak/>
        <w:t>One company (Interdigital [14]) proposed further studying whether UCI is repeated on the multiple slots of TBoMS.</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lastRenderedPageBreak/>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lastRenderedPageBreak/>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lastRenderedPageBreak/>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w:t>
            </w:r>
            <w:r>
              <w:rPr>
                <w:rFonts w:eastAsia="ＭＳ 明朝"/>
                <w:lang w:eastAsia="ja-JP"/>
              </w:rPr>
              <w:lastRenderedPageBreak/>
              <w:t xml:space="preserve">the behaviour in the FL proposal causes mis-alignment of TBS between gNB/UE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w:t>
            </w:r>
            <w:r>
              <w:lastRenderedPageBreak/>
              <w:t xml:space="preserve">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f"/>
        <w:numPr>
          <w:ilvl w:val="0"/>
          <w:numId w:val="61"/>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w:t>
      </w:r>
      <w:r>
        <w:rPr>
          <w:sz w:val="22"/>
          <w:lang w:val="en-US"/>
        </w:rPr>
        <w:lastRenderedPageBreak/>
        <w:t>dynamic indication for number of slots for TBoMS via TDRA, but the repetition factor for TBoMS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5"/>
    <w:bookmarkEnd w:id="6"/>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616A4C7C" w14:textId="77777777" w:rsidR="00166956" w:rsidRDefault="008B7C25">
      <w:pPr>
        <w:pStyle w:val="aff"/>
        <w:numPr>
          <w:ilvl w:val="0"/>
          <w:numId w:val="67"/>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lastRenderedPageBreak/>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lastRenderedPageBreak/>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lastRenderedPageBreak/>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lastRenderedPageBreak/>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552A8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12"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552A8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2"/>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lastRenderedPageBreak/>
        <w:t xml:space="preserve">A.10 Rank of TBoMS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3"/>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4"/>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584A" w14:textId="77777777" w:rsidR="00552A8F" w:rsidRDefault="00552A8F">
      <w:pPr>
        <w:spacing w:after="0"/>
      </w:pPr>
      <w:r>
        <w:separator/>
      </w:r>
    </w:p>
  </w:endnote>
  <w:endnote w:type="continuationSeparator" w:id="0">
    <w:p w14:paraId="0731A030" w14:textId="77777777" w:rsidR="00552A8F" w:rsidRDefault="00552A8F">
      <w:pPr>
        <w:spacing w:after="0"/>
      </w:pPr>
      <w:r>
        <w:continuationSeparator/>
      </w:r>
    </w:p>
  </w:endnote>
  <w:endnote w:type="continuationNotice" w:id="1">
    <w:p w14:paraId="0DA61EB4" w14:textId="77777777" w:rsidR="00552A8F" w:rsidRDefault="00552A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4281" w14:textId="77777777" w:rsidR="00552A8F" w:rsidRDefault="00552A8F">
      <w:pPr>
        <w:spacing w:after="0"/>
      </w:pPr>
      <w:r>
        <w:separator/>
      </w:r>
    </w:p>
  </w:footnote>
  <w:footnote w:type="continuationSeparator" w:id="0">
    <w:p w14:paraId="686AD9E6" w14:textId="77777777" w:rsidR="00552A8F" w:rsidRDefault="00552A8F">
      <w:pPr>
        <w:spacing w:after="0"/>
      </w:pPr>
      <w:r>
        <w:continuationSeparator/>
      </w:r>
    </w:p>
  </w:footnote>
  <w:footnote w:type="continuationNotice" w:id="1">
    <w:p w14:paraId="495720BD" w14:textId="77777777" w:rsidR="00552A8F" w:rsidRDefault="00552A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962C" w14:textId="77777777" w:rsidR="00D03F1E" w:rsidRDefault="00D03F1E">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B2C814C8-EDB9-4AD0-9AF9-2F0439B6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90</Pages>
  <Words>33525</Words>
  <Characters>191099</Characters>
  <Application>Microsoft Office Word</Application>
  <DocSecurity>0</DocSecurity>
  <Lines>1592</Lines>
  <Paragraphs>448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3</cp:revision>
  <cp:lastPrinted>1900-12-31T16:00:00Z</cp:lastPrinted>
  <dcterms:created xsi:type="dcterms:W3CDTF">2021-08-19T23:33:00Z</dcterms:created>
  <dcterms:modified xsi:type="dcterms:W3CDTF">2021-08-19T23:39:00Z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