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Single TBoMS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7"/>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r>
        <w:rPr>
          <w:sz w:val="22"/>
          <w:lang w:val="en-US"/>
        </w:rPr>
        <w:t>TBoMS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7"/>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7"/>
        <w:numPr>
          <w:ilvl w:val="2"/>
          <w:numId w:val="7"/>
        </w:numPr>
        <w:jc w:val="both"/>
        <w:rPr>
          <w:sz w:val="22"/>
          <w:lang w:val="en-US"/>
        </w:rPr>
      </w:pPr>
      <w:r>
        <w:rPr>
          <w:sz w:val="22"/>
          <w:lang w:val="en-US"/>
        </w:rPr>
        <w:lastRenderedPageBreak/>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t>Transmission power determination</w:t>
      </w:r>
    </w:p>
    <w:p w14:paraId="49D91E49" w14:textId="77777777" w:rsidR="00166956" w:rsidRDefault="008B7C25">
      <w:pPr>
        <w:pStyle w:val="af7"/>
        <w:numPr>
          <w:ilvl w:val="2"/>
          <w:numId w:val="7"/>
        </w:numPr>
        <w:jc w:val="both"/>
        <w:rPr>
          <w:sz w:val="22"/>
          <w:lang w:val="en-US"/>
        </w:rPr>
      </w:pPr>
      <w:r>
        <w:rPr>
          <w:sz w:val="22"/>
          <w:lang w:val="en-US"/>
        </w:rPr>
        <w:t>Special TBS values for TBoMS</w:t>
      </w:r>
    </w:p>
    <w:p w14:paraId="296BA8CB" w14:textId="77777777" w:rsidR="00166956" w:rsidRDefault="008B7C25">
      <w:pPr>
        <w:pStyle w:val="af7"/>
        <w:numPr>
          <w:ilvl w:val="2"/>
          <w:numId w:val="7"/>
        </w:numPr>
        <w:jc w:val="both"/>
        <w:rPr>
          <w:sz w:val="22"/>
          <w:lang w:val="en-US"/>
        </w:rPr>
      </w:pPr>
      <w:r>
        <w:rPr>
          <w:sz w:val="22"/>
          <w:lang w:val="en-US"/>
        </w:rPr>
        <w:t>Rank of TBoMS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Interleaved TBoMS transmissions</w:t>
      </w:r>
    </w:p>
    <w:p w14:paraId="173E31A2" w14:textId="77777777" w:rsidR="00166956" w:rsidRDefault="008B7C25">
      <w:pPr>
        <w:pStyle w:val="af7"/>
        <w:numPr>
          <w:ilvl w:val="2"/>
          <w:numId w:val="7"/>
        </w:numPr>
        <w:jc w:val="both"/>
        <w:rPr>
          <w:sz w:val="22"/>
          <w:lang w:val="en-US"/>
        </w:rPr>
      </w:pPr>
      <w:r>
        <w:rPr>
          <w:sz w:val="22"/>
          <w:lang w:val="en-US"/>
        </w:rPr>
        <w:t>Application of DM-RS bundling to TBoMS</w:t>
      </w:r>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Single TBoMS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Huawei/HiSi</w:t>
      </w:r>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Huawei/HiSi</w:t>
      </w:r>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r>
        <w:rPr>
          <w:sz w:val="22"/>
          <w:szCs w:val="22"/>
          <w:lang w:val="en-US"/>
        </w:rPr>
        <w:t>InterDigital</w:t>
      </w:r>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Huawei/HiSi</w:t>
      </w:r>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RxK=0.9&lt;1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Therefore, this RxK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宋体"/>
          <w:sz w:val="22"/>
          <w:szCs w:val="22"/>
        </w:rPr>
      </w:pPr>
      <w:r w:rsidRPr="000242F8">
        <w:rPr>
          <w:rFonts w:eastAsia="宋体"/>
          <w:sz w:val="22"/>
          <w:szCs w:val="22"/>
        </w:rPr>
        <w:t>Thank you all for your comments</w:t>
      </w:r>
      <w:r>
        <w:rPr>
          <w:rFonts w:eastAsia="宋体"/>
          <w:sz w:val="22"/>
          <w:szCs w:val="22"/>
        </w:rPr>
        <w:t xml:space="preserve">. Unfortunately, we are not advancing </w:t>
      </w:r>
      <w:r w:rsidR="00637501">
        <w:rPr>
          <w:rFonts w:eastAsia="宋体"/>
          <w:sz w:val="22"/>
          <w:szCs w:val="22"/>
        </w:rPr>
        <w:t>much,</w:t>
      </w:r>
      <w:r>
        <w:rPr>
          <w:rFonts w:eastAsia="宋体"/>
          <w:sz w:val="22"/>
          <w:szCs w:val="22"/>
        </w:rPr>
        <w:t xml:space="preserve"> and this </w:t>
      </w:r>
      <w:r w:rsidR="00F2162E">
        <w:rPr>
          <w:rFonts w:eastAsia="宋体"/>
          <w:sz w:val="22"/>
          <w:szCs w:val="22"/>
        </w:rPr>
        <w:t xml:space="preserve">is </w:t>
      </w:r>
      <w:r>
        <w:rPr>
          <w:rFonts w:eastAsia="宋体"/>
          <w:sz w:val="22"/>
          <w:szCs w:val="22"/>
        </w:rPr>
        <w:t xml:space="preserve">really not compatible with the needs we have as a group for this meeting. </w:t>
      </w:r>
      <w:r w:rsidR="00EF2000">
        <w:rPr>
          <w:rFonts w:eastAsia="宋体"/>
          <w:sz w:val="22"/>
          <w:szCs w:val="22"/>
        </w:rPr>
        <w:t>The approach which gathered the majority of preferences is Alt. 3.</w:t>
      </w:r>
    </w:p>
    <w:p w14:paraId="615059D3" w14:textId="03DCEBAB" w:rsidR="00166956" w:rsidRDefault="000242F8" w:rsidP="0026311B">
      <w:pPr>
        <w:jc w:val="both"/>
        <w:rPr>
          <w:rFonts w:eastAsia="宋体"/>
          <w:sz w:val="22"/>
          <w:szCs w:val="22"/>
        </w:rPr>
      </w:pPr>
      <w:r>
        <w:rPr>
          <w:rFonts w:eastAsia="宋体"/>
          <w:sz w:val="22"/>
          <w:szCs w:val="22"/>
        </w:rPr>
        <w:t xml:space="preserve">Let me be more specific. </w:t>
      </w:r>
      <w:r w:rsidRPr="000242F8">
        <w:rPr>
          <w:rFonts w:eastAsia="宋体"/>
          <w:b/>
          <w:bCs/>
          <w:sz w:val="22"/>
          <w:szCs w:val="22"/>
        </w:rPr>
        <w:t>We cannot afford deciding on this aspect</w:t>
      </w:r>
      <w:r>
        <w:rPr>
          <w:rFonts w:eastAsia="宋体"/>
          <w:b/>
          <w:bCs/>
          <w:sz w:val="22"/>
          <w:szCs w:val="22"/>
        </w:rPr>
        <w:t>,</w:t>
      </w:r>
      <w:r w:rsidRPr="000242F8">
        <w:rPr>
          <w:rFonts w:eastAsia="宋体"/>
          <w:b/>
          <w:bCs/>
          <w:sz w:val="22"/>
          <w:szCs w:val="22"/>
        </w:rPr>
        <w:t xml:space="preserve"> and on the solution </w:t>
      </w:r>
      <w:r w:rsidR="00AB1063">
        <w:rPr>
          <w:rFonts w:eastAsia="宋体"/>
          <w:b/>
          <w:bCs/>
          <w:sz w:val="22"/>
          <w:szCs w:val="22"/>
        </w:rPr>
        <w:t xml:space="preserve">that </w:t>
      </w:r>
      <w:r w:rsidRPr="000242F8">
        <w:rPr>
          <w:rFonts w:eastAsia="宋体"/>
          <w:b/>
          <w:bCs/>
          <w:sz w:val="22"/>
          <w:szCs w:val="22"/>
        </w:rPr>
        <w:t>we’ll retain for rate-matching</w:t>
      </w:r>
      <w:r>
        <w:rPr>
          <w:rFonts w:eastAsia="宋体"/>
          <w:b/>
          <w:bCs/>
          <w:sz w:val="22"/>
          <w:szCs w:val="22"/>
        </w:rPr>
        <w:t>,</w:t>
      </w:r>
      <w:r w:rsidRPr="000242F8">
        <w:rPr>
          <w:rFonts w:eastAsia="宋体"/>
          <w:b/>
          <w:bCs/>
          <w:sz w:val="22"/>
          <w:szCs w:val="22"/>
        </w:rPr>
        <w:t xml:space="preserve"> on August 27</w:t>
      </w:r>
      <w:r w:rsidRPr="000242F8">
        <w:rPr>
          <w:rFonts w:eastAsia="宋体"/>
          <w:b/>
          <w:bCs/>
          <w:sz w:val="22"/>
          <w:szCs w:val="22"/>
          <w:vertAlign w:val="superscript"/>
        </w:rPr>
        <w:t>th</w:t>
      </w:r>
      <w:r>
        <w:rPr>
          <w:rFonts w:eastAsia="宋体"/>
          <w:sz w:val="22"/>
          <w:szCs w:val="22"/>
        </w:rPr>
        <w:t xml:space="preserve">. We must decide before that, since we need to address discussions in </w:t>
      </w:r>
      <w:r w:rsidR="005E4987">
        <w:rPr>
          <w:rFonts w:eastAsia="宋体"/>
          <w:sz w:val="22"/>
          <w:szCs w:val="22"/>
        </w:rPr>
        <w:t xml:space="preserve">sections </w:t>
      </w:r>
      <w:r>
        <w:rPr>
          <w:rFonts w:eastAsia="宋体"/>
          <w:sz w:val="22"/>
          <w:szCs w:val="22"/>
        </w:rPr>
        <w:t xml:space="preserve">2.2.2 to 2.2.5 as well, and possibly close them. This needs to be clear to everyone. </w:t>
      </w:r>
    </w:p>
    <w:p w14:paraId="77F831DF" w14:textId="23AEF700" w:rsidR="000242F8" w:rsidRDefault="00502F06" w:rsidP="0026311B">
      <w:pPr>
        <w:jc w:val="both"/>
        <w:rPr>
          <w:rFonts w:eastAsia="宋体"/>
          <w:sz w:val="22"/>
          <w:szCs w:val="22"/>
        </w:rPr>
      </w:pPr>
      <w:r>
        <w:rPr>
          <w:rFonts w:eastAsia="宋体"/>
          <w:sz w:val="22"/>
          <w:szCs w:val="22"/>
        </w:rPr>
        <w:t>S</w:t>
      </w:r>
      <w:r w:rsidR="000242F8">
        <w:rPr>
          <w:rFonts w:eastAsia="宋体"/>
          <w:sz w:val="22"/>
          <w:szCs w:val="22"/>
        </w:rPr>
        <w:t xml:space="preserve">everal comments were made offering alternative approaches to the ones I outlined in </w:t>
      </w:r>
      <w:r w:rsidR="000242F8" w:rsidRPr="000242F8">
        <w:rPr>
          <w:rFonts w:eastAsia="宋体"/>
          <w:b/>
          <w:bCs/>
          <w:sz w:val="22"/>
          <w:szCs w:val="22"/>
          <w:highlight w:val="yellow"/>
        </w:rPr>
        <w:t>2.1.2-Q6</w:t>
      </w:r>
      <w:r w:rsidR="000242F8" w:rsidRPr="000242F8">
        <w:rPr>
          <w:rFonts w:eastAsia="宋体"/>
          <w:sz w:val="22"/>
          <w:szCs w:val="22"/>
        </w:rPr>
        <w:t>.</w:t>
      </w:r>
      <w:r w:rsidR="000242F8">
        <w:rPr>
          <w:rFonts w:eastAsia="宋体"/>
          <w:b/>
          <w:bCs/>
          <w:sz w:val="22"/>
          <w:szCs w:val="22"/>
        </w:rPr>
        <w:t xml:space="preserve"> </w:t>
      </w:r>
      <w:r w:rsidR="000242F8" w:rsidRPr="000242F8">
        <w:rPr>
          <w:rFonts w:eastAsia="宋体"/>
          <w:sz w:val="22"/>
          <w:szCs w:val="22"/>
        </w:rPr>
        <w:t>Before proceeding to counting hands</w:t>
      </w:r>
      <w:r w:rsidR="006A1686">
        <w:rPr>
          <w:rFonts w:eastAsia="宋体"/>
          <w:sz w:val="22"/>
          <w:szCs w:val="22"/>
        </w:rPr>
        <w:t>,</w:t>
      </w:r>
      <w:r w:rsidR="000242F8">
        <w:rPr>
          <w:rFonts w:eastAsia="宋体"/>
          <w:sz w:val="22"/>
          <w:szCs w:val="22"/>
        </w:rPr>
        <w:t xml:space="preserve"> I’d like to see if we can try building on those comments to identify a middle ground which could be in the “</w:t>
      </w:r>
      <w:r w:rsidR="000242F8" w:rsidRPr="000242F8">
        <w:rPr>
          <w:rFonts w:eastAsia="宋体"/>
          <w:sz w:val="22"/>
          <w:szCs w:val="22"/>
          <w:u w:val="single"/>
        </w:rPr>
        <w:t>can live with</w:t>
      </w:r>
      <w:r w:rsidR="000242F8">
        <w:rPr>
          <w:rFonts w:eastAsia="宋体"/>
          <w:sz w:val="22"/>
          <w:szCs w:val="22"/>
        </w:rPr>
        <w:t>” zone of most</w:t>
      </w:r>
      <w:r w:rsidR="00812149">
        <w:rPr>
          <w:rFonts w:eastAsia="宋体"/>
          <w:sz w:val="22"/>
          <w:szCs w:val="22"/>
        </w:rPr>
        <w:t xml:space="preserve">, </w:t>
      </w:r>
      <w:r w:rsidR="00FE2D68">
        <w:rPr>
          <w:rFonts w:eastAsia="宋体"/>
          <w:sz w:val="22"/>
          <w:szCs w:val="22"/>
        </w:rPr>
        <w:t>hopefully</w:t>
      </w:r>
      <w:r w:rsidR="00812149">
        <w:rPr>
          <w:rFonts w:eastAsia="宋体"/>
          <w:sz w:val="22"/>
          <w:szCs w:val="22"/>
        </w:rPr>
        <w:t xml:space="preserve"> all,</w:t>
      </w:r>
      <w:r w:rsidR="000242F8">
        <w:rPr>
          <w:rFonts w:eastAsia="宋体"/>
          <w:sz w:val="22"/>
          <w:szCs w:val="22"/>
        </w:rPr>
        <w:t xml:space="preserve"> companies. From where I stand, different companies’ comments highlight the following important elements (important for a </w:t>
      </w:r>
      <w:r w:rsidR="00195D0B">
        <w:rPr>
          <w:rFonts w:eastAsia="宋体"/>
          <w:sz w:val="22"/>
          <w:szCs w:val="22"/>
        </w:rPr>
        <w:t xml:space="preserve">non-negligible </w:t>
      </w:r>
      <w:r w:rsidR="000242F8">
        <w:rPr>
          <w:rFonts w:eastAsia="宋体"/>
          <w:sz w:val="22"/>
          <w:szCs w:val="22"/>
        </w:rPr>
        <w:t>sub-set of companies</w:t>
      </w:r>
      <w:r w:rsidR="00195D0B">
        <w:rPr>
          <w:rFonts w:eastAsia="宋体"/>
          <w:sz w:val="22"/>
          <w:szCs w:val="22"/>
        </w:rPr>
        <w:t>, at least</w:t>
      </w:r>
      <w:r w:rsidR="000242F8">
        <w:rPr>
          <w:rFonts w:eastAsia="宋体"/>
          <w:sz w:val="22"/>
          <w:szCs w:val="22"/>
        </w:rPr>
        <w:t>):</w:t>
      </w:r>
    </w:p>
    <w:p w14:paraId="64A68F7F" w14:textId="2CEFD1A8" w:rsidR="000242F8" w:rsidRDefault="00F15FDB" w:rsidP="0026311B">
      <w:pPr>
        <w:pStyle w:val="af7"/>
        <w:numPr>
          <w:ilvl w:val="0"/>
          <w:numId w:val="123"/>
        </w:numPr>
        <w:jc w:val="both"/>
        <w:rPr>
          <w:rFonts w:eastAsia="宋体"/>
          <w:sz w:val="22"/>
          <w:szCs w:val="22"/>
        </w:rPr>
      </w:pPr>
      <w:r>
        <w:rPr>
          <w:rFonts w:eastAsia="宋体"/>
          <w:sz w:val="22"/>
          <w:szCs w:val="22"/>
        </w:rPr>
        <w:t xml:space="preserve">Refreshing RVs may provide several benefits. </w:t>
      </w:r>
      <w:r w:rsidRPr="00F15FDB">
        <w:rPr>
          <w:rFonts w:eastAsia="宋体"/>
          <w:sz w:val="22"/>
          <w:szCs w:val="22"/>
        </w:rPr>
        <w:t xml:space="preserve">RV cycling lets </w:t>
      </w:r>
      <w:r>
        <w:rPr>
          <w:rFonts w:eastAsia="宋体"/>
          <w:sz w:val="22"/>
          <w:szCs w:val="22"/>
        </w:rPr>
        <w:t xml:space="preserve">gNB </w:t>
      </w:r>
      <w:r w:rsidRPr="00F15FDB">
        <w:rPr>
          <w:rFonts w:eastAsia="宋体"/>
          <w:sz w:val="22"/>
          <w:szCs w:val="22"/>
        </w:rPr>
        <w:t>get back to systematic bits more often in case there are intervening cancellations.</w:t>
      </w:r>
      <w:r>
        <w:rPr>
          <w:rFonts w:eastAsia="宋体"/>
          <w:sz w:val="22"/>
          <w:szCs w:val="22"/>
        </w:rPr>
        <w:t xml:space="preserve"> This can also simplify application of frequency hopping to TBoMS, given that it could increase the number of systematic bits transmitted per hop. </w:t>
      </w:r>
      <w:r w:rsidRPr="00F15FDB">
        <w:rPr>
          <w:rFonts w:eastAsia="宋体"/>
          <w:sz w:val="22"/>
          <w:szCs w:val="22"/>
        </w:rPr>
        <w:t xml:space="preserve">Many companies have </w:t>
      </w:r>
      <w:r>
        <w:rPr>
          <w:rFonts w:eastAsia="宋体"/>
          <w:sz w:val="22"/>
          <w:szCs w:val="22"/>
        </w:rPr>
        <w:t xml:space="preserve">also </w:t>
      </w:r>
      <w:r w:rsidRPr="00F15FDB">
        <w:rPr>
          <w:rFonts w:eastAsia="宋体"/>
          <w:sz w:val="22"/>
          <w:szCs w:val="22"/>
        </w:rPr>
        <w:t>indicated support for repetitions, suggesting an openness to RV cycling.</w:t>
      </w:r>
    </w:p>
    <w:p w14:paraId="47F10841" w14:textId="77777777" w:rsidR="006A1686" w:rsidRPr="006A1686" w:rsidRDefault="006A1686" w:rsidP="0026311B">
      <w:pPr>
        <w:pStyle w:val="af7"/>
        <w:jc w:val="both"/>
        <w:rPr>
          <w:rFonts w:eastAsia="宋体"/>
          <w:sz w:val="22"/>
          <w:szCs w:val="22"/>
        </w:rPr>
      </w:pPr>
    </w:p>
    <w:p w14:paraId="074AEC4E" w14:textId="6DD3EDE2" w:rsidR="006A1686" w:rsidRPr="006A1686" w:rsidRDefault="006A1686" w:rsidP="0026311B">
      <w:pPr>
        <w:pStyle w:val="af7"/>
        <w:numPr>
          <w:ilvl w:val="0"/>
          <w:numId w:val="123"/>
        </w:numPr>
        <w:jc w:val="both"/>
        <w:rPr>
          <w:rFonts w:eastAsia="宋体"/>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af7"/>
        <w:jc w:val="both"/>
        <w:rPr>
          <w:rFonts w:eastAsia="宋体"/>
          <w:sz w:val="22"/>
          <w:szCs w:val="22"/>
        </w:rPr>
      </w:pPr>
    </w:p>
    <w:p w14:paraId="74455854" w14:textId="588EDB75" w:rsidR="00F15FDB" w:rsidRPr="00F15FDB" w:rsidRDefault="00F15FDB" w:rsidP="0026311B">
      <w:pPr>
        <w:pStyle w:val="af7"/>
        <w:numPr>
          <w:ilvl w:val="0"/>
          <w:numId w:val="123"/>
        </w:numPr>
        <w:jc w:val="both"/>
        <w:rPr>
          <w:rFonts w:eastAsia="宋体"/>
          <w:sz w:val="22"/>
          <w:szCs w:val="22"/>
        </w:rPr>
      </w:pPr>
      <w:r w:rsidRPr="00F15FDB">
        <w:rPr>
          <w:rFonts w:eastAsia="宋体"/>
          <w:sz w:val="22"/>
          <w:szCs w:val="22"/>
        </w:rPr>
        <w:t>R x K &gt; 1 can be a problematic case if we go with Option 4</w:t>
      </w:r>
      <w:r w:rsidR="00E45AE1">
        <w:rPr>
          <w:rFonts w:eastAsia="宋体"/>
          <w:sz w:val="22"/>
          <w:szCs w:val="22"/>
        </w:rPr>
        <w:t>, i.e., Alt. 1 above,</w:t>
      </w:r>
      <w:r w:rsidRPr="00F15FDB">
        <w:rPr>
          <w:rFonts w:eastAsia="宋体"/>
          <w:sz w:val="22"/>
          <w:szCs w:val="22"/>
        </w:rPr>
        <w:t xml:space="preserve"> and RVs are refreshed too often. The “too often” part depends on how the TBoMS is configured, e.g., how many slots are allocated, how large the TBS is, MC</w:t>
      </w:r>
      <w:r w:rsidR="00E45AE1">
        <w:rPr>
          <w:rFonts w:eastAsia="宋体"/>
          <w:sz w:val="22"/>
          <w:szCs w:val="22"/>
        </w:rPr>
        <w:t>S</w:t>
      </w:r>
      <w:r w:rsidRPr="00F15FDB">
        <w:rPr>
          <w:rFonts w:eastAsia="宋体"/>
          <w:sz w:val="22"/>
          <w:szCs w:val="22"/>
        </w:rPr>
        <w:t xml:space="preserve"> and so on. </w:t>
      </w:r>
    </w:p>
    <w:p w14:paraId="06BE4406" w14:textId="77777777" w:rsidR="00F15FDB" w:rsidRPr="00F15FDB" w:rsidRDefault="00F15FDB" w:rsidP="0026311B">
      <w:pPr>
        <w:pStyle w:val="af7"/>
        <w:jc w:val="both"/>
        <w:rPr>
          <w:rFonts w:eastAsia="宋体"/>
          <w:sz w:val="22"/>
          <w:szCs w:val="22"/>
        </w:rPr>
      </w:pPr>
    </w:p>
    <w:p w14:paraId="239D3A92" w14:textId="42CC57F1" w:rsidR="00F15FDB" w:rsidRPr="00F15FDB" w:rsidRDefault="00F15FDB" w:rsidP="0026311B">
      <w:pPr>
        <w:pStyle w:val="af7"/>
        <w:numPr>
          <w:ilvl w:val="0"/>
          <w:numId w:val="123"/>
        </w:numPr>
        <w:jc w:val="both"/>
        <w:rPr>
          <w:rFonts w:eastAsia="宋体"/>
          <w:sz w:val="22"/>
          <w:szCs w:val="22"/>
        </w:rPr>
      </w:pPr>
      <w:r w:rsidRPr="00F15FDB">
        <w:rPr>
          <w:rFonts w:eastAsia="宋体"/>
          <w:sz w:val="22"/>
          <w:szCs w:val="22"/>
        </w:rPr>
        <w:t xml:space="preserve">Keeping TBoMS more generally applicable </w:t>
      </w:r>
      <w:r w:rsidR="00FB498B">
        <w:rPr>
          <w:rFonts w:eastAsia="宋体"/>
          <w:sz w:val="22"/>
          <w:szCs w:val="22"/>
        </w:rPr>
        <w:t xml:space="preserve">in terms of number of supported TBS values </w:t>
      </w:r>
      <w:r w:rsidRPr="00F15FDB">
        <w:rPr>
          <w:rFonts w:eastAsia="宋体"/>
          <w:sz w:val="22"/>
          <w:szCs w:val="22"/>
        </w:rPr>
        <w:t xml:space="preserve">seems appealing to many companies. </w:t>
      </w:r>
    </w:p>
    <w:p w14:paraId="73051BF8" w14:textId="77777777" w:rsidR="00F15FDB" w:rsidRPr="00F15FDB" w:rsidRDefault="00F15FDB" w:rsidP="0026311B">
      <w:pPr>
        <w:pStyle w:val="af7"/>
        <w:jc w:val="both"/>
        <w:rPr>
          <w:rFonts w:eastAsia="宋体"/>
          <w:sz w:val="22"/>
          <w:szCs w:val="22"/>
        </w:rPr>
      </w:pPr>
    </w:p>
    <w:p w14:paraId="3FD2A9DA" w14:textId="5A9FE315" w:rsidR="00F15FDB" w:rsidRPr="00F15FDB" w:rsidRDefault="00F15FDB" w:rsidP="0026311B">
      <w:pPr>
        <w:pStyle w:val="af7"/>
        <w:numPr>
          <w:ilvl w:val="0"/>
          <w:numId w:val="123"/>
        </w:numPr>
        <w:jc w:val="both"/>
        <w:rPr>
          <w:rFonts w:eastAsia="宋体"/>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af7"/>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af7"/>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af7"/>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af7"/>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af7"/>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af7"/>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af7"/>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af7"/>
        <w:ind w:left="360"/>
        <w:rPr>
          <w:sz w:val="22"/>
          <w:szCs w:val="22"/>
        </w:rPr>
      </w:pPr>
    </w:p>
    <w:p w14:paraId="1C416184" w14:textId="5B0EC798" w:rsidR="00507091" w:rsidRPr="0021541C" w:rsidRDefault="0026311B" w:rsidP="004A449E">
      <w:pPr>
        <w:pStyle w:val="af7"/>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af7"/>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af7"/>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af7"/>
        <w:ind w:left="360"/>
        <w:rPr>
          <w:sz w:val="22"/>
          <w:szCs w:val="22"/>
        </w:rPr>
      </w:pPr>
    </w:p>
    <w:p w14:paraId="5B236BDB" w14:textId="70AFB92A" w:rsidR="00507091" w:rsidRPr="00507091" w:rsidRDefault="00507091" w:rsidP="004A449E">
      <w:pPr>
        <w:pStyle w:val="af7"/>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af7"/>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af7"/>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af7"/>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w:t>
      </w:r>
      <w:proofErr w:type="gramStart"/>
      <w:r w:rsidR="00507091">
        <w:rPr>
          <w:rFonts w:eastAsia="Times New Roman"/>
          <w:sz w:val="22"/>
          <w:szCs w:val="22"/>
          <w:lang w:val="en-US"/>
        </w:rPr>
        <w:t>This</w:t>
      </w:r>
      <w:proofErr w:type="gramEnd"/>
      <w:r w:rsidR="00507091">
        <w:rPr>
          <w:rFonts w:eastAsia="Times New Roman"/>
          <w:sz w:val="22"/>
          <w:szCs w:val="22"/>
          <w:lang w:val="en-US"/>
        </w:rPr>
        <w:t xml:space="preserve">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af7"/>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af7"/>
        <w:rPr>
          <w:sz w:val="22"/>
          <w:szCs w:val="22"/>
          <w:u w:val="single"/>
          <w:lang w:val="en-US"/>
        </w:rPr>
      </w:pPr>
    </w:p>
    <w:p w14:paraId="5FB4ACD0" w14:textId="0DFB9F44" w:rsidR="004A449E" w:rsidRPr="004A449E" w:rsidRDefault="004A449E" w:rsidP="004A449E">
      <w:pPr>
        <w:pStyle w:val="af7"/>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81"/>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157D8C8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would be used only to scale the TBS. The fact that setting K=N gives you Alt. 3 and K&lt;N gives Alt. 4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rFonts w:hint="eastAsia"/>
                <w:lang w:eastAsia="zh-CN"/>
              </w:rPr>
            </w:pPr>
            <w:r>
              <w:rPr>
                <w:rFonts w:hint="eastAsia"/>
                <w:lang w:eastAsia="zh-CN"/>
              </w:rPr>
              <w:t>Thanks for the effort. By reading the new design of Alt 4, it seems it is supporting multi RV, in which single RV can be a special case</w:t>
            </w:r>
            <w:r>
              <w:rPr>
                <w:rFonts w:hint="eastAsia"/>
                <w:lang w:eastAsia="zh-CN"/>
              </w:rPr>
              <w:t xml:space="preserve"> (by proper configuration/indication of the parameters)</w:t>
            </w:r>
            <w:r>
              <w:rPr>
                <w:rFonts w:hint="eastAsia"/>
                <w:lang w:eastAsia="zh-CN"/>
              </w:rPr>
              <w:t>.</w:t>
            </w:r>
            <w:r>
              <w:rPr>
                <w:rFonts w:hint="eastAsia"/>
                <w:lang w:eastAsia="zh-CN"/>
              </w:rPr>
              <w:t xml:space="preserve"> </w:t>
            </w:r>
          </w:p>
          <w:p w14:paraId="3DC9DA33" w14:textId="254F4102" w:rsidR="001B6F18" w:rsidRDefault="001B6F18" w:rsidP="001B6F18">
            <w:pPr>
              <w:jc w:val="both"/>
            </w:pPr>
            <w:r>
              <w:rPr>
                <w:rFonts w:hint="eastAsia"/>
                <w:lang w:eastAsia="zh-CN"/>
              </w:rPr>
              <w:t>Though Alt 4 seems including both Alt 1 and Alt 3, o</w:t>
            </w:r>
            <w:r>
              <w:rPr>
                <w:rFonts w:hint="eastAsia"/>
                <w:lang w:eastAsia="zh-CN"/>
              </w:rPr>
              <w:t xml:space="preserve">ur </w:t>
            </w:r>
            <w:r>
              <w:rPr>
                <w:lang w:eastAsia="zh-CN"/>
              </w:rPr>
              <w:t>concern</w:t>
            </w:r>
            <w:r>
              <w:rPr>
                <w:rFonts w:hint="eastAsia"/>
                <w:lang w:eastAsia="zh-CN"/>
              </w:rPr>
              <w:t xml:space="preserve"> is, if Alt 4 is adopted by spec, the NW and the UE may </w:t>
            </w:r>
            <w:r>
              <w:rPr>
                <w:rFonts w:hint="eastAsia"/>
                <w:lang w:eastAsia="zh-CN"/>
              </w:rPr>
              <w:t xml:space="preserve">still </w:t>
            </w:r>
            <w:r>
              <w:rPr>
                <w:rFonts w:hint="eastAsia"/>
                <w:lang w:eastAsia="zh-CN"/>
              </w:rPr>
              <w:t>have to implement the corresponding mechanisms of both Option 3 and Option 4 at the same time</w:t>
            </w:r>
            <w:r>
              <w:rPr>
                <w:rFonts w:hint="eastAsia"/>
                <w:lang w:eastAsia="zh-CN"/>
              </w:rPr>
              <w:t xml:space="preserve"> actually</w:t>
            </w:r>
            <w:r>
              <w:rPr>
                <w:rFonts w:hint="eastAsia"/>
                <w:lang w:eastAsia="zh-CN"/>
              </w:rPr>
              <w:t>. This seems not reducing the complexity.</w:t>
            </w:r>
          </w:p>
        </w:tc>
      </w:tr>
      <w:tr w:rsidR="00EF2000" w14:paraId="5D5A2071" w14:textId="77777777" w:rsidTr="00EF2000">
        <w:tc>
          <w:tcPr>
            <w:tcW w:w="2173" w:type="dxa"/>
          </w:tcPr>
          <w:p w14:paraId="28A3DADF" w14:textId="7C86D5EB" w:rsidR="00EF2000" w:rsidRDefault="00EF2000" w:rsidP="00EF2000">
            <w:pPr>
              <w:jc w:val="both"/>
            </w:pPr>
          </w:p>
        </w:tc>
        <w:tc>
          <w:tcPr>
            <w:tcW w:w="7450" w:type="dxa"/>
          </w:tcPr>
          <w:p w14:paraId="5A7F367C" w14:textId="216360D7" w:rsidR="00EF2000" w:rsidRDefault="00EF2000" w:rsidP="00EF2000">
            <w:pPr>
              <w:jc w:val="both"/>
            </w:pPr>
          </w:p>
        </w:tc>
      </w:tr>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3"/>
        <w:numPr>
          <w:ilvl w:val="2"/>
          <w:numId w:val="4"/>
        </w:numPr>
        <w:jc w:val="both"/>
      </w:pPr>
      <w:bookmarkStart w:id="2" w:name="_GoBack"/>
      <w:bookmarkEnd w:id="2"/>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lastRenderedPageBreak/>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w:t>
            </w:r>
            <w:proofErr w:type="gramStart"/>
            <w:r>
              <w:t xml:space="preserve">,  </w:t>
            </w:r>
            <w:r>
              <w:lastRenderedPageBreak/>
              <w:t>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7"/>
              <w:numPr>
                <w:ilvl w:val="0"/>
                <w:numId w:val="24"/>
              </w:numPr>
              <w:ind w:left="313"/>
              <w:jc w:val="both"/>
            </w:pPr>
            <w:r>
              <w:t xml:space="preserve">The interleaver sizes are the same across </w:t>
            </w:r>
            <w:r>
              <w:lastRenderedPageBreak/>
              <w:t>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w:t>
            </w:r>
            <w:r>
              <w:rPr>
                <w:rFonts w:hint="eastAsia"/>
                <w:lang w:eastAsia="zh-CN"/>
              </w:rPr>
              <w:lastRenderedPageBreak/>
              <w:t>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 xml:space="preserve">May need to define TOT, and </w:t>
            </w:r>
            <w:r>
              <w:rPr>
                <w:rFonts w:hint="eastAsia"/>
                <w:lang w:eastAsia="zh-CN"/>
              </w:rPr>
              <w:lastRenderedPageBreak/>
              <w:t>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lastRenderedPageBreak/>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7"/>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7"/>
              <w:numPr>
                <w:ilvl w:val="0"/>
                <w:numId w:val="24"/>
              </w:numPr>
              <w:ind w:left="313"/>
              <w:jc w:val="both"/>
            </w:pPr>
            <w:r>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w:t>
            </w:r>
            <w:r>
              <w:rPr>
                <w:rFonts w:hint="eastAsia"/>
                <w:lang w:eastAsia="zh-CN"/>
              </w:rPr>
              <w:lastRenderedPageBreak/>
              <w:t xml:space="preserve">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lastRenderedPageBreak/>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lastRenderedPageBreak/>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lastRenderedPageBreak/>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af7"/>
              <w:numPr>
                <w:ilvl w:val="0"/>
                <w:numId w:val="25"/>
              </w:numPr>
              <w:ind w:left="333"/>
              <w:jc w:val="both"/>
            </w:pPr>
            <w:r>
              <w:t xml:space="preserve">Concern on different interleaver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 xml:space="preserve">Apple, LG (if Option 4 (multiple RVs) is applied), vivo, CMCC, Huawei, HiSilicon, </w:t>
            </w:r>
            <w:r>
              <w:lastRenderedPageBreak/>
              <w:t>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lastRenderedPageBreak/>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lastRenderedPageBreak/>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The interleaver sizes are the same across slots as in Rel-15.</w:t>
            </w:r>
          </w:p>
          <w:p w14:paraId="0678EE34" w14:textId="77777777" w:rsidR="00166956" w:rsidRDefault="008B7C25">
            <w:pPr>
              <w:pStyle w:val="af7"/>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7"/>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7"/>
              <w:numPr>
                <w:ilvl w:val="0"/>
                <w:numId w:val="29"/>
              </w:numPr>
              <w:spacing w:after="100"/>
              <w:jc w:val="both"/>
            </w:pPr>
            <w:r>
              <w:rPr>
                <w:highlight w:val="yellow"/>
              </w:rPr>
              <w:t xml:space="preserve">Appropriate systematic bits interleaving depth and appropriate implementation </w:t>
            </w:r>
            <w:r>
              <w:rPr>
                <w:highlight w:val="yellow"/>
              </w:rPr>
              <w:lastRenderedPageBreak/>
              <w:t>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lastRenderedPageBreak/>
              <w:t>Over all allocated slots for TBoMS</w:t>
            </w:r>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interleaver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7"/>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7"/>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7"/>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7"/>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w:t>
            </w:r>
            <w:r>
              <w:rPr>
                <w:lang w:val="en-US" w:eastAsia="zh-CN"/>
              </w:rPr>
              <w:lastRenderedPageBreak/>
              <w:t>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lastRenderedPageBreak/>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downselect during RAN1 #106-e only one of these two options: </w:t>
            </w:r>
          </w:p>
          <w:p w14:paraId="03BD6531"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af7"/>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a8"/>
              <w:jc w:val="both"/>
            </w:pPr>
            <w:r>
              <w:lastRenderedPageBreak/>
              <w:t xml:space="preserve">Regarding QC’s comments, if CB segmentation happens, how can we ensure TBS determined by K slots generates K CBs? </w:t>
            </w:r>
          </w:p>
          <w:p w14:paraId="2ADD85B5" w14:textId="27C1AFAF" w:rsidR="000E66DA" w:rsidRPr="0049492C" w:rsidRDefault="000E66DA" w:rsidP="00D55B49">
            <w:pPr>
              <w:pStyle w:val="a8"/>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9.4pt" o:ole="">
                  <v:imagedata r:id="rId18" o:title=""/>
                </v:shape>
                <o:OLEObject Type="Embed" ProgID="Equation.3" ShapeID="_x0000_i1025" DrawAspect="Content" ObjectID="_1690917456" r:id="rId19"/>
              </w:object>
            </w:r>
            <w:r>
              <w:t xml:space="preserve">, where </w:t>
            </w:r>
            <w:r w:rsidRPr="002625EB">
              <w:rPr>
                <w:rFonts w:eastAsiaTheme="minorEastAsia"/>
                <w:position w:val="-6"/>
              </w:rPr>
              <w:object w:dxaOrig="260" w:dyaOrig="279" w14:anchorId="49240CD7">
                <v:shape id="_x0000_i1026" type="#_x0000_t75" style="width:10.95pt;height:10.95pt" o:ole="">
                  <v:imagedata r:id="rId20" o:title=""/>
                </v:shape>
                <o:OLEObject Type="Embed" ProgID="Equation.3" ShapeID="_x0000_i1026" DrawAspect="Content" ObjectID="_1690917457" r:id="rId21"/>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-th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w:t>
      </w:r>
      <w:r>
        <w:rPr>
          <w:sz w:val="22"/>
          <w:lang w:val="en-US"/>
        </w:rPr>
        <w:lastRenderedPageBreak/>
        <w:t>(DDD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lastRenderedPageBreak/>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 xml:space="preserve">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w:t>
            </w:r>
            <w:r>
              <w:lastRenderedPageBreak/>
              <w:t>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lastRenderedPageBreak/>
              <w:t>H</w:t>
            </w:r>
            <w:r>
              <w:rPr>
                <w:lang w:eastAsia="zh-CN"/>
              </w:rPr>
              <w:t>uawei, HiSilicon</w:t>
            </w:r>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lastRenderedPageBreak/>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w:t>
      </w:r>
      <w:r>
        <w:rPr>
          <w:sz w:val="22"/>
          <w:lang w:val="en-US"/>
        </w:rPr>
        <w:lastRenderedPageBreak/>
        <w:t>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503902285"/>
      <w:bookmarkStart w:id="4" w:name="_Toc415085486"/>
      <w:r>
        <w:t xml:space="preserve">     </w:t>
      </w:r>
    </w:p>
    <w:p w14:paraId="454EAA63" w14:textId="7CBD3996" w:rsidR="00166956" w:rsidRDefault="00D55B49">
      <w:pPr>
        <w:pStyle w:val="3"/>
        <w:numPr>
          <w:ilvl w:val="2"/>
          <w:numId w:val="4"/>
        </w:numPr>
        <w:jc w:val="both"/>
        <w:rPr>
          <w:lang w:val="en-US"/>
        </w:rPr>
      </w:pPr>
      <w:bookmarkStart w:id="5" w:name="_Hlk79682516"/>
      <w:r>
        <w:rPr>
          <w:color w:val="4BACC6" w:themeColor="accent5"/>
          <w:szCs w:val="28"/>
          <w:lang w:val="en-US"/>
        </w:rPr>
        <w:lastRenderedPageBreak/>
        <w:t>[PAUSED]</w:t>
      </w:r>
      <w:r>
        <w:rPr>
          <w:color w:val="FF0000"/>
          <w:szCs w:val="28"/>
          <w:lang w:val="en-US"/>
        </w:rPr>
        <w:t xml:space="preserve"> </w:t>
      </w:r>
      <w:r w:rsidR="008B7C25">
        <w:rPr>
          <w:lang w:val="en-US"/>
        </w:rPr>
        <w:t>How to count slots for transmitting TBoMS: available vs. consecutive</w:t>
      </w:r>
      <w:bookmarkEnd w:id="5"/>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w:t>
            </w:r>
            <w:r>
              <w:rPr>
                <w:rFonts w:hint="eastAsia"/>
                <w:lang w:eastAsia="zh-CN"/>
              </w:rPr>
              <w:lastRenderedPageBreak/>
              <w:t>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lastRenderedPageBreak/>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lastRenderedPageBreak/>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3"/>
        <w:numPr>
          <w:ilvl w:val="2"/>
          <w:numId w:val="4"/>
        </w:numPr>
        <w:jc w:val="both"/>
        <w:rPr>
          <w:lang w:val="en-US"/>
        </w:rPr>
      </w:pPr>
      <w:bookmarkStart w:id="6" w:name="_Hlk79682508"/>
      <w:r>
        <w:rPr>
          <w:color w:val="00B050"/>
        </w:rPr>
        <w:t>[OPEN]</w:t>
      </w:r>
      <w:r>
        <w:t xml:space="preserve"> </w:t>
      </w:r>
      <w:r w:rsidR="008B7C25">
        <w:rPr>
          <w:lang w:val="en-US"/>
        </w:rPr>
        <w:t>How to indicate the number of allocated slots for TBoMS</w:t>
      </w:r>
      <w:bookmarkEnd w:id="6"/>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lastRenderedPageBreak/>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 xml:space="preserve">Does the note preclude the possibility of TBoMS with repetition, where </w:t>
            </w:r>
            <w:r>
              <w:lastRenderedPageBreak/>
              <w:t>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lastRenderedPageBreak/>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lastRenderedPageBreak/>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lastRenderedPageBreak/>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77E5CE65" w:rsidR="002B5E04" w:rsidRDefault="002B5E04" w:rsidP="00796169">
            <w:pPr>
              <w:jc w:val="both"/>
            </w:pPr>
          </w:p>
        </w:tc>
        <w:tc>
          <w:tcPr>
            <w:tcW w:w="7450" w:type="dxa"/>
          </w:tcPr>
          <w:p w14:paraId="175B2E68" w14:textId="1CF180C5" w:rsidR="002B5E04" w:rsidRDefault="002B5E04" w:rsidP="00796169">
            <w:pPr>
              <w:jc w:val="both"/>
            </w:pP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w:t>
      </w:r>
      <w:r>
        <w:rPr>
          <w:sz w:val="22"/>
          <w:szCs w:val="22"/>
          <w:lang w:val="en-US"/>
        </w:rPr>
        <w:lastRenderedPageBreak/>
        <w:t xml:space="preserve">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lastRenderedPageBreak/>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lastRenderedPageBreak/>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lastRenderedPageBreak/>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agreed, the scheduler needs to schedule the same number of slots for retransmission. One may argue </w:t>
            </w:r>
            <w:r>
              <w:rPr>
                <w:rFonts w:eastAsia="MS Mincho"/>
                <w:lang w:eastAsia="ja-JP"/>
              </w:rPr>
              <w:lastRenderedPageBreak/>
              <w:t>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w:t>
            </w:r>
            <w:r>
              <w:lastRenderedPageBreak/>
              <w:t xml:space="preserve">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w:t>
            </w:r>
            <w:r>
              <w:rPr>
                <w:b/>
                <w:bCs/>
                <w:sz w:val="22"/>
                <w:szCs w:val="22"/>
                <w:highlight w:val="yellow"/>
                <w:lang w:val="en-US"/>
              </w:rPr>
              <w:lastRenderedPageBreak/>
              <w:t>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lastRenderedPageBreak/>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w:t>
      </w:r>
      <w:r>
        <w:rPr>
          <w:sz w:val="22"/>
          <w:szCs w:val="22"/>
        </w:rPr>
        <w:lastRenderedPageBreak/>
        <w:t xml:space="preserve">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lastRenderedPageBreak/>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7"/>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3"/>
    <w:bookmarkEnd w:id="4"/>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616A4C7C" w14:textId="77777777" w:rsidR="00166956" w:rsidRDefault="008B7C25">
      <w:pPr>
        <w:pStyle w:val="af7"/>
        <w:numPr>
          <w:ilvl w:val="0"/>
          <w:numId w:val="67"/>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lastRenderedPageBreak/>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2753C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lastRenderedPageBreak/>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2753C9">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lastRenderedPageBreak/>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a9"/>
              <w:spacing w:beforeLines="50" w:before="120" w:after="0"/>
              <w:rPr>
                <w:rFonts w:ascii="Times New Roman" w:eastAsia="宋体"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lastRenderedPageBreak/>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9"/>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lastRenderedPageBreak/>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r>
              <w:rPr>
                <w:rFonts w:ascii="Times New Roman" w:eastAsia="宋体" w:hAnsi="Times New Roman"/>
                <w:sz w:val="20"/>
                <w:szCs w:val="20"/>
              </w:rPr>
              <w:lastRenderedPageBreak/>
              <w:t>TBoMS used for determining S0 is the starting symbol of a TOT or a TBoMS.</w:t>
            </w:r>
          </w:p>
          <w:p w14:paraId="54C416DD"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DengXian"/>
                <w:i/>
              </w:rPr>
            </w:pPr>
            <w:r>
              <w:rPr>
                <w:rFonts w:eastAsia="DengXian"/>
                <w:i/>
              </w:rPr>
              <w:t xml:space="preserve"> </w:t>
            </w:r>
          </w:p>
          <w:p w14:paraId="5A820418" w14:textId="77777777" w:rsidR="00166956" w:rsidRDefault="008B7C25">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9"/>
              <w:spacing w:beforeLines="50" w:before="120"/>
              <w:rPr>
                <w:rFonts w:ascii="Times New Roman" w:eastAsia="DengXian" w:hAnsi="Times New Roman" w:cs="Times New Roman"/>
                <w:iCs/>
                <w:lang w:val="en-GB"/>
              </w:rPr>
            </w:pPr>
          </w:p>
          <w:p w14:paraId="2761D258" w14:textId="77777777" w:rsidR="00166956" w:rsidRDefault="008B7C25">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lastRenderedPageBreak/>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DengXian"/>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DengXian"/>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DengXian"/>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1"/>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2"/>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5AF34" w14:textId="77777777" w:rsidR="002753C9" w:rsidRDefault="002753C9">
      <w:pPr>
        <w:spacing w:after="0"/>
      </w:pPr>
      <w:r>
        <w:separator/>
      </w:r>
    </w:p>
  </w:endnote>
  <w:endnote w:type="continuationSeparator" w:id="0">
    <w:p w14:paraId="311FF9EC" w14:textId="77777777" w:rsidR="002753C9" w:rsidRDefault="002753C9">
      <w:pPr>
        <w:spacing w:after="0"/>
      </w:pPr>
      <w:r>
        <w:continuationSeparator/>
      </w:r>
    </w:p>
  </w:endnote>
  <w:endnote w:type="continuationNotice" w:id="1">
    <w:p w14:paraId="15B52C9D" w14:textId="77777777" w:rsidR="002753C9" w:rsidRDefault="002753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A719" w14:textId="77777777" w:rsidR="00C33FB4" w:rsidRDefault="00C33F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2817" w14:textId="77777777" w:rsidR="00C33FB4" w:rsidRDefault="00C33FB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10E8" w14:textId="77777777" w:rsidR="00C33FB4" w:rsidRDefault="00C33F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1E9FF" w14:textId="77777777" w:rsidR="002753C9" w:rsidRDefault="002753C9">
      <w:pPr>
        <w:spacing w:after="0"/>
      </w:pPr>
      <w:r>
        <w:separator/>
      </w:r>
    </w:p>
  </w:footnote>
  <w:footnote w:type="continuationSeparator" w:id="0">
    <w:p w14:paraId="41230452" w14:textId="77777777" w:rsidR="002753C9" w:rsidRDefault="002753C9">
      <w:pPr>
        <w:spacing w:after="0"/>
      </w:pPr>
      <w:r>
        <w:continuationSeparator/>
      </w:r>
    </w:p>
  </w:footnote>
  <w:footnote w:type="continuationNotice" w:id="1">
    <w:p w14:paraId="285553E3" w14:textId="77777777" w:rsidR="002753C9" w:rsidRDefault="002753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6886" w14:textId="77777777" w:rsidR="00C33FB4" w:rsidRDefault="00C33F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962C" w14:textId="77777777" w:rsidR="00C33FB4" w:rsidRDefault="00C33FB4">
    <w:pPr>
      <w:pStyle w:val="ac"/>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BC73" w14:textId="77777777" w:rsidR="00C33FB4" w:rsidRDefault="00C33F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BDF2424"/>
    <w:multiLevelType w:val="singleLevel"/>
    <w:tmpl w:val="0BDF2424"/>
    <w:lvl w:ilvl="0">
      <w:start w:val="1"/>
      <w:numFmt w:val="decimal"/>
      <w:suff w:val="space"/>
      <w:lvlText w:val="%1)"/>
      <w:lvlJc w:val="left"/>
    </w:lvl>
  </w:abstractNum>
  <w:abstractNum w:abstractNumId="14">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5">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8">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5">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2">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8">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5">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5">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1">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lvlOverride w:ilvl="0">
      <w:startOverride w:val="1"/>
    </w:lvlOverride>
  </w:num>
  <w:num w:numId="2">
    <w:abstractNumId w:val="83"/>
  </w:num>
  <w:num w:numId="3">
    <w:abstractNumId w:val="53"/>
  </w:num>
  <w:num w:numId="4">
    <w:abstractNumId w:val="23"/>
  </w:num>
  <w:num w:numId="5">
    <w:abstractNumId w:val="47"/>
  </w:num>
  <w:num w:numId="6">
    <w:abstractNumId w:val="124"/>
  </w:num>
  <w:num w:numId="7">
    <w:abstractNumId w:val="35"/>
  </w:num>
  <w:num w:numId="8">
    <w:abstractNumId w:val="46"/>
  </w:num>
  <w:num w:numId="9">
    <w:abstractNumId w:val="56"/>
  </w:num>
  <w:num w:numId="10">
    <w:abstractNumId w:val="116"/>
  </w:num>
  <w:num w:numId="11">
    <w:abstractNumId w:val="89"/>
  </w:num>
  <w:num w:numId="12">
    <w:abstractNumId w:val="42"/>
  </w:num>
  <w:num w:numId="13">
    <w:abstractNumId w:val="122"/>
  </w:num>
  <w:num w:numId="14">
    <w:abstractNumId w:val="11"/>
  </w:num>
  <w:num w:numId="15">
    <w:abstractNumId w:val="78"/>
  </w:num>
  <w:num w:numId="16">
    <w:abstractNumId w:val="118"/>
  </w:num>
  <w:num w:numId="17">
    <w:abstractNumId w:val="88"/>
  </w:num>
  <w:num w:numId="18">
    <w:abstractNumId w:val="120"/>
  </w:num>
  <w:num w:numId="19">
    <w:abstractNumId w:val="61"/>
  </w:num>
  <w:num w:numId="20">
    <w:abstractNumId w:val="91"/>
  </w:num>
  <w:num w:numId="21">
    <w:abstractNumId w:val="24"/>
  </w:num>
  <w:num w:numId="22">
    <w:abstractNumId w:val="10"/>
  </w:num>
  <w:num w:numId="23">
    <w:abstractNumId w:val="15"/>
  </w:num>
  <w:num w:numId="24">
    <w:abstractNumId w:val="92"/>
  </w:num>
  <w:num w:numId="25">
    <w:abstractNumId w:val="72"/>
  </w:num>
  <w:num w:numId="26">
    <w:abstractNumId w:val="62"/>
  </w:num>
  <w:num w:numId="27">
    <w:abstractNumId w:val="96"/>
  </w:num>
  <w:num w:numId="28">
    <w:abstractNumId w:val="126"/>
  </w:num>
  <w:num w:numId="29">
    <w:abstractNumId w:val="22"/>
  </w:num>
  <w:num w:numId="30">
    <w:abstractNumId w:val="109"/>
  </w:num>
  <w:num w:numId="31">
    <w:abstractNumId w:val="39"/>
  </w:num>
  <w:num w:numId="32">
    <w:abstractNumId w:val="87"/>
  </w:num>
  <w:num w:numId="33">
    <w:abstractNumId w:val="111"/>
  </w:num>
  <w:num w:numId="34">
    <w:abstractNumId w:val="59"/>
  </w:num>
  <w:num w:numId="35">
    <w:abstractNumId w:val="69"/>
  </w:num>
  <w:num w:numId="36">
    <w:abstractNumId w:val="12"/>
  </w:num>
  <w:num w:numId="37">
    <w:abstractNumId w:val="19"/>
  </w:num>
  <w:num w:numId="38">
    <w:abstractNumId w:val="54"/>
  </w:num>
  <w:num w:numId="39">
    <w:abstractNumId w:val="41"/>
  </w:num>
  <w:num w:numId="40">
    <w:abstractNumId w:val="102"/>
  </w:num>
  <w:num w:numId="41">
    <w:abstractNumId w:val="3"/>
  </w:num>
  <w:num w:numId="42">
    <w:abstractNumId w:val="112"/>
  </w:num>
  <w:num w:numId="43">
    <w:abstractNumId w:val="18"/>
  </w:num>
  <w:num w:numId="44">
    <w:abstractNumId w:val="76"/>
  </w:num>
  <w:num w:numId="45">
    <w:abstractNumId w:val="68"/>
  </w:num>
  <w:num w:numId="46">
    <w:abstractNumId w:val="50"/>
  </w:num>
  <w:num w:numId="47">
    <w:abstractNumId w:val="57"/>
  </w:num>
  <w:num w:numId="48">
    <w:abstractNumId w:val="7"/>
  </w:num>
  <w:num w:numId="49">
    <w:abstractNumId w:val="31"/>
  </w:num>
  <w:num w:numId="50">
    <w:abstractNumId w:val="73"/>
  </w:num>
  <w:num w:numId="51">
    <w:abstractNumId w:val="17"/>
  </w:num>
  <w:num w:numId="52">
    <w:abstractNumId w:val="97"/>
  </w:num>
  <w:num w:numId="53">
    <w:abstractNumId w:val="25"/>
  </w:num>
  <w:num w:numId="54">
    <w:abstractNumId w:val="125"/>
  </w:num>
  <w:num w:numId="55">
    <w:abstractNumId w:val="13"/>
  </w:num>
  <w:num w:numId="56">
    <w:abstractNumId w:val="14"/>
  </w:num>
  <w:num w:numId="57">
    <w:abstractNumId w:val="6"/>
  </w:num>
  <w:num w:numId="58">
    <w:abstractNumId w:val="100"/>
  </w:num>
  <w:num w:numId="59">
    <w:abstractNumId w:val="45"/>
  </w:num>
  <w:num w:numId="60">
    <w:abstractNumId w:val="28"/>
  </w:num>
  <w:num w:numId="61">
    <w:abstractNumId w:val="49"/>
  </w:num>
  <w:num w:numId="62">
    <w:abstractNumId w:val="123"/>
  </w:num>
  <w:num w:numId="63">
    <w:abstractNumId w:val="104"/>
  </w:num>
  <w:num w:numId="64">
    <w:abstractNumId w:val="94"/>
  </w:num>
  <w:num w:numId="65">
    <w:abstractNumId w:val="30"/>
  </w:num>
  <w:num w:numId="66">
    <w:abstractNumId w:val="95"/>
  </w:num>
  <w:num w:numId="67">
    <w:abstractNumId w:val="117"/>
  </w:num>
  <w:num w:numId="68">
    <w:abstractNumId w:val="67"/>
  </w:num>
  <w:num w:numId="69">
    <w:abstractNumId w:val="1"/>
  </w:num>
  <w:num w:numId="70">
    <w:abstractNumId w:val="81"/>
  </w:num>
  <w:num w:numId="71">
    <w:abstractNumId w:val="79"/>
  </w:num>
  <w:num w:numId="72">
    <w:abstractNumId w:val="58"/>
  </w:num>
  <w:num w:numId="73">
    <w:abstractNumId w:val="43"/>
  </w:num>
  <w:num w:numId="74">
    <w:abstractNumId w:val="2"/>
  </w:num>
  <w:num w:numId="75">
    <w:abstractNumId w:val="16"/>
  </w:num>
  <w:num w:numId="76">
    <w:abstractNumId w:val="70"/>
  </w:num>
  <w:num w:numId="77">
    <w:abstractNumId w:val="74"/>
  </w:num>
  <w:num w:numId="78">
    <w:abstractNumId w:val="77"/>
  </w:num>
  <w:num w:numId="79">
    <w:abstractNumId w:val="107"/>
  </w:num>
  <w:num w:numId="80">
    <w:abstractNumId w:val="27"/>
  </w:num>
  <w:num w:numId="81">
    <w:abstractNumId w:val="37"/>
  </w:num>
  <w:num w:numId="82">
    <w:abstractNumId w:val="26"/>
  </w:num>
  <w:num w:numId="83">
    <w:abstractNumId w:val="63"/>
  </w:num>
  <w:num w:numId="84">
    <w:abstractNumId w:val="44"/>
  </w:num>
  <w:num w:numId="85">
    <w:abstractNumId w:val="86"/>
  </w:num>
  <w:num w:numId="86">
    <w:abstractNumId w:val="38"/>
  </w:num>
  <w:num w:numId="87">
    <w:abstractNumId w:val="115"/>
  </w:num>
  <w:num w:numId="88">
    <w:abstractNumId w:val="64"/>
  </w:num>
  <w:num w:numId="89">
    <w:abstractNumId w:val="108"/>
  </w:num>
  <w:num w:numId="90">
    <w:abstractNumId w:val="119"/>
  </w:num>
  <w:num w:numId="91">
    <w:abstractNumId w:val="51"/>
  </w:num>
  <w:num w:numId="92">
    <w:abstractNumId w:val="85"/>
  </w:num>
  <w:num w:numId="93">
    <w:abstractNumId w:val="9"/>
  </w:num>
  <w:num w:numId="94">
    <w:abstractNumId w:val="55"/>
  </w:num>
  <w:num w:numId="95">
    <w:abstractNumId w:val="0"/>
  </w:num>
  <w:num w:numId="96">
    <w:abstractNumId w:val="65"/>
  </w:num>
  <w:num w:numId="97">
    <w:abstractNumId w:val="114"/>
  </w:num>
  <w:num w:numId="98">
    <w:abstractNumId w:val="82"/>
  </w:num>
  <w:num w:numId="99">
    <w:abstractNumId w:val="32"/>
  </w:num>
  <w:num w:numId="100">
    <w:abstractNumId w:val="90"/>
  </w:num>
  <w:num w:numId="101">
    <w:abstractNumId w:val="33"/>
  </w:num>
  <w:num w:numId="102">
    <w:abstractNumId w:val="5"/>
  </w:num>
  <w:num w:numId="103">
    <w:abstractNumId w:val="20"/>
  </w:num>
  <w:num w:numId="104">
    <w:abstractNumId w:val="110"/>
  </w:num>
  <w:num w:numId="105">
    <w:abstractNumId w:val="48"/>
  </w:num>
  <w:num w:numId="106">
    <w:abstractNumId w:val="121"/>
  </w:num>
  <w:num w:numId="107">
    <w:abstractNumId w:val="8"/>
  </w:num>
  <w:num w:numId="108">
    <w:abstractNumId w:val="29"/>
  </w:num>
  <w:num w:numId="109">
    <w:abstractNumId w:val="103"/>
  </w:num>
  <w:num w:numId="110">
    <w:abstractNumId w:val="40"/>
  </w:num>
  <w:num w:numId="111">
    <w:abstractNumId w:val="93"/>
  </w:num>
  <w:num w:numId="112">
    <w:abstractNumId w:val="105"/>
  </w:num>
  <w:num w:numId="113">
    <w:abstractNumId w:val="71"/>
  </w:num>
  <w:num w:numId="114">
    <w:abstractNumId w:val="34"/>
  </w:num>
  <w:num w:numId="115">
    <w:abstractNumId w:val="106"/>
  </w:num>
  <w:num w:numId="116">
    <w:abstractNumId w:val="60"/>
  </w:num>
  <w:num w:numId="117">
    <w:abstractNumId w:val="36"/>
  </w:num>
  <w:num w:numId="118">
    <w:abstractNumId w:val="21"/>
  </w:num>
  <w:num w:numId="119">
    <w:abstractNumId w:val="52"/>
  </w:num>
  <w:num w:numId="120">
    <w:abstractNumId w:val="84"/>
  </w:num>
  <w:num w:numId="121">
    <w:abstractNumId w:val="75"/>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1"/>
  </w:num>
  <w:num w:numId="124">
    <w:abstractNumId w:val="80"/>
  </w:num>
  <w:num w:numId="125">
    <w:abstractNumId w:val="4"/>
  </w:num>
  <w:num w:numId="126">
    <w:abstractNumId w:val="113"/>
  </w:num>
  <w:num w:numId="127">
    <w:abstractNumId w:val="99"/>
  </w:num>
  <w:num w:numId="128">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line="259" w:lineRule="auto"/>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15C300A-DCA9-4885-AF0B-D316F746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89</Pages>
  <Words>33221</Words>
  <Characters>189366</Characters>
  <Application>Microsoft Office Word</Application>
  <DocSecurity>0</DocSecurity>
  <Lines>1578</Lines>
  <Paragraphs>444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Feiyongqiang-b</cp:lastModifiedBy>
  <cp:revision>2</cp:revision>
  <cp:lastPrinted>1900-12-31T16:00:00Z</cp:lastPrinted>
  <dcterms:created xsi:type="dcterms:W3CDTF">2021-08-19T13:57:00Z</dcterms:created>
  <dcterms:modified xsi:type="dcterms:W3CDTF">2021-08-19T13:57:00Z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