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w:t>
            </w:r>
            <w:r>
              <w:rPr>
                <w:bCs/>
                <w:color w:val="FF0000"/>
              </w:rPr>
              <w:lastRenderedPageBreak/>
              <w:t xml:space="preserve">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w:t>
            </w:r>
            <w:r>
              <w:rPr>
                <w:rFonts w:eastAsia="Malgun Gothic"/>
                <w:color w:val="FF0000"/>
                <w:lang w:eastAsia="ko-KR"/>
              </w:rPr>
              <w:lastRenderedPageBreak/>
              <w:t xml:space="preserve">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 xml:space="preserve">&gt;1. A different implementation solution would be needed, but impact is </w:t>
            </w:r>
            <w:r>
              <w:rPr>
                <w:color w:val="FF0000"/>
                <w:lang w:eastAsia="zh-CN"/>
              </w:rPr>
              <w:lastRenderedPageBreak/>
              <w:t>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 xml:space="preserve">Share the similar view as Samsung. Actually, Option 3 can be considered as a </w:t>
            </w:r>
            <w:r>
              <w:lastRenderedPageBreak/>
              <w:t>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gNB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w:t>
            </w:r>
            <w:r>
              <w:rPr>
                <w:color w:val="FF0000"/>
              </w:rPr>
              <w:lastRenderedPageBreak/>
              <w:t>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w:t>
            </w:r>
            <w:r>
              <w:lastRenderedPageBreak/>
              <w:t>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lastRenderedPageBreak/>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lastRenderedPageBreak/>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lastRenderedPageBreak/>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w:t>
      </w:r>
      <w:r>
        <w:rPr>
          <w:bCs/>
          <w:sz w:val="22"/>
          <w:szCs w:val="22"/>
        </w:rPr>
        <w:lastRenderedPageBreak/>
        <w:t xml:space="preserve">be imposed on gNB to ensure that no degradation occurs, in turn potentially affecting how gNB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324F8B8B"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xml:space="preserve">, with all the corresponding scheduling </w:t>
            </w:r>
            <w:r>
              <w:rPr>
                <w:bCs/>
                <w:i/>
                <w:iCs/>
                <w:strike/>
                <w:color w:val="FF0000"/>
                <w:sz w:val="22"/>
                <w:highlight w:val="yellow"/>
                <w:lang w:val="en-US"/>
              </w:rPr>
              <w:lastRenderedPageBreak/>
              <w:t>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lastRenderedPageBreak/>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gNB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lastRenderedPageBreak/>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 xml:space="preserve">FL’s reply: this would limit the max TBS supported by </w:t>
            </w:r>
            <w:proofErr w:type="spellStart"/>
            <w:r w:rsidRPr="000152F3">
              <w:rPr>
                <w:rFonts w:eastAsia="MS Mincho"/>
                <w:color w:val="FF0000"/>
                <w:lang w:val="en-US" w:eastAsia="ja-JP"/>
              </w:rPr>
              <w:t>TBoMS</w:t>
            </w:r>
            <w:proofErr w:type="spellEnd"/>
            <w:r w:rsidRPr="000152F3">
              <w:rPr>
                <w:rFonts w:eastAsia="MS Mincho"/>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w:t>
            </w:r>
            <w:r>
              <w:rPr>
                <w:lang w:val="en-US" w:eastAsia="zh-CN"/>
              </w:rPr>
              <w:lastRenderedPageBreak/>
              <w:t xml:space="preserve">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lastRenderedPageBreak/>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 xml:space="preserve">I am not sure most companies support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 I think it is very imprudent to take decisions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assuming that an agreement in favour of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repetitions will be reached. An agreement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lastRenderedPageBreak/>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 xml:space="preserve">A majority exists in favor of one option (i.e., rate-matching per slot) but support for other options is non-negligible. On the other hand, almost all companies commenting on rate-matching aspects highlighted that </w:t>
      </w:r>
      <w:r>
        <w:rPr>
          <w:sz w:val="22"/>
          <w:szCs w:val="22"/>
          <w:lang w:val="en-US"/>
        </w:rPr>
        <w:lastRenderedPageBreak/>
        <w:t>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lastRenderedPageBreak/>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w:t>
            </w:r>
            <w:r>
              <w:rPr>
                <w:rFonts w:hint="eastAsia"/>
                <w:lang w:val="en-US" w:eastAsia="zh-CN"/>
              </w:rPr>
              <w:lastRenderedPageBreak/>
              <w:t xml:space="preserve">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w:t>
            </w:r>
            <w:r>
              <w:rPr>
                <w:rFonts w:hint="eastAsia"/>
                <w:lang w:val="en-US" w:eastAsia="zh-CN"/>
              </w:rPr>
              <w:lastRenderedPageBreak/>
              <w:t xml:space="preserve">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w:t>
            </w:r>
            <w:r>
              <w:lastRenderedPageBreak/>
              <w:t xml:space="preserve">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w:t>
            </w:r>
            <w:r>
              <w:rPr>
                <w:rFonts w:eastAsia="Malgun Gothic"/>
                <w:lang w:eastAsia="ko-KR"/>
              </w:rPr>
              <w:lastRenderedPageBreak/>
              <w:t xml:space="preserve">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 xml:space="preserve">Complex design is required </w:t>
            </w:r>
            <w:r>
              <w:rPr>
                <w:iCs/>
                <w:lang w:eastAsia="ja-JP"/>
              </w:rPr>
              <w:lastRenderedPageBreak/>
              <w:t>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w:t>
            </w:r>
            <w:r>
              <w:lastRenderedPageBreak/>
              <w:t xml:space="preserve">delay. </w:t>
            </w:r>
          </w:p>
        </w:tc>
        <w:tc>
          <w:tcPr>
            <w:tcW w:w="3636" w:type="dxa"/>
          </w:tcPr>
          <w:p w14:paraId="10A6A09F" w14:textId="77777777" w:rsidR="00166956" w:rsidRDefault="00166956">
            <w:pPr>
              <w:jc w:val="both"/>
              <w:rPr>
                <w:lang w:eastAsia="zh-CN"/>
              </w:rPr>
            </w:pP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77777777"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77777777"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 xml:space="preserve">regardless of </w:t>
            </w:r>
            <w:r>
              <w:rPr>
                <w:lang w:eastAsia="zh-CN"/>
              </w:rPr>
              <w:lastRenderedPageBreak/>
              <w:t>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ListParagraph"/>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ListParagraph"/>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ListParagraph"/>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ListParagraph"/>
              <w:numPr>
                <w:ilvl w:val="0"/>
                <w:numId w:val="33"/>
              </w:numPr>
              <w:spacing w:after="100"/>
              <w:ind w:left="714" w:hanging="357"/>
              <w:jc w:val="both"/>
              <w:rPr>
                <w:lang w:eastAsia="zh-CN"/>
              </w:rPr>
            </w:pPr>
            <w:r>
              <w:lastRenderedPageBreak/>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lastRenderedPageBreak/>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4D64EC5D"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proofErr w:type="gramStart"/>
            <w:r w:rsidR="00F619A9">
              <w:rPr>
                <w:lang w:val="en-US" w:eastAsia="zh-CN"/>
              </w:rPr>
              <w:t>OPPO</w:t>
            </w:r>
            <w:r w:rsidR="006C79E1">
              <w:rPr>
                <w:lang w:val="en-US" w:eastAsia="zh-CN"/>
              </w:rPr>
              <w:t>,MediaTek</w:t>
            </w:r>
            <w:proofErr w:type="spellEnd"/>
            <w:proofErr w:type="gramEnd"/>
            <w:r w:rsidR="00117ACE">
              <w:rPr>
                <w:lang w:val="en-US" w:eastAsia="zh-CN"/>
              </w:rPr>
              <w:t>, Lenovo, Motorola Mobility</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w:t>
            </w:r>
            <w:r>
              <w:rPr>
                <w:rFonts w:hint="eastAsia"/>
                <w:lang w:val="en-US" w:eastAsia="zh-CN"/>
              </w:rPr>
              <w:lastRenderedPageBreak/>
              <w:t xml:space="preserve">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lastRenderedPageBreak/>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w:t>
      </w:r>
      <w:r>
        <w:rPr>
          <w:sz w:val="22"/>
          <w:lang w:val="en-US"/>
        </w:rPr>
        <w:lastRenderedPageBreak/>
        <w:t xml:space="preserve">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w:t>
            </w:r>
            <w:r>
              <w:lastRenderedPageBreak/>
              <w:t xml:space="preserve">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lastRenderedPageBreak/>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lastRenderedPageBreak/>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lastRenderedPageBreak/>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0BD07BC8"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lastRenderedPageBreak/>
        <w:t>[OPEN]</w:t>
      </w:r>
      <w:r>
        <w:t xml:space="preserve"> </w:t>
      </w:r>
      <w:bookmarkStart w:id="4" w:name="_Hlk79682516"/>
      <w:r>
        <w:rPr>
          <w:lang w:val="en-US"/>
        </w:rPr>
        <w:t xml:space="preserve">How to count slots for transmitting </w:t>
      </w:r>
      <w:proofErr w:type="spellStart"/>
      <w:r>
        <w:rPr>
          <w:lang w:val="en-US"/>
        </w:rPr>
        <w:t>TBoMS</w:t>
      </w:r>
      <w:proofErr w:type="spellEnd"/>
      <w:r>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w:t>
            </w:r>
            <w:r>
              <w:rPr>
                <w:rFonts w:hint="eastAsia"/>
                <w:lang w:eastAsia="zh-CN"/>
              </w:rPr>
              <w:lastRenderedPageBreak/>
              <w:t>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lastRenderedPageBreak/>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lastRenderedPageBreak/>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 xml:space="preserve">How to indicate the number of allocated slots for </w:t>
      </w:r>
      <w:proofErr w:type="spellStart"/>
      <w:r>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ListParagraph"/>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ListParagraph"/>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w:t>
      </w:r>
      <w:r>
        <w:rPr>
          <w:sz w:val="22"/>
          <w:szCs w:val="22"/>
          <w:lang w:val="en-US"/>
        </w:rPr>
        <w:lastRenderedPageBreak/>
        <w:t xml:space="preserve">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lastRenderedPageBreak/>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gNB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lastRenderedPageBreak/>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lastRenderedPageBreak/>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Also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w:t>
            </w:r>
            <w:r>
              <w:rPr>
                <w:rFonts w:hint="eastAsia"/>
                <w:lang w:eastAsia="zh-CN"/>
              </w:rPr>
              <w:lastRenderedPageBreak/>
              <w:t xml:space="preserve">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lastRenderedPageBreak/>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5C634878" w14:textId="77777777" w:rsidR="00166956" w:rsidRDefault="008B7C25">
            <w:pPr>
              <w:jc w:val="both"/>
            </w:pPr>
            <w:r>
              <w:t xml:space="preserve">Further enhancement, e.g.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lastRenderedPageBreak/>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lastRenderedPageBreak/>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w:t>
            </w:r>
            <w:r>
              <w:rPr>
                <w:rFonts w:eastAsia="MS Mincho"/>
                <w:lang w:eastAsia="ja-JP"/>
              </w:rPr>
              <w:lastRenderedPageBreak/>
              <w:t xml:space="preserve">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t xml:space="preserve">Also, there is no reason to choose scale factor to be the same as number </w:t>
            </w:r>
            <w:r>
              <w:lastRenderedPageBreak/>
              <w:t>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w:t>
            </w:r>
            <w:r>
              <w:lastRenderedPageBreak/>
              <w:t xml:space="preserve">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ListParagraph"/>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lastRenderedPageBreak/>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lastRenderedPageBreak/>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w:t>
            </w:r>
            <w:r>
              <w:rPr>
                <w:rFonts w:ascii="Times New Roman" w:hAnsi="Times New Roman" w:cs="Times New Roman"/>
                <w:bCs/>
                <w:sz w:val="20"/>
                <w:szCs w:val="20"/>
              </w:rPr>
              <w:lastRenderedPageBreak/>
              <w:t>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w:t>
            </w:r>
            <w:r>
              <w:rPr>
                <w:iCs/>
              </w:rPr>
              <w:lastRenderedPageBreak/>
              <w:t xml:space="preserve">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lastRenderedPageBreak/>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lastRenderedPageBreak/>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lastRenderedPageBreak/>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the TB is transmitted on multiple TOTs using a single RV (Option-3), and the single RV is </w:t>
            </w:r>
            <w:r>
              <w:rPr>
                <w:rFonts w:ascii="Times New Roman" w:hAnsi="Times New Roman" w:cs="Times New Roman"/>
                <w:sz w:val="20"/>
                <w:szCs w:val="20"/>
                <w:lang w:eastAsia="ko-KR"/>
              </w:rPr>
              <w:lastRenderedPageBreak/>
              <w:t>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0C303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lastRenderedPageBreak/>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0C303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derived by a larger than 1 factor in case when </w:t>
            </w:r>
            <w:r>
              <w:rPr>
                <w:rFonts w:ascii="Times New Roman" w:hAnsi="Times New Roman" w:cs="Times New Roman"/>
                <w:bCs/>
                <w:iCs/>
                <w:sz w:val="20"/>
                <w:szCs w:val="20"/>
              </w:rPr>
              <w:lastRenderedPageBreak/>
              <w:t>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lastRenderedPageBreak/>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lastRenderedPageBreak/>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lastRenderedPageBreak/>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lastRenderedPageBreak/>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lastRenderedPageBreak/>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lastRenderedPageBreak/>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3861" w14:textId="77777777" w:rsidR="000C3036" w:rsidRDefault="000C3036">
      <w:pPr>
        <w:spacing w:after="0"/>
      </w:pPr>
      <w:r>
        <w:separator/>
      </w:r>
    </w:p>
  </w:endnote>
  <w:endnote w:type="continuationSeparator" w:id="0">
    <w:p w14:paraId="1772D179" w14:textId="77777777" w:rsidR="000C3036" w:rsidRDefault="000C3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38753" w14:textId="77777777" w:rsidR="000C3036" w:rsidRDefault="000C3036">
      <w:pPr>
        <w:spacing w:after="0"/>
      </w:pPr>
      <w:r>
        <w:separator/>
      </w:r>
    </w:p>
  </w:footnote>
  <w:footnote w:type="continuationSeparator" w:id="0">
    <w:p w14:paraId="2E2E40A5" w14:textId="77777777" w:rsidR="000C3036" w:rsidRDefault="000C30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C82307" w:rsidRDefault="00C8230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83</Pages>
  <Words>30029</Words>
  <Characters>171171</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ANKIT BHAMRI</cp:lastModifiedBy>
  <cp:revision>16</cp:revision>
  <cp:lastPrinted>1900-12-31T16:00:00Z</cp:lastPrinted>
  <dcterms:created xsi:type="dcterms:W3CDTF">2021-08-18T10:15:00Z</dcterms:created>
  <dcterms:modified xsi:type="dcterms:W3CDTF">2021-08-18T17:08:00Z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