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Default="00F655FE" w:rsidP="00330BE9">
      <w:pPr>
        <w:rPr>
          <w:rFonts w:eastAsia="Times New Roman"/>
          <w:sz w:val="20"/>
          <w:szCs w:val="22"/>
          <w:lang w:val="fi-FI"/>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Pr>
          <w:rFonts w:eastAsia="Times New Roman"/>
          <w:sz w:val="20"/>
          <w:szCs w:val="22"/>
          <w:lang w:val="fi-FI"/>
        </w:rPr>
        <w:t>support both paging DCI and P</w:t>
      </w:r>
      <w:r w:rsidR="00E67D52">
        <w:rPr>
          <w:rFonts w:eastAsia="Times New Roman"/>
          <w:sz w:val="20"/>
          <w:szCs w:val="22"/>
          <w:lang w:val="fi-FI"/>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F511C4">
            <w:pPr>
              <w:pStyle w:val="aff1"/>
              <w:numPr>
                <w:ilvl w:val="0"/>
                <w:numId w:val="39"/>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aff1"/>
              <w:numPr>
                <w:ilvl w:val="0"/>
                <w:numId w:val="39"/>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t xml:space="preserve">PEI base Indication can be used when a UE is paging in non-contiguous way in successive </w:t>
            </w:r>
            <w:r w:rsidRPr="00F511C4">
              <w:rPr>
                <w:rStyle w:val="afb"/>
                <w:rFonts w:ascii="Times New Roman" w:hAnsi="Times New Roman"/>
                <w:sz w:val="20"/>
                <w:szCs w:val="20"/>
              </w:rPr>
              <w:lastRenderedPageBreak/>
              <w:t>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aff1"/>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aff1"/>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aff1"/>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w:t>
            </w:r>
            <w:proofErr w:type="spellStart"/>
            <w:r w:rsidRPr="00F511C4">
              <w:rPr>
                <w:rFonts w:eastAsia="宋体"/>
                <w:i/>
                <w:iCs/>
                <w:sz w:val="20"/>
                <w:szCs w:val="20"/>
                <w:lang w:val="en-GB" w:eastAsia="en-US"/>
              </w:rPr>
              <w:t>gNB</w:t>
            </w:r>
            <w:proofErr w:type="spellEnd"/>
            <w:r w:rsidRPr="00F511C4">
              <w:rPr>
                <w:rFonts w:eastAsia="宋体"/>
                <w:i/>
                <w:iCs/>
                <w:sz w:val="20"/>
                <w:szCs w:val="20"/>
                <w:lang w:val="en-GB" w:eastAsia="en-US"/>
              </w:rPr>
              <w:t xml:space="preserve">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宋体"/>
                <w:i/>
                <w:iCs/>
                <w:sz w:val="20"/>
                <w:szCs w:val="20"/>
              </w:rPr>
            </w:pPr>
            <w:r w:rsidRPr="00F511C4">
              <w:rPr>
                <w:rFonts w:eastAsia="宋体"/>
                <w:i/>
                <w:iCs/>
                <w:sz w:val="20"/>
                <w:szCs w:val="20"/>
              </w:rPr>
              <w:t>validity/invalidity is indicated for a pre-configured period of time (</w:t>
            </w:r>
            <w:proofErr w:type="gramStart"/>
            <w:r w:rsidRPr="00F511C4">
              <w:rPr>
                <w:rFonts w:eastAsia="宋体"/>
                <w:i/>
                <w:iCs/>
                <w:sz w:val="20"/>
                <w:szCs w:val="20"/>
              </w:rPr>
              <w:t>e.g.</w:t>
            </w:r>
            <w:proofErr w:type="gramEnd"/>
            <w:r w:rsidRPr="00F511C4">
              <w:rPr>
                <w:rFonts w:eastAsia="宋体"/>
                <w:i/>
                <w:iCs/>
                <w:sz w:val="20"/>
                <w:szCs w:val="20"/>
              </w:rPr>
              <w:t xml:space="preserve"> 10s) from the time of indication. </w:t>
            </w:r>
          </w:p>
          <w:p w14:paraId="6BCCDCBA" w14:textId="77777777" w:rsidR="00C501C7" w:rsidRPr="00F511C4" w:rsidRDefault="00C501C7" w:rsidP="00F511C4">
            <w:pPr>
              <w:numPr>
                <w:ilvl w:val="1"/>
                <w:numId w:val="47"/>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C01A0F">
        <w:rPr>
          <w:rFonts w:eastAsia="Times New Roman"/>
          <w:sz w:val="20"/>
          <w:szCs w:val="20"/>
          <w:lang w:val="fi-FI"/>
        </w:rPr>
        <w:t>TRS/CSI-RS occassion(s) to idle/inactive UEs.</w:t>
      </w:r>
    </w:p>
    <w:p w14:paraId="4DE4C803" w14:textId="0C577E8E" w:rsidR="00F849F3" w:rsidRPr="0035797B" w:rsidRDefault="00F849F3" w:rsidP="00F849F3">
      <w:pPr>
        <w:pStyle w:val="aff1"/>
        <w:numPr>
          <w:ilvl w:val="0"/>
          <w:numId w:val="56"/>
        </w:numPr>
        <w:rPr>
          <w:rFonts w:eastAsia="Times New Roman"/>
          <w:sz w:val="20"/>
          <w:szCs w:val="20"/>
          <w:highlight w:val="yellow"/>
          <w:lang w:val="fi-FI"/>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35797B" w:rsidRDefault="00F849F3" w:rsidP="00F849F3">
      <w:pPr>
        <w:pStyle w:val="aff1"/>
        <w:numPr>
          <w:ilvl w:val="0"/>
          <w:numId w:val="56"/>
        </w:numPr>
        <w:rPr>
          <w:rFonts w:eastAsia="Times New Roman"/>
          <w:sz w:val="20"/>
          <w:szCs w:val="20"/>
          <w:highlight w:val="yellow"/>
          <w:lang w:val="fi-FI"/>
        </w:rPr>
      </w:pPr>
      <w:r w:rsidRPr="0035797B">
        <w:rPr>
          <w:rFonts w:ascii="Times New Roman" w:hAnsi="Times New Roman"/>
          <w:sz w:val="20"/>
          <w:szCs w:val="20"/>
          <w:highlight w:val="yellow"/>
          <w:lang w:val="fi-FI"/>
        </w:rPr>
        <w:t>Issue 2</w:t>
      </w:r>
      <w:r>
        <w:rPr>
          <w:rFonts w:ascii="Times New Roman" w:hAnsi="Times New Roman"/>
          <w:sz w:val="20"/>
          <w:szCs w:val="20"/>
          <w:highlight w:val="yellow"/>
          <w:lang w:val="fi-FI"/>
        </w:rPr>
        <w:t>.1-2</w:t>
      </w:r>
      <w:r w:rsidRPr="0035797B">
        <w:rPr>
          <w:rFonts w:ascii="Times New Roman" w:hAnsi="Times New Roman"/>
          <w:sz w:val="20"/>
          <w:szCs w:val="20"/>
          <w:highlight w:val="yellow"/>
          <w:lang w:val="fi-FI"/>
        </w:rPr>
        <w:t xml:space="preserve">: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35797B" w:rsidRDefault="00F849F3" w:rsidP="00F849F3">
      <w:pPr>
        <w:pStyle w:val="aff1"/>
        <w:numPr>
          <w:ilvl w:val="0"/>
          <w:numId w:val="56"/>
        </w:numPr>
        <w:rPr>
          <w:rFonts w:eastAsia="Times New Roman"/>
          <w:sz w:val="20"/>
          <w:szCs w:val="20"/>
          <w:highlight w:val="cyan"/>
          <w:lang w:val="fi-FI"/>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F849F3" w:rsidRDefault="00F849F3" w:rsidP="0035797B">
      <w:pPr>
        <w:rPr>
          <w:rFonts w:eastAsia="等线"/>
          <w:b/>
          <w:sz w:val="20"/>
          <w:szCs w:val="20"/>
          <w:lang w:val="fi-FI"/>
        </w:rPr>
      </w:pPr>
    </w:p>
    <w:p w14:paraId="718FC6B4" w14:textId="26DF87D2" w:rsidR="0035797B" w:rsidRPr="00A909BE" w:rsidRDefault="0035797B" w:rsidP="00A909BE">
      <w:pPr>
        <w:pStyle w:val="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aff1"/>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 xml:space="preserve">the case when PEI is configured, </w:t>
      </w:r>
      <w:proofErr w:type="gramStart"/>
      <w:r w:rsidR="00704264">
        <w:rPr>
          <w:rFonts w:eastAsia="Calibri"/>
          <w:bCs/>
          <w:sz w:val="20"/>
          <w:szCs w:val="20"/>
          <w:highlight w:val="yellow"/>
          <w:lang w:eastAsia="en-US"/>
        </w:rPr>
        <w:t>e.g.</w:t>
      </w:r>
      <w:proofErr w:type="gramEnd"/>
      <w:r w:rsidR="00704264">
        <w:rPr>
          <w:rFonts w:eastAsia="Calibri"/>
          <w:bCs/>
          <w:sz w:val="20"/>
          <w:szCs w:val="20"/>
          <w:highlight w:val="yellow"/>
          <w:lang w:eastAsia="en-US"/>
        </w:rPr>
        <w:t xml:space="preserve">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10"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51"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10"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51"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51"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 xml:space="preserve">For case there is no scheduling or short message, </w:t>
            </w:r>
            <w:proofErr w:type="spellStart"/>
            <w:r>
              <w:rPr>
                <w:rFonts w:eastAsia="宋体"/>
                <w:sz w:val="20"/>
                <w:szCs w:val="20"/>
              </w:rPr>
              <w:t>gNB</w:t>
            </w:r>
            <w:proofErr w:type="spellEnd"/>
            <w:r>
              <w:rPr>
                <w:rFonts w:eastAsia="宋体"/>
                <w:sz w:val="20"/>
                <w:szCs w:val="20"/>
              </w:rPr>
              <w:t xml:space="preserve">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Nordic, Lenovo, CMCC, LG, MediaTek, Panasonic, DOCOMO, Xiaomi, </w:t>
            </w:r>
            <w:r w:rsidRPr="0035797B">
              <w:rPr>
                <w:rFonts w:eastAsia="Malgun Gothic"/>
                <w:sz w:val="20"/>
                <w:szCs w:val="20"/>
              </w:rPr>
              <w:lastRenderedPageBreak/>
              <w:t>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lastRenderedPageBreak/>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lastRenderedPageBreak/>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w:t>
      </w:r>
      <w:proofErr w:type="gramStart"/>
      <w:r w:rsidR="00CD7FB4">
        <w:rPr>
          <w:rFonts w:eastAsia="宋体"/>
          <w:sz w:val="20"/>
          <w:szCs w:val="20"/>
        </w:rPr>
        <w:t>first round</w:t>
      </w:r>
      <w:proofErr w:type="gramEnd"/>
      <w:r w:rsidR="00CD7FB4">
        <w:rPr>
          <w:rFonts w:eastAsia="宋体"/>
          <w:sz w:val="20"/>
          <w:szCs w:val="20"/>
        </w:rPr>
        <w:t xml:space="preserve">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10"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51"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w:t>
            </w:r>
            <w:proofErr w:type="gramStart"/>
            <w:r>
              <w:rPr>
                <w:rFonts w:eastAsia="宋体" w:hint="eastAsia"/>
                <w:bCs/>
                <w:sz w:val="20"/>
                <w:szCs w:val="20"/>
              </w:rPr>
              <w:t>for  UEs</w:t>
            </w:r>
            <w:proofErr w:type="gramEnd"/>
            <w:r>
              <w:rPr>
                <w:rFonts w:eastAsia="宋体" w:hint="eastAsia"/>
                <w:bCs/>
                <w:sz w:val="20"/>
                <w:szCs w:val="20"/>
              </w:rPr>
              <w:t xml:space="preserve">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51"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6D17" w:rsidRPr="0035797B" w14:paraId="0E624BDA" w14:textId="77777777" w:rsidTr="006F6918">
        <w:trPr>
          <w:trHeight w:val="448"/>
        </w:trPr>
        <w:tc>
          <w:tcPr>
            <w:tcW w:w="1075" w:type="dxa"/>
          </w:tcPr>
          <w:p w14:paraId="6ADC7BA5" w14:textId="77777777" w:rsidR="000D6D17" w:rsidRPr="0035797B" w:rsidRDefault="000D6D17" w:rsidP="000D6D17">
            <w:pPr>
              <w:rPr>
                <w:rFonts w:eastAsia="等线"/>
                <w:sz w:val="20"/>
                <w:szCs w:val="20"/>
              </w:rPr>
            </w:pPr>
          </w:p>
        </w:tc>
        <w:tc>
          <w:tcPr>
            <w:tcW w:w="1710" w:type="dxa"/>
          </w:tcPr>
          <w:p w14:paraId="278058A9" w14:textId="77777777" w:rsidR="000D6D17" w:rsidRPr="0035797B" w:rsidRDefault="000D6D17" w:rsidP="000D6D17">
            <w:pPr>
              <w:rPr>
                <w:rFonts w:eastAsia="宋体"/>
                <w:sz w:val="20"/>
                <w:szCs w:val="20"/>
              </w:rPr>
            </w:pPr>
          </w:p>
        </w:tc>
        <w:tc>
          <w:tcPr>
            <w:tcW w:w="6951" w:type="dxa"/>
          </w:tcPr>
          <w:p w14:paraId="01D61EA5" w14:textId="77777777" w:rsidR="000D6D17" w:rsidRPr="0035797B" w:rsidRDefault="000D6D17" w:rsidP="000D6D17">
            <w:pPr>
              <w:rPr>
                <w:rFonts w:eastAsia="宋体"/>
                <w:sz w:val="20"/>
                <w:szCs w:val="20"/>
              </w:rPr>
            </w:pPr>
          </w:p>
        </w:tc>
      </w:tr>
    </w:tbl>
    <w:p w14:paraId="5808A080" w14:textId="77777777" w:rsidR="0035797B" w:rsidRPr="0035797B"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lastRenderedPageBreak/>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w:t>
            </w:r>
            <w:proofErr w:type="gramStart"/>
            <w:r w:rsidRPr="006E34CE">
              <w:rPr>
                <w:rFonts w:eastAsia="等线"/>
                <w:sz w:val="20"/>
                <w:szCs w:val="20"/>
              </w:rPr>
              <w:t>e.g.</w:t>
            </w:r>
            <w:proofErr w:type="gramEnd"/>
            <w:r w:rsidRPr="006E34CE">
              <w:rPr>
                <w:rFonts w:eastAsia="等线"/>
                <w:sz w:val="20"/>
                <w:szCs w:val="20"/>
              </w:rPr>
              <w:t xml:space="preserve">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w:t>
            </w:r>
            <w:proofErr w:type="gramStart"/>
            <w:r>
              <w:rPr>
                <w:rFonts w:eastAsia="宋体"/>
                <w:bCs/>
                <w:iCs/>
                <w:color w:val="000000"/>
                <w:sz w:val="20"/>
                <w:szCs w:val="20"/>
              </w:rPr>
              <w:t>e.g.</w:t>
            </w:r>
            <w:proofErr w:type="gramEnd"/>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10"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51"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w:t>
            </w:r>
            <w:proofErr w:type="gramStart"/>
            <w:r>
              <w:rPr>
                <w:rFonts w:eastAsia="宋体"/>
                <w:sz w:val="20"/>
                <w:szCs w:val="20"/>
              </w:rPr>
              <w:t>are</w:t>
            </w:r>
            <w:proofErr w:type="gramEnd"/>
            <w:r>
              <w:rPr>
                <w:rFonts w:eastAsia="宋体"/>
                <w:sz w:val="20"/>
                <w:szCs w:val="20"/>
              </w:rPr>
              <w:t xml:space="preserv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w:t>
            </w:r>
            <w:proofErr w:type="gramStart"/>
            <w:r>
              <w:rPr>
                <w:rFonts w:eastAsia="宋体" w:hint="eastAsia"/>
                <w:sz w:val="20"/>
                <w:szCs w:val="20"/>
              </w:rPr>
              <w:t>it</w:t>
            </w:r>
            <w:proofErr w:type="gramEnd"/>
            <w:r>
              <w:rPr>
                <w:rFonts w:eastAsia="宋体" w:hint="eastAsia"/>
                <w:sz w:val="20"/>
                <w:szCs w:val="20"/>
              </w:rPr>
              <w:t xml:space="preserve"> coexistences with L1 based </w:t>
            </w:r>
            <w:r w:rsidRPr="00BA7E7A">
              <w:rPr>
                <w:rFonts w:eastAsia="宋体"/>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07D8381D" w14:textId="77777777" w:rsidR="000D6D17" w:rsidRPr="0035797B" w:rsidRDefault="000D6D17" w:rsidP="000D6D17">
            <w:pPr>
              <w:rPr>
                <w:rFonts w:eastAsia="宋体"/>
                <w:sz w:val="20"/>
                <w:szCs w:val="20"/>
              </w:rPr>
            </w:pPr>
          </w:p>
        </w:tc>
        <w:tc>
          <w:tcPr>
            <w:tcW w:w="6951"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w:t>
            </w:r>
            <w:proofErr w:type="gramStart"/>
            <w:r>
              <w:rPr>
                <w:rFonts w:eastAsia="宋体"/>
                <w:sz w:val="20"/>
                <w:szCs w:val="20"/>
              </w:rPr>
              <w:t>e.g.</w:t>
            </w:r>
            <w:proofErr w:type="gramEnd"/>
            <w:r>
              <w:rPr>
                <w:rFonts w:eastAsia="宋体"/>
                <w:sz w:val="20"/>
                <w:szCs w:val="20"/>
              </w:rPr>
              <w:t xml:space="preserve"> 1 bit in SIB-X can be used to enable/disabled L1 based or SIB based signaling. If L1 based signaling is considered as default signaling, then implicit enabling/disabling </w:t>
            </w:r>
            <w:proofErr w:type="gramStart"/>
            <w:r>
              <w:rPr>
                <w:rFonts w:eastAsia="宋体"/>
                <w:sz w:val="20"/>
                <w:szCs w:val="20"/>
              </w:rPr>
              <w:t>i.e.</w:t>
            </w:r>
            <w:proofErr w:type="gramEnd"/>
            <w:r>
              <w:rPr>
                <w:rFonts w:eastAsia="宋体"/>
                <w:sz w:val="20"/>
                <w:szCs w:val="20"/>
              </w:rPr>
              <w:t xml:space="preserve"> alt2 is preferred. </w:t>
            </w:r>
          </w:p>
        </w:tc>
      </w:tr>
      <w:tr w:rsidR="000D6D17" w:rsidRPr="0035797B" w14:paraId="22627C49" w14:textId="77777777" w:rsidTr="00CD7FB4">
        <w:trPr>
          <w:trHeight w:val="448"/>
        </w:trPr>
        <w:tc>
          <w:tcPr>
            <w:tcW w:w="1075" w:type="dxa"/>
          </w:tcPr>
          <w:p w14:paraId="11D2BB4A" w14:textId="77777777" w:rsidR="000D6D17" w:rsidRPr="0035797B" w:rsidRDefault="000D6D17" w:rsidP="000D6D17">
            <w:pPr>
              <w:rPr>
                <w:rFonts w:eastAsia="等线"/>
                <w:sz w:val="20"/>
                <w:szCs w:val="20"/>
              </w:rPr>
            </w:pPr>
          </w:p>
        </w:tc>
        <w:tc>
          <w:tcPr>
            <w:tcW w:w="1710" w:type="dxa"/>
          </w:tcPr>
          <w:p w14:paraId="5C67BBFB" w14:textId="77777777" w:rsidR="000D6D17" w:rsidRPr="0035797B" w:rsidRDefault="000D6D17" w:rsidP="000D6D17">
            <w:pPr>
              <w:rPr>
                <w:rFonts w:eastAsia="宋体"/>
                <w:sz w:val="20"/>
                <w:szCs w:val="20"/>
              </w:rPr>
            </w:pPr>
          </w:p>
        </w:tc>
        <w:tc>
          <w:tcPr>
            <w:tcW w:w="6951" w:type="dxa"/>
          </w:tcPr>
          <w:p w14:paraId="12A36B92" w14:textId="77777777" w:rsidR="000D6D17" w:rsidRPr="0035797B" w:rsidRDefault="000D6D17" w:rsidP="000D6D17">
            <w:pPr>
              <w:rPr>
                <w:rFonts w:eastAsia="宋体"/>
                <w:sz w:val="20"/>
                <w:szCs w:val="20"/>
              </w:rPr>
            </w:pPr>
          </w:p>
        </w:tc>
      </w:tr>
    </w:tbl>
    <w:p w14:paraId="467EE6B6" w14:textId="77777777" w:rsidR="00F511C4" w:rsidRDefault="00F511C4" w:rsidP="00E4444A"/>
    <w:p w14:paraId="43961159" w14:textId="61A7C101" w:rsidR="00F159DB" w:rsidRPr="00F159DB" w:rsidRDefault="009222FB" w:rsidP="00F159DB">
      <w:pPr>
        <w:pStyle w:val="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Pr>
          <w:rFonts w:eastAsia="Times New Roman"/>
          <w:sz w:val="20"/>
          <w:szCs w:val="22"/>
          <w:lang w:val="fi-FI"/>
        </w:rPr>
        <w:t>L1 based availibity indicaiton of TRS/CSI-RS occasion(s) to idle/inactive UEs.</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aff1"/>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w:t>
            </w:r>
            <w:proofErr w:type="gramStart"/>
            <w:r w:rsidRPr="00FF25A7">
              <w:rPr>
                <w:b/>
                <w:i/>
                <w:kern w:val="2"/>
                <w:sz w:val="20"/>
                <w:szCs w:val="20"/>
              </w:rPr>
              <w:t>RS</w:t>
            </w:r>
            <w:proofErr w:type="gramEnd"/>
            <w:r w:rsidRPr="00FF25A7">
              <w:rPr>
                <w:b/>
                <w:i/>
                <w:kern w:val="2"/>
                <w:sz w:val="20"/>
                <w:szCs w:val="20"/>
              </w:rPr>
              <w:t>.</w:t>
            </w:r>
          </w:p>
          <w:p w14:paraId="58E30CB9" w14:textId="30EB0491" w:rsidR="00506C31" w:rsidRPr="00FF25A7" w:rsidRDefault="00506C31" w:rsidP="00FF25A7">
            <w:pPr>
              <w:pStyle w:val="aff1"/>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lastRenderedPageBreak/>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lastRenderedPageBreak/>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宋体"/>
                <w:i/>
                <w:iCs/>
                <w:sz w:val="20"/>
                <w:szCs w:val="20"/>
              </w:rPr>
            </w:pPr>
            <w:r w:rsidRPr="00FF25A7">
              <w:rPr>
                <w:rFonts w:eastAsia="宋体"/>
                <w:i/>
                <w:iCs/>
                <w:sz w:val="20"/>
                <w:szCs w:val="20"/>
              </w:rPr>
              <w:t>validity/invalidity is indicated for a pre-configured period of time (</w:t>
            </w:r>
            <w:proofErr w:type="gramStart"/>
            <w:r w:rsidRPr="00FF25A7">
              <w:rPr>
                <w:rFonts w:eastAsia="宋体"/>
                <w:i/>
                <w:iCs/>
                <w:sz w:val="20"/>
                <w:szCs w:val="20"/>
              </w:rPr>
              <w:t>e.g.</w:t>
            </w:r>
            <w:proofErr w:type="gramEnd"/>
            <w:r w:rsidRPr="00FF25A7">
              <w:rPr>
                <w:rFonts w:eastAsia="宋体"/>
                <w:i/>
                <w:iCs/>
                <w:sz w:val="20"/>
                <w:szCs w:val="20"/>
              </w:rPr>
              <w:t xml:space="preserve"> 10s) from the time of indication. </w:t>
            </w:r>
          </w:p>
          <w:p w14:paraId="598F48C3" w14:textId="77777777" w:rsidR="00C501C7" w:rsidRPr="00FF25A7" w:rsidRDefault="00C501C7" w:rsidP="00FF25A7">
            <w:pPr>
              <w:numPr>
                <w:ilvl w:val="1"/>
                <w:numId w:val="47"/>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FF25A7">
            <w:pPr>
              <w:pStyle w:val="aff1"/>
              <w:numPr>
                <w:ilvl w:val="0"/>
                <w:numId w:val="48"/>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7"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8" w:name="_Toc71625911"/>
            <w:bookmarkStart w:id="9" w:name="P5"/>
            <w:bookmarkEnd w:id="7"/>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 xml:space="preserve">Proposal 2: Before agreeing on the signaling details, the maximum number of TRS configurations supported by TRS/CSI-RS occasion(s) should be agreed first. This has direct impact on the overhead reduction for L1 signaling design, </w:t>
            </w:r>
            <w:proofErr w:type="gramStart"/>
            <w:r w:rsidRPr="00FF25A7">
              <w:rPr>
                <w:rFonts w:eastAsia="宋体"/>
                <w:b/>
                <w:bCs/>
                <w:sz w:val="20"/>
                <w:szCs w:val="20"/>
              </w:rPr>
              <w:t>i.e.</w:t>
            </w:r>
            <w:proofErr w:type="gramEnd"/>
            <w:r w:rsidRPr="00FF25A7">
              <w:rPr>
                <w:rFonts w:eastAsia="宋体"/>
                <w:b/>
                <w:bCs/>
                <w:sz w:val="20"/>
                <w:szCs w:val="20"/>
              </w:rPr>
              <w:t xml:space="preserv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w:t>
            </w:r>
            <w:r w:rsidRPr="00FF25A7">
              <w:rPr>
                <w:b/>
                <w:bCs/>
                <w:color w:val="000000"/>
                <w:sz w:val="20"/>
                <w:szCs w:val="20"/>
              </w:rPr>
              <w:lastRenderedPageBreak/>
              <w:t xml:space="preserve">(including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lastRenderedPageBreak/>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1" w:name="_Toc71665174"/>
            <w:bookmarkStart w:id="12"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3" w:name="_Toc71665175"/>
            <w:bookmarkStart w:id="14" w:name="_Toc79168962"/>
            <w:r w:rsidRPr="00244318">
              <w:rPr>
                <w:rFonts w:ascii="Arial" w:eastAsia="等线" w:hAnsi="Arial" w:cs="Arial"/>
                <w:b/>
                <w:bCs/>
                <w:sz w:val="20"/>
                <w:szCs w:val="20"/>
                <w:lang w:eastAsia="ja-JP"/>
              </w:rPr>
              <w:t>For L1-based TRS availability indication via Paging DCI, a codepoint/</w:t>
            </w:r>
            <w:proofErr w:type="gramStart"/>
            <w:r w:rsidRPr="00244318">
              <w:rPr>
                <w:rFonts w:ascii="Arial" w:eastAsia="等线" w:hAnsi="Arial" w:cs="Arial"/>
                <w:b/>
                <w:bCs/>
                <w:sz w:val="20"/>
                <w:szCs w:val="20"/>
                <w:lang w:eastAsia="ja-JP"/>
              </w:rPr>
              <w:t>bitmap based</w:t>
            </w:r>
            <w:proofErr w:type="gramEnd"/>
            <w:r w:rsidRPr="00244318">
              <w:rPr>
                <w:rFonts w:ascii="Arial" w:eastAsia="等线" w:hAnsi="Arial" w:cs="Arial"/>
                <w:b/>
                <w:bCs/>
                <w:sz w:val="20"/>
                <w:szCs w:val="20"/>
                <w:lang w:eastAsia="ja-JP"/>
              </w:rPr>
              <w:t xml:space="preserve"> approach is used to indicate TRS availability of different resources and/or for different validity timer values.</w:t>
            </w:r>
            <w:bookmarkEnd w:id="13"/>
            <w:bookmarkEnd w:id="14"/>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5" w:name="_Toc79168963"/>
            <w:r w:rsidRPr="00244318">
              <w:rPr>
                <w:rFonts w:ascii="Arial" w:eastAsia="等线" w:hAnsi="Arial" w:cs="Arial"/>
                <w:b/>
                <w:bCs/>
                <w:sz w:val="20"/>
                <w:szCs w:val="20"/>
                <w:lang w:eastAsia="ja-JP"/>
              </w:rPr>
              <w:t>The number of resource sets per availability indication can be up to 64.</w:t>
            </w:r>
            <w:bookmarkEnd w:id="15"/>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16" w:name="_Toc71665176"/>
            <w:bookmarkStart w:id="17"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8" w:name="_Toc71665177"/>
            <w:bookmarkStart w:id="19" w:name="_Toc79168965"/>
            <w:r w:rsidRPr="00244318">
              <w:rPr>
                <w:rFonts w:ascii="Arial" w:eastAsia="等线"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FE2894">
        <w:rPr>
          <w:rFonts w:eastAsia="Times New Roman"/>
          <w:sz w:val="20"/>
          <w:szCs w:val="20"/>
          <w:lang w:val="fi-FI"/>
        </w:rPr>
        <w:t xml:space="preserve">TRS/CSI-RS occassion(s)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w:t>
      </w:r>
      <w:proofErr w:type="gramStart"/>
      <w:r>
        <w:rPr>
          <w:rFonts w:eastAsia="Times New Roman"/>
          <w:sz w:val="20"/>
          <w:szCs w:val="20"/>
          <w:highlight w:val="cyan"/>
          <w:lang w:val="en-GB" w:eastAsia="en-US"/>
        </w:rPr>
        <w:t>e.g.</w:t>
      </w:r>
      <w:proofErr w:type="gramEnd"/>
      <w:r>
        <w:rPr>
          <w:rFonts w:eastAsia="Times New Roman"/>
          <w:sz w:val="20"/>
          <w:szCs w:val="20"/>
          <w:highlight w:val="cyan"/>
          <w:lang w:val="en-GB" w:eastAsia="en-US"/>
        </w:rPr>
        <w:t xml:space="preserve">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r>
              <w:rPr>
                <w:rFonts w:eastAsia="等线"/>
                <w:sz w:val="20"/>
                <w:szCs w:val="20"/>
              </w:rPr>
              <w:t>,</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等线"/>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bl>
    <w:p w14:paraId="62DAFEE7" w14:textId="77777777" w:rsidR="00A67638" w:rsidRPr="0035797B"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5159212C"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0608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xml:space="preserve">, </w:t>
            </w:r>
            <w:proofErr w:type="gramStart"/>
            <w:r w:rsidR="00A67638">
              <w:rPr>
                <w:sz w:val="20"/>
                <w:szCs w:val="20"/>
              </w:rPr>
              <w:t>e.g.</w:t>
            </w:r>
            <w:proofErr w:type="gramEnd"/>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proofErr w:type="gramStart"/>
            <w:r>
              <w:rPr>
                <w:rFonts w:eastAsia="宋体"/>
                <w:sz w:val="20"/>
                <w:szCs w:val="20"/>
              </w:rPr>
              <w:t>E</w:t>
            </w:r>
            <w:r>
              <w:rPr>
                <w:rFonts w:eastAsia="宋体" w:hint="eastAsia"/>
                <w:sz w:val="20"/>
                <w:szCs w:val="20"/>
              </w:rPr>
              <w:t>.g.</w:t>
            </w:r>
            <w:proofErr w:type="gramEnd"/>
            <w:r>
              <w:rPr>
                <w:rFonts w:eastAsia="宋体" w:hint="eastAsia"/>
                <w:sz w:val="20"/>
                <w:szCs w:val="20"/>
              </w:rPr>
              <w:t xml:space="preserve">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bl>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w:t>
      </w:r>
      <w:proofErr w:type="gramStart"/>
      <w:r w:rsidRPr="0087516B">
        <w:t>e.g.</w:t>
      </w:r>
      <w:proofErr w:type="gramEnd"/>
      <w:r w:rsidRPr="0087516B">
        <w:t xml:space="preserve"> using bitmap or codepoints</w:t>
      </w:r>
    </w:p>
    <w:p w14:paraId="007B1C79" w14:textId="39E51C5F"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lastRenderedPageBreak/>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w:t>
            </w:r>
            <w:proofErr w:type="gramStart"/>
            <w:r>
              <w:rPr>
                <w:rFonts w:eastAsia="宋体" w:hint="eastAsia"/>
                <w:sz w:val="20"/>
                <w:szCs w:val="20"/>
              </w:rPr>
              <w:t>flexible  to</w:t>
            </w:r>
            <w:proofErr w:type="gramEnd"/>
            <w:r>
              <w:rPr>
                <w:rFonts w:eastAsia="宋体" w:hint="eastAsia"/>
                <w:sz w:val="20"/>
                <w:szCs w:val="20"/>
              </w:rPr>
              <w:t xml:space="preserve">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bl>
    <w:p w14:paraId="5FA94035" w14:textId="2D2DA357" w:rsidR="00BA5957" w:rsidRPr="00BA5957" w:rsidRDefault="00BA5957" w:rsidP="00BA5957">
      <w:pPr>
        <w:rPr>
          <w:lang w:val="en-GB"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23C4C851"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Pr="001423D3">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aff1"/>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aff1"/>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77777777" w:rsidR="00412BAD" w:rsidRPr="00BC70B0" w:rsidRDefault="00412BAD" w:rsidP="00FF25A7">
            <w:pPr>
              <w:pStyle w:val="aff1"/>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UEs and can avoid different understanding among UEs paged on the same PO. </w:t>
            </w:r>
          </w:p>
          <w:p w14:paraId="22EC36CB" w14:textId="4FC96C73" w:rsidR="00412BAD" w:rsidRPr="00BC70B0" w:rsidRDefault="00412BAD" w:rsidP="00FF25A7">
            <w:pPr>
              <w:pStyle w:val="aff1"/>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ac"/>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FF25A7">
            <w:pPr>
              <w:pStyle w:val="ac"/>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lastRenderedPageBreak/>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w:t>
            </w:r>
            <w:proofErr w:type="gramStart"/>
            <w:r w:rsidRPr="00BC70B0">
              <w:rPr>
                <w:rStyle w:val="normaltextrun"/>
                <w:rFonts w:eastAsia="Consolas"/>
                <w:b/>
                <w:bCs/>
                <w:sz w:val="20"/>
                <w:szCs w:val="20"/>
              </w:rPr>
              <w:t>e.g.</w:t>
            </w:r>
            <w:proofErr w:type="gramEnd"/>
            <w:r w:rsidRPr="00BC70B0">
              <w:rPr>
                <w:rStyle w:val="normaltextrun"/>
                <w:rFonts w:eastAsia="Consolas"/>
                <w:b/>
                <w:bCs/>
                <w:sz w:val="20"/>
                <w:szCs w:val="20"/>
              </w:rPr>
              <w:t xml:space="preserve">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77777777"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宋体"/>
                <w:i/>
                <w:iCs/>
                <w:sz w:val="20"/>
                <w:szCs w:val="20"/>
              </w:rPr>
            </w:pPr>
            <w:r w:rsidRPr="00BC70B0">
              <w:rPr>
                <w:rFonts w:eastAsia="宋体"/>
                <w:i/>
                <w:iCs/>
                <w:sz w:val="20"/>
                <w:szCs w:val="20"/>
              </w:rPr>
              <w:t>validity/invalidity is indicated for a pre-configured period of time (</w:t>
            </w:r>
            <w:proofErr w:type="gramStart"/>
            <w:r w:rsidRPr="00BC70B0">
              <w:rPr>
                <w:rFonts w:eastAsia="宋体"/>
                <w:i/>
                <w:iCs/>
                <w:sz w:val="20"/>
                <w:szCs w:val="20"/>
              </w:rPr>
              <w:t>e.g.</w:t>
            </w:r>
            <w:proofErr w:type="gramEnd"/>
            <w:r w:rsidRPr="00BC70B0">
              <w:rPr>
                <w:rFonts w:eastAsia="宋体"/>
                <w:i/>
                <w:iCs/>
                <w:sz w:val="20"/>
                <w:szCs w:val="20"/>
              </w:rPr>
              <w:t xml:space="preserve"> 10s) from the time of indication. </w:t>
            </w:r>
          </w:p>
          <w:p w14:paraId="7412BE4C" w14:textId="77777777" w:rsidR="00C501C7" w:rsidRPr="00BC70B0" w:rsidRDefault="00C501C7" w:rsidP="00FF25A7">
            <w:pPr>
              <w:numPr>
                <w:ilvl w:val="1"/>
                <w:numId w:val="47"/>
              </w:numPr>
              <w:spacing w:after="0"/>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422FDCA"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 xml:space="preserve">Proposal 5: </w:t>
            </w:r>
            <w:proofErr w:type="spellStart"/>
            <w:r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77777777"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UEs.</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369888D5" w:rsidR="00C17228" w:rsidRPr="00BC70B0" w:rsidRDefault="00960CF3" w:rsidP="00FF25A7">
            <w:pPr>
              <w:spacing w:after="0"/>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UEs.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77777777" w:rsidR="002C429C" w:rsidRPr="00BC70B0" w:rsidRDefault="002C429C" w:rsidP="00FF25A7">
            <w:pPr>
              <w:spacing w:after="0"/>
              <w:rPr>
                <w:b/>
                <w:bCs/>
                <w:sz w:val="20"/>
                <w:szCs w:val="20"/>
                <w:lang w:val="en-GB"/>
              </w:rPr>
            </w:pPr>
            <w:r w:rsidRPr="00BC70B0">
              <w:rPr>
                <w:b/>
                <w:bCs/>
                <w:sz w:val="20"/>
                <w:szCs w:val="20"/>
                <w:lang w:val="en-GB"/>
              </w:rPr>
              <w:t>Proposal 7: When a TRS configuration is indicated as available, the idle/inactive UEs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21" w:name="_Toc71665173"/>
            <w:bookmarkStart w:id="22"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w:t>
            </w:r>
            <w:r w:rsidRPr="00BC70B0">
              <w:rPr>
                <w:b/>
                <w:bCs/>
                <w:sz w:val="20"/>
                <w:szCs w:val="20"/>
              </w:rPr>
              <w:lastRenderedPageBreak/>
              <w:t xml:space="preserve">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0AF4859B" w:rsidR="00F849F3" w:rsidRPr="00FE2894" w:rsidRDefault="00F849F3" w:rsidP="00F849F3">
      <w:pPr>
        <w:rPr>
          <w:rFonts w:eastAsia="Times New Roman"/>
          <w:sz w:val="20"/>
          <w:szCs w:val="20"/>
          <w:lang w:val="fi-FI"/>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Pr="001423D3">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FE2894">
        <w:rPr>
          <w:rFonts w:eastAsia="Times New Roman"/>
          <w:sz w:val="20"/>
          <w:szCs w:val="20"/>
          <w:lang w:val="fi-FI"/>
        </w:rPr>
        <w:t xml:space="preserve">TRS/CSI-RS occassion(s) to idle/inactive UEs. </w:t>
      </w:r>
      <w:r>
        <w:rPr>
          <w:rFonts w:eastAsia="Times New Roman"/>
          <w:sz w:val="20"/>
          <w:szCs w:val="20"/>
          <w:lang w:val="fi-FI"/>
        </w:rPr>
        <w:t xml:space="preserve">The main issue is to determine the details or down-select alterantives for FFS. </w:t>
      </w:r>
    </w:p>
    <w:p w14:paraId="4064E865" w14:textId="3878C7BE"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UEs</w:t>
      </w:r>
    </w:p>
    <w:p w14:paraId="0A9562CE" w14:textId="77777777" w:rsidR="00330F96" w:rsidRPr="00F849F3" w:rsidRDefault="00330F96" w:rsidP="00330F96">
      <w:pPr>
        <w:rPr>
          <w:rFonts w:eastAsia="等线"/>
          <w:b/>
          <w:sz w:val="20"/>
          <w:szCs w:val="20"/>
          <w:lang w:val="en-GB"/>
        </w:rPr>
      </w:pPr>
    </w:p>
    <w:p w14:paraId="261AA34F" w14:textId="1BE414FA"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UEs</w:t>
      </w:r>
    </w:p>
    <w:p w14:paraId="66F7D075" w14:textId="45CB0235"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Pr="005266BF">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Pr>
                <w:rFonts w:eastAsia="Malgun Gothic"/>
                <w:sz w:val="20"/>
                <w:szCs w:val="20"/>
              </w:rPr>
              <w:t xml:space="preserve">, </w:t>
            </w:r>
            <w:r w:rsidRPr="00BC70B0">
              <w:rPr>
                <w:rFonts w:eastAsia="Malgun Gothic"/>
                <w:sz w:val="20"/>
                <w:szCs w:val="20"/>
              </w:rPr>
              <w:t>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330F96">
      <w:pPr>
        <w:pStyle w:val="aff1"/>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330F96">
      <w:pPr>
        <w:pStyle w:val="aff1"/>
        <w:numPr>
          <w:ilvl w:val="1"/>
          <w:numId w:val="62"/>
        </w:numPr>
        <w:rPr>
          <w:rFonts w:ascii="Times New Roman" w:eastAsia="等线"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aff1"/>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 xml:space="preserve">2: N s., </w:t>
      </w:r>
      <w:proofErr w:type="gramStart"/>
      <w:r w:rsidRPr="004E0AAD">
        <w:rPr>
          <w:rFonts w:ascii="Times New Roman" w:eastAsia="等线" w:hAnsi="Times New Roman"/>
          <w:sz w:val="20"/>
          <w:szCs w:val="20"/>
        </w:rPr>
        <w:t>e.g.</w:t>
      </w:r>
      <w:proofErr w:type="gramEnd"/>
      <w:r w:rsidRPr="004E0AAD">
        <w:rPr>
          <w:rFonts w:ascii="Times New Roman" w:eastAsia="等线" w:hAnsi="Times New Roman"/>
          <w:sz w:val="20"/>
          <w:szCs w:val="20"/>
        </w:rPr>
        <w:t xml:space="preserve"> 10s</w:t>
      </w:r>
    </w:p>
    <w:p w14:paraId="424FD382" w14:textId="77777777" w:rsidR="00330F96" w:rsidRPr="004E0AAD" w:rsidRDefault="00330F96" w:rsidP="00330F96">
      <w:pPr>
        <w:pStyle w:val="aff1"/>
        <w:numPr>
          <w:ilvl w:val="1"/>
          <w:numId w:val="62"/>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330F96">
      <w:pPr>
        <w:pStyle w:val="aff1"/>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330F96">
      <w:pPr>
        <w:pStyle w:val="aff1"/>
        <w:numPr>
          <w:ilvl w:val="1"/>
          <w:numId w:val="62"/>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aff1"/>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330F96">
      <w:pPr>
        <w:pStyle w:val="aff1"/>
        <w:numPr>
          <w:ilvl w:val="1"/>
          <w:numId w:val="62"/>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330F96">
      <w:pPr>
        <w:pStyle w:val="aff1"/>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330F96">
      <w:pPr>
        <w:pStyle w:val="aff1"/>
        <w:numPr>
          <w:ilvl w:val="1"/>
          <w:numId w:val="56"/>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aff1"/>
        <w:numPr>
          <w:ilvl w:val="0"/>
          <w:numId w:val="56"/>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330F96">
      <w:pPr>
        <w:pStyle w:val="aff1"/>
        <w:numPr>
          <w:ilvl w:val="1"/>
          <w:numId w:val="56"/>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lastRenderedPageBreak/>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61"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800" w:type="dxa"/>
          </w:tcPr>
          <w:p w14:paraId="09469270" w14:textId="7A4505CF" w:rsidR="00BA7E7A" w:rsidRDefault="00BA7E7A" w:rsidP="00195963">
            <w:pPr>
              <w:rPr>
                <w:rFonts w:eastAsia="宋体"/>
                <w:sz w:val="20"/>
                <w:szCs w:val="20"/>
              </w:rPr>
            </w:pPr>
            <w:proofErr w:type="spellStart"/>
            <w:r>
              <w:rPr>
                <w:rFonts w:eastAsia="宋体"/>
                <w:sz w:val="20"/>
                <w:szCs w:val="20"/>
              </w:rPr>
              <w:t>O</w:t>
            </w:r>
            <w:r>
              <w:rPr>
                <w:rFonts w:eastAsia="宋体" w:hint="eastAsia"/>
                <w:sz w:val="20"/>
                <w:szCs w:val="20"/>
              </w:rPr>
              <w:t>pt</w:t>
            </w:r>
            <w:proofErr w:type="spellEnd"/>
            <w:r>
              <w:rPr>
                <w:rFonts w:eastAsia="宋体" w:hint="eastAsia"/>
                <w:sz w:val="20"/>
                <w:szCs w:val="20"/>
              </w:rPr>
              <w: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proofErr w:type="spellStart"/>
            <w:r>
              <w:rPr>
                <w:rFonts w:eastAsia="宋体"/>
                <w:sz w:val="20"/>
                <w:szCs w:val="20"/>
              </w:rPr>
              <w:t>Opt</w:t>
            </w:r>
            <w:proofErr w:type="spellEnd"/>
            <w:r>
              <w:rPr>
                <w:rFonts w:eastAsia="宋体" w:hint="eastAsia"/>
                <w:sz w:val="20"/>
                <w:szCs w:val="20"/>
              </w:rPr>
              <w:t>- 1 for reference/starting point</w:t>
            </w:r>
          </w:p>
        </w:tc>
        <w:tc>
          <w:tcPr>
            <w:tcW w:w="6861"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t xml:space="preserve">TCL </w:t>
            </w:r>
          </w:p>
        </w:tc>
        <w:tc>
          <w:tcPr>
            <w:tcW w:w="1800"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61"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宋体" w:hint="eastAsia"/>
                <w:sz w:val="20"/>
                <w:szCs w:val="20"/>
              </w:rPr>
            </w:pPr>
            <w:r>
              <w:rPr>
                <w:rFonts w:eastAsia="宋体" w:hint="eastAsia"/>
                <w:sz w:val="20"/>
                <w:szCs w:val="20"/>
              </w:rPr>
              <w:t>O</w:t>
            </w:r>
            <w:r>
              <w:rPr>
                <w:rFonts w:eastAsia="宋体"/>
                <w:sz w:val="20"/>
                <w:szCs w:val="20"/>
              </w:rPr>
              <w:t>PPO</w:t>
            </w:r>
          </w:p>
        </w:tc>
        <w:tc>
          <w:tcPr>
            <w:tcW w:w="1800"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61" w:type="dxa"/>
          </w:tcPr>
          <w:p w14:paraId="404387E7" w14:textId="77777777" w:rsidR="000D6D17" w:rsidRPr="0035797B" w:rsidRDefault="000D6D17" w:rsidP="000D6D17">
            <w:pPr>
              <w:rPr>
                <w:rFonts w:eastAsia="宋体"/>
                <w:sz w:val="20"/>
                <w:szCs w:val="20"/>
              </w:rPr>
            </w:pPr>
          </w:p>
        </w:tc>
      </w:tr>
    </w:tbl>
    <w:p w14:paraId="06F0C2AD" w14:textId="71792090" w:rsidR="00F5434A"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03489597"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SIB based availibity indicaiton of TRS/CSI-RS occasion(s) to idle/inactive UEs.</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77777777" w:rsidR="00294C12" w:rsidRPr="00294C12" w:rsidRDefault="00294C12" w:rsidP="00294C12">
            <w:pPr>
              <w:snapToGrid w:val="0"/>
              <w:spacing w:after="0"/>
              <w:rPr>
                <w:rFonts w:eastAsia="Calibri"/>
                <w:sz w:val="20"/>
                <w:szCs w:val="20"/>
              </w:rPr>
            </w:pPr>
            <w:r w:rsidRPr="00294C12">
              <w:rPr>
                <w:sz w:val="20"/>
                <w:szCs w:val="20"/>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0265032A"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Pr="00514B26">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6E4DCB7E" w:rsidR="00A617D8" w:rsidRPr="006A23C9" w:rsidRDefault="00A617D8" w:rsidP="002262FE">
            <w:pPr>
              <w:pStyle w:val="aff1"/>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UEs.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5C4A3ED4"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UEs.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c"/>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c"/>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7222DA7E"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UEs as a default mode when L1 based signalling is not configured or expires. </w:t>
            </w:r>
          </w:p>
          <w:p w14:paraId="7C963C20" w14:textId="77777777"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UEs can be </w:t>
            </w:r>
            <w:r w:rsidRPr="006A23C9">
              <w:rPr>
                <w:rFonts w:ascii="Times" w:eastAsia="Times New Roman" w:hAnsi="Times"/>
                <w:b/>
                <w:bCs/>
                <w:sz w:val="20"/>
                <w:szCs w:val="20"/>
                <w:u w:val="single"/>
                <w:lang w:val="en-GB" w:eastAsia="x-none"/>
              </w:rPr>
              <w:lastRenderedPageBreak/>
              <w:t xml:space="preserve">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77777777"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Supporting SIB based signalling for availability information of TRS/CSI-RS occasions for idle/inactive UEs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4EA43F47"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UEs,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 xml:space="preserve">Proposal: Support providing static TRS availability configuration in system information, </w:t>
            </w:r>
            <w:proofErr w:type="gramStart"/>
            <w:r w:rsidRPr="006A23C9">
              <w:rPr>
                <w:b/>
                <w:bCs/>
                <w:sz w:val="20"/>
                <w:szCs w:val="20"/>
              </w:rPr>
              <w:t>e.g.</w:t>
            </w:r>
            <w:proofErr w:type="gramEnd"/>
            <w:r w:rsidRPr="006A23C9">
              <w:rPr>
                <w:b/>
                <w:bCs/>
                <w:sz w:val="20"/>
                <w:szCs w:val="20"/>
              </w:rPr>
              <w:t xml:space="preserve">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340E9D9B" w:rsidR="006A23C9" w:rsidRDefault="006A23C9" w:rsidP="006A23C9">
      <w:pPr>
        <w:pStyle w:val="3"/>
      </w:pPr>
      <w:r>
        <w:t xml:space="preserve">3.1 </w:t>
      </w:r>
      <w:r w:rsidR="0036242B">
        <w:t>&lt;</w:t>
      </w:r>
      <w:r>
        <w:t>1</w:t>
      </w:r>
      <w:r w:rsidRPr="00640AA4">
        <w:rPr>
          <w:vertAlign w:val="superscript"/>
        </w:rPr>
        <w:t>st</w:t>
      </w:r>
      <w:r>
        <w:t xml:space="preserve"> round discussion</w:t>
      </w:r>
      <w:r w:rsidR="0036242B">
        <w:t>&gt;</w:t>
      </w:r>
    </w:p>
    <w:p w14:paraId="0F19224C" w14:textId="7D8848DC"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Pr="00441B84">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UEs</w:t>
      </w:r>
    </w:p>
    <w:p w14:paraId="52457B6D" w14:textId="77777777" w:rsidR="00F849F3" w:rsidRPr="00F849F3" w:rsidRDefault="00F849F3" w:rsidP="00F849F3">
      <w:pPr>
        <w:numPr>
          <w:ilvl w:val="0"/>
          <w:numId w:val="56"/>
        </w:numPr>
        <w:rPr>
          <w:rFonts w:eastAsia="等线"/>
          <w:sz w:val="20"/>
          <w:szCs w:val="20"/>
          <w:highlight w:val="yellow"/>
        </w:rPr>
      </w:pPr>
      <w:r w:rsidRPr="00F849F3">
        <w:rPr>
          <w:rFonts w:eastAsia="等线"/>
          <w:sz w:val="20"/>
          <w:szCs w:val="20"/>
          <w:highlight w:val="yellow"/>
        </w:rPr>
        <w:t>Issue 3-1: whether or how to support SIB based signaling for availability information of TRS/CSI-RS occasions for idle/inactive UEs</w:t>
      </w:r>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4A0DADF"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UEs</w:t>
      </w:r>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proofErr w:type="gramStart"/>
            <w:r w:rsidRPr="00FE2894">
              <w:rPr>
                <w:sz w:val="20"/>
                <w:szCs w:val="20"/>
              </w:rPr>
              <w:t>1</w:t>
            </w:r>
            <w:r>
              <w:rPr>
                <w:sz w:val="20"/>
                <w:szCs w:val="20"/>
              </w:rPr>
              <w:t>:Yes</w:t>
            </w:r>
            <w:proofErr w:type="gramEnd"/>
            <w:r>
              <w:rPr>
                <w:sz w:val="20"/>
                <w:szCs w:val="20"/>
              </w:rPr>
              <w:t xml:space="preserve">, </w:t>
            </w:r>
            <w:r w:rsidRPr="00294C12">
              <w:rPr>
                <w:sz w:val="20"/>
                <w:szCs w:val="20"/>
              </w:rPr>
              <w:t xml:space="preserve">based on the presence/absence of the configuration of </w:t>
            </w:r>
            <w:r w:rsidRPr="00294C12">
              <w:rPr>
                <w:sz w:val="20"/>
                <w:szCs w:val="20"/>
              </w:rPr>
              <w:lastRenderedPageBreak/>
              <w:t>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lastRenderedPageBreak/>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lastRenderedPageBreak/>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lastRenderedPageBreak/>
              <w:t>Alt-</w:t>
            </w:r>
            <w:proofErr w:type="gramStart"/>
            <w:r>
              <w:rPr>
                <w:sz w:val="20"/>
                <w:szCs w:val="20"/>
              </w:rPr>
              <w:t>2:Yes</w:t>
            </w:r>
            <w:proofErr w:type="gramEnd"/>
            <w:r>
              <w:rPr>
                <w:sz w:val="20"/>
                <w:szCs w:val="20"/>
              </w:rPr>
              <w:t>,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Alt-</w:t>
            </w:r>
            <w:proofErr w:type="gramStart"/>
            <w:r>
              <w:rPr>
                <w:sz w:val="20"/>
                <w:szCs w:val="20"/>
              </w:rPr>
              <w:t>3:Yes</w:t>
            </w:r>
            <w:proofErr w:type="gramEnd"/>
            <w:r>
              <w:rPr>
                <w:sz w:val="20"/>
                <w:szCs w:val="20"/>
              </w:rPr>
              <w:t xml:space="preserve">,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w:t>
            </w:r>
            <w:proofErr w:type="gramStart"/>
            <w:r w:rsidRPr="00EE4154">
              <w:rPr>
                <w:sz w:val="20"/>
                <w:szCs w:val="20"/>
              </w:rPr>
              <w:t>e.g.</w:t>
            </w:r>
            <w:proofErr w:type="gramEnd"/>
            <w:r w:rsidRPr="00EE4154">
              <w:rPr>
                <w:sz w:val="20"/>
                <w:szCs w:val="20"/>
              </w:rPr>
              <w:t xml:space="preserve">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10"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51"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51"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10"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51" w:type="dxa"/>
          </w:tcPr>
          <w:p w14:paraId="7C5F3227" w14:textId="54F5DFDB" w:rsidR="000D6D17" w:rsidRPr="0035797B" w:rsidRDefault="000D6D17" w:rsidP="000D6D17">
            <w:pPr>
              <w:rPr>
                <w:rFonts w:eastAsia="宋体"/>
                <w:sz w:val="20"/>
                <w:szCs w:val="20"/>
              </w:rPr>
            </w:pPr>
            <w:proofErr w:type="gramStart"/>
            <w:r>
              <w:rPr>
                <w:rFonts w:eastAsia="宋体"/>
                <w:sz w:val="20"/>
                <w:szCs w:val="20"/>
              </w:rPr>
              <w:t>Generally</w:t>
            </w:r>
            <w:proofErr w:type="gramEnd"/>
            <w:r>
              <w:rPr>
                <w:rFonts w:eastAsia="宋体"/>
                <w:sz w:val="20"/>
                <w:szCs w:val="20"/>
              </w:rPr>
              <w:t xml:space="preserve">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51"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bl>
    <w:p w14:paraId="5FDFC84A" w14:textId="77777777" w:rsidR="00F849F3" w:rsidRPr="0035797B"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等线"/>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UEs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77777777" w:rsidR="000D6D17" w:rsidRPr="0035797B" w:rsidRDefault="000D6D17" w:rsidP="000D6D17">
            <w:pPr>
              <w:rPr>
                <w:rFonts w:eastAsia="等线"/>
                <w:sz w:val="20"/>
                <w:szCs w:val="20"/>
              </w:rPr>
            </w:pPr>
          </w:p>
        </w:tc>
        <w:tc>
          <w:tcPr>
            <w:tcW w:w="1710" w:type="dxa"/>
          </w:tcPr>
          <w:p w14:paraId="2680FFB5" w14:textId="77777777" w:rsidR="000D6D17" w:rsidRPr="0035797B" w:rsidRDefault="000D6D17" w:rsidP="000D6D17">
            <w:pPr>
              <w:rPr>
                <w:rFonts w:eastAsia="宋体"/>
                <w:sz w:val="20"/>
                <w:szCs w:val="20"/>
              </w:rPr>
            </w:pPr>
          </w:p>
        </w:tc>
        <w:tc>
          <w:tcPr>
            <w:tcW w:w="6951" w:type="dxa"/>
          </w:tcPr>
          <w:p w14:paraId="3DDE8A9C" w14:textId="77777777" w:rsidR="000D6D17" w:rsidRPr="0035797B" w:rsidRDefault="000D6D17" w:rsidP="000D6D17">
            <w:pPr>
              <w:rPr>
                <w:rFonts w:eastAsia="宋体"/>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6C10539" w:rsidR="002C30EF" w:rsidRPr="00991E3A" w:rsidRDefault="00EA30BD" w:rsidP="00991E3A">
      <w:pPr>
        <w:pStyle w:val="2"/>
        <w:ind w:left="1134" w:hanging="1134"/>
      </w:pPr>
      <w:r>
        <w:t>4</w:t>
      </w:r>
      <w:r w:rsidR="007B0D79">
        <w:t xml:space="preserve">.1 QCL </w:t>
      </w:r>
      <w:r w:rsidR="001305D7">
        <w:t>information</w:t>
      </w:r>
    </w:p>
    <w:p w14:paraId="55EB1A14" w14:textId="4F719C2D"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Pr>
          <w:rFonts w:eastAsia="Times New Roman"/>
          <w:sz w:val="20"/>
          <w:szCs w:val="22"/>
          <w:lang w:val="fi-FI"/>
        </w:rPr>
        <w:t>configuration of QCL information for TRS/CSI-RS occasion(s) to idle/inactive UEs.</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77777777"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The QCL information of TRS/CSI-RS occasion(s) for idle/inactive UEs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0"/>
                <w:szCs w:val="20"/>
              </w:rPr>
            </w:pPr>
            <w:r w:rsidRPr="00020E6E">
              <w:rPr>
                <w:rFonts w:eastAsia="宋体"/>
                <w:sz w:val="20"/>
                <w:szCs w:val="20"/>
              </w:rPr>
              <w:t xml:space="preserve">FFS: how the QCL information can be configured, </w:t>
            </w:r>
            <w:proofErr w:type="gramStart"/>
            <w:r w:rsidRPr="00020E6E">
              <w:rPr>
                <w:rFonts w:eastAsia="宋体"/>
                <w:sz w:val="20"/>
                <w:szCs w:val="20"/>
              </w:rPr>
              <w:t>e.g.</w:t>
            </w:r>
            <w:proofErr w:type="gramEnd"/>
            <w:r w:rsidRPr="00020E6E">
              <w:rPr>
                <w:rFonts w:eastAsia="宋体"/>
                <w:sz w:val="20"/>
                <w:szCs w:val="20"/>
              </w:rPr>
              <w:t xml:space="preserve">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aff1"/>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aff1"/>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aff1"/>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aff1"/>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24CACF74" w:rsidR="00A10CC8" w:rsidRPr="008E1B49" w:rsidRDefault="00A10CC8" w:rsidP="008E1B49">
            <w:pPr>
              <w:pStyle w:val="ac"/>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UEs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77777777" w:rsidR="002371C2" w:rsidRPr="008E1B49" w:rsidRDefault="002371C2" w:rsidP="008E1B49">
            <w:pPr>
              <w:adjustRightInd w:val="0"/>
              <w:snapToGrid w:val="0"/>
              <w:spacing w:after="0"/>
              <w:jc w:val="both"/>
              <w:rPr>
                <w:b/>
                <w:sz w:val="20"/>
                <w:szCs w:val="20"/>
                <w:u w:val="single"/>
              </w:rPr>
            </w:pPr>
            <w:r w:rsidRPr="008E1B49">
              <w:rPr>
                <w:b/>
                <w:sz w:val="20"/>
                <w:szCs w:val="20"/>
                <w:u w:val="single"/>
              </w:rPr>
              <w:t>Proposal 7: Support QCL information configured per RS resource for TRS/CSI-RS occasion(s) for idle/inactive UEs,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UEs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2B1F9C82"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25" w:name="_Toc71625909"/>
            <w:bookmarkStart w:id="26"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Reuse Rel-16 QCL rule with SSB as the QCL source for periodic TRS configured to inactive/idle UEs</w:t>
            </w:r>
            <w:bookmarkEnd w:id="25"/>
            <w:bookmarkEnd w:id="26"/>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5E6B969D"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Proposal 4: The QCL type of TRS/CSI-RS occasion reference signal for idle U</w:t>
            </w:r>
            <w:r w:rsidR="00105181">
              <w:rPr>
                <w:rFonts w:eastAsia="宋体"/>
                <w:b/>
                <w:sz w:val="20"/>
                <w:szCs w:val="20"/>
                <w:lang w:val="en-GB"/>
              </w:rPr>
              <w:t>E</w:t>
            </w:r>
            <w:r w:rsidRPr="008E1B49">
              <w:rPr>
                <w:rFonts w:eastAsia="宋体"/>
                <w:b/>
                <w:sz w:val="20"/>
                <w:szCs w:val="20"/>
                <w:lang w:val="en-GB"/>
              </w:rPr>
              <w:t>s should take 'QCL-</w:t>
            </w:r>
            <w:proofErr w:type="spellStart"/>
            <w:r w:rsidRPr="008E1B49">
              <w:rPr>
                <w:rFonts w:eastAsia="宋体"/>
                <w:b/>
                <w:sz w:val="20"/>
                <w:szCs w:val="20"/>
                <w:lang w:val="en-GB"/>
              </w:rPr>
              <w:t>TypeC</w:t>
            </w:r>
            <w:proofErr w:type="spellEnd"/>
            <w:r w:rsidRPr="008E1B49">
              <w:rPr>
                <w:rFonts w:eastAsia="宋体"/>
                <w:b/>
                <w:sz w:val="20"/>
                <w:szCs w:val="20"/>
                <w:lang w:val="en-GB"/>
              </w:rPr>
              <w:t>' or 'QCL-</w:t>
            </w:r>
            <w:proofErr w:type="spellStart"/>
            <w:r w:rsidRPr="008E1B49">
              <w:rPr>
                <w:rFonts w:eastAsia="宋体"/>
                <w:b/>
                <w:sz w:val="20"/>
                <w:szCs w:val="20"/>
                <w:lang w:val="en-GB"/>
              </w:rPr>
              <w:t>TypeD</w:t>
            </w:r>
            <w:proofErr w:type="spellEnd"/>
            <w:r w:rsidRPr="008E1B49">
              <w:rPr>
                <w:rFonts w:eastAsia="宋体"/>
                <w:b/>
                <w:sz w:val="20"/>
                <w:szCs w:val="20"/>
                <w:lang w:val="en-GB"/>
              </w:rPr>
              <w:t>'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lastRenderedPageBreak/>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27"/>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1224072D" w:rsidR="00CF26BC" w:rsidRDefault="00CF26BC" w:rsidP="00CF26BC">
      <w:pPr>
        <w:pStyle w:val="3"/>
      </w:pPr>
      <w:r>
        <w:t xml:space="preserve">4.1.1 </w:t>
      </w:r>
      <w:r w:rsidR="0036242B">
        <w:t>&lt;</w:t>
      </w:r>
      <w:r>
        <w:t>1</w:t>
      </w:r>
      <w:r w:rsidRPr="00640AA4">
        <w:rPr>
          <w:vertAlign w:val="superscript"/>
        </w:rPr>
        <w:t>st</w:t>
      </w:r>
      <w:r>
        <w:t xml:space="preserve"> round discussion</w:t>
      </w:r>
      <w:r w:rsidR="0036242B">
        <w:t>&gt;</w:t>
      </w:r>
    </w:p>
    <w:p w14:paraId="4D38E0EB" w14:textId="3FD0A315"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Pr>
          <w:rFonts w:eastAsia="Times New Roman"/>
          <w:sz w:val="20"/>
          <w:szCs w:val="22"/>
          <w:lang w:val="fi-FI"/>
        </w:rPr>
        <w:t>QCL information for TRS/CSI-RS occasion(s) to idle/inactive UEs.</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rPr>
        <w:t xml:space="preserve">Issue 4.1-1: FFS: how the QCL information can be configured, </w:t>
      </w:r>
      <w:proofErr w:type="gramStart"/>
      <w:r w:rsidRPr="00CF26BC">
        <w:rPr>
          <w:rFonts w:eastAsia="宋体"/>
          <w:sz w:val="20"/>
          <w:szCs w:val="20"/>
          <w:highlight w:val="yellow"/>
        </w:rPr>
        <w:t>e.g.</w:t>
      </w:r>
      <w:proofErr w:type="gramEnd"/>
      <w:r w:rsidRPr="00CF26BC">
        <w:rPr>
          <w:rFonts w:eastAsia="宋体"/>
          <w:sz w:val="20"/>
          <w:szCs w:val="20"/>
          <w:highlight w:val="yellow"/>
        </w:rPr>
        <w:t xml:space="preserve">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xml:space="preserve">: FFS: how the QCL information can be configured, </w:t>
      </w:r>
      <w:proofErr w:type="gramStart"/>
      <w:r w:rsidRPr="008349C8">
        <w:rPr>
          <w:rFonts w:ascii="Arial" w:eastAsia="Batang" w:hAnsi="Arial"/>
          <w:szCs w:val="20"/>
          <w:lang w:val="en-GB" w:eastAsia="en-US"/>
        </w:rPr>
        <w:t>e.g.</w:t>
      </w:r>
      <w:proofErr w:type="gramEnd"/>
      <w:r w:rsidRPr="008349C8">
        <w:rPr>
          <w:rFonts w:ascii="Arial" w:eastAsia="Batang" w:hAnsi="Arial"/>
          <w:szCs w:val="20"/>
          <w:lang w:val="en-GB" w:eastAsia="en-US"/>
        </w:rPr>
        <w:t xml:space="preserve">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proofErr w:type="gramStart"/>
            <w:r w:rsidRPr="00BF7B6B">
              <w:rPr>
                <w:rFonts w:eastAsia="等线"/>
                <w:sz w:val="20"/>
                <w:szCs w:val="20"/>
              </w:rPr>
              <w:t>E</w:t>
            </w:r>
            <w:r w:rsidRPr="00BF7B6B">
              <w:rPr>
                <w:rFonts w:eastAsia="等线" w:hint="eastAsia"/>
                <w:sz w:val="20"/>
                <w:szCs w:val="20"/>
              </w:rPr>
              <w:t>.g.</w:t>
            </w:r>
            <w:proofErr w:type="gramEnd"/>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10"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51"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t only costs one bit for each RS resource/</w:t>
            </w:r>
            <w:proofErr w:type="gramStart"/>
            <w:r>
              <w:rPr>
                <w:rFonts w:eastAsia="宋体" w:hint="eastAsia"/>
                <w:sz w:val="20"/>
                <w:szCs w:val="20"/>
              </w:rPr>
              <w:t>set  which</w:t>
            </w:r>
            <w:proofErr w:type="gramEnd"/>
            <w:r>
              <w:rPr>
                <w:rFonts w:eastAsia="宋体" w:hint="eastAsia"/>
                <w:sz w:val="20"/>
                <w:szCs w:val="20"/>
              </w:rPr>
              <w:t xml:space="preserve">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10"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51"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51"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aff1"/>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77777777"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Pr="00A10CC8">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Pr="00A10CC8">
              <w:rPr>
                <w:rFonts w:eastAsia="宋体"/>
                <w:sz w:val="20"/>
                <w:szCs w:val="20"/>
                <w:lang w:val="en-GB"/>
              </w:rPr>
              <w:t>'</w:t>
            </w:r>
            <w:proofErr w:type="spellStart"/>
            <w:r w:rsidRPr="00A10CC8">
              <w:rPr>
                <w:rFonts w:eastAsia="宋体"/>
                <w:sz w:val="20"/>
                <w:szCs w:val="20"/>
                <w:lang w:val="en-GB"/>
              </w:rPr>
              <w:t>typeD</w:t>
            </w:r>
            <w:proofErr w:type="spellEnd"/>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77777777"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Pr="00A10CC8">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 't</w:t>
            </w:r>
            <w:proofErr w:type="spellStart"/>
            <w:r w:rsidRPr="00A10CC8">
              <w:rPr>
                <w:rFonts w:eastAsia="宋体"/>
                <w:sz w:val="20"/>
                <w:szCs w:val="20"/>
                <w:lang w:val="x-none"/>
              </w:rPr>
              <w:t>ypeD</w:t>
            </w:r>
            <w:proofErr w:type="spellEnd"/>
            <w:r w:rsidRPr="00A10CC8">
              <w:rPr>
                <w:rFonts w:eastAsia="宋体"/>
                <w:sz w:val="20"/>
                <w:szCs w:val="20"/>
                <w:lang w:val="x-none"/>
              </w:rPr>
              <w:t>'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77777777"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w:t>
            </w:r>
            <w:proofErr w:type="gramStart"/>
            <w:r w:rsidRPr="00792039">
              <w:rPr>
                <w:rFonts w:eastAsia="Times New Roman"/>
                <w:sz w:val="20"/>
                <w:szCs w:val="20"/>
              </w:rPr>
              <w:t>i.e.</w:t>
            </w:r>
            <w:proofErr w:type="gramEnd"/>
            <w:r w:rsidRPr="00792039">
              <w:rPr>
                <w:rFonts w:eastAsia="Times New Roman"/>
                <w:sz w:val="20"/>
                <w:szCs w:val="20"/>
              </w:rPr>
              <w:t xml:space="preserve"> 'QCL-</w:t>
            </w:r>
            <w:proofErr w:type="spellStart"/>
            <w:r w:rsidRPr="00792039">
              <w:rPr>
                <w:rFonts w:eastAsia="Times New Roman"/>
                <w:sz w:val="20"/>
                <w:szCs w:val="20"/>
              </w:rPr>
              <w:t>Type</w:t>
            </w:r>
            <w:r w:rsidRPr="00792039">
              <w:rPr>
                <w:rFonts w:eastAsia="Times New Roman" w:hint="eastAsia"/>
                <w:sz w:val="20"/>
                <w:szCs w:val="20"/>
              </w:rPr>
              <w:t>C</w:t>
            </w:r>
            <w:proofErr w:type="spellEnd"/>
            <w:r w:rsidRPr="00792039">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'QCL-</w:t>
            </w:r>
            <w:proofErr w:type="spellStart"/>
            <w:r w:rsidRPr="00792039">
              <w:rPr>
                <w:rFonts w:eastAsia="Times New Roman"/>
                <w:sz w:val="20"/>
                <w:szCs w:val="20"/>
              </w:rPr>
              <w:t>TypeD</w:t>
            </w:r>
            <w:proofErr w:type="spellEnd"/>
            <w:r w:rsidRPr="00792039">
              <w:rPr>
                <w:rFonts w:eastAsia="Times New Roman"/>
                <w:sz w:val="20"/>
                <w:szCs w:val="20"/>
              </w:rPr>
              <w:t>'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10"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51"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51"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TRS may be shared with connected UEs and it should align with the </w:t>
            </w:r>
            <w:proofErr w:type="gramStart"/>
            <w:r>
              <w:rPr>
                <w:rFonts w:eastAsia="宋体" w:hint="eastAsia"/>
                <w:sz w:val="20"/>
                <w:szCs w:val="20"/>
              </w:rPr>
              <w:t>rules  for</w:t>
            </w:r>
            <w:proofErr w:type="gramEnd"/>
            <w:r>
              <w:rPr>
                <w:rFonts w:eastAsia="宋体" w:hint="eastAsia"/>
                <w:sz w:val="20"/>
                <w:szCs w:val="20"/>
              </w:rPr>
              <w:t xml:space="preserve">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10"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51"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51" w:type="dxa"/>
          </w:tcPr>
          <w:p w14:paraId="6C133B91" w14:textId="77777777" w:rsidR="0053156E" w:rsidRPr="0035797B" w:rsidRDefault="0053156E" w:rsidP="0053156E">
            <w:pPr>
              <w:rPr>
                <w:rFonts w:eastAsia="宋体"/>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w:t>
            </w:r>
            <w:proofErr w:type="gramStart"/>
            <w:r w:rsidRPr="00020E6E">
              <w:rPr>
                <w:rFonts w:eastAsia="宋体"/>
                <w:sz w:val="20"/>
                <w:szCs w:val="20"/>
              </w:rPr>
              <w:t>a</w:t>
            </w:r>
            <w:proofErr w:type="gramEnd"/>
            <w:r w:rsidRPr="00020E6E">
              <w:rPr>
                <w:rFonts w:eastAsia="宋体"/>
                <w:sz w:val="20"/>
                <w:szCs w:val="20"/>
              </w:rPr>
              <w:t xml:space="preserve">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0"/>
                <w:szCs w:val="20"/>
              </w:rPr>
            </w:pPr>
            <w:proofErr w:type="gramStart"/>
            <w:r w:rsidRPr="00020E6E">
              <w:rPr>
                <w:rFonts w:eastAsia="宋体"/>
                <w:sz w:val="20"/>
                <w:szCs w:val="20"/>
              </w:rPr>
              <w:t>E.g.</w:t>
            </w:r>
            <w:proofErr w:type="gramEnd"/>
            <w:r w:rsidRPr="00020E6E">
              <w:rPr>
                <w:rFonts w:eastAsia="宋体"/>
                <w:sz w:val="20"/>
                <w:szCs w:val="20"/>
              </w:rPr>
              <w:t xml:space="preserve">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宋体"/>
                <w:sz w:val="22"/>
                <w:szCs w:val="20"/>
              </w:rPr>
            </w:pPr>
            <w:proofErr w:type="gramStart"/>
            <w:r w:rsidRPr="00020E6E">
              <w:rPr>
                <w:rFonts w:eastAsia="宋体"/>
                <w:sz w:val="20"/>
                <w:szCs w:val="20"/>
                <w:lang w:eastAsia="en-US"/>
              </w:rPr>
              <w:t>E.g.</w:t>
            </w:r>
            <w:proofErr w:type="gramEnd"/>
            <w:r w:rsidRPr="00020E6E">
              <w:rPr>
                <w:rFonts w:eastAsia="宋体"/>
                <w:sz w:val="20"/>
                <w:szCs w:val="20"/>
                <w:lang w:eastAsia="en-US"/>
              </w:rPr>
              <w:t xml:space="preserve">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lastRenderedPageBreak/>
              <w:t>HiSilicon</w:t>
            </w:r>
            <w:proofErr w:type="spellEnd"/>
          </w:p>
        </w:tc>
        <w:tc>
          <w:tcPr>
            <w:tcW w:w="8753" w:type="dxa"/>
          </w:tcPr>
          <w:p w14:paraId="02426557" w14:textId="05D0215A" w:rsidR="006C7E13" w:rsidRPr="009751B9" w:rsidRDefault="00E302EF" w:rsidP="009751B9">
            <w:pPr>
              <w:pStyle w:val="aff1"/>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lastRenderedPageBreak/>
              <w:t>The configuration of assistance TRS for IDLE/INACTIVE UEs does not include config</w:t>
            </w:r>
            <w:r w:rsidRPr="009751B9">
              <w:rPr>
                <w:rFonts w:ascii="Times New Roman" w:hAnsi="Times New Roman"/>
                <w:b/>
                <w:i/>
                <w:kern w:val="2"/>
                <w:sz w:val="20"/>
                <w:szCs w:val="20"/>
              </w:rPr>
              <w:lastRenderedPageBreak/>
              <w:t>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lastRenderedPageBreak/>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0BB3DC4" w:rsidR="00764A76" w:rsidRPr="00FE2894" w:rsidRDefault="00764A76" w:rsidP="00764A76">
      <w:pPr>
        <w:rPr>
          <w:rFonts w:eastAsia="Times New Roman"/>
          <w:sz w:val="20"/>
          <w:szCs w:val="20"/>
          <w:lang w:val="fi-FI"/>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10"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51"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51"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10"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51"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674DCF">
        <w:trPr>
          <w:trHeight w:val="448"/>
        </w:trPr>
        <w:tc>
          <w:tcPr>
            <w:tcW w:w="1075" w:type="dxa"/>
          </w:tcPr>
          <w:p w14:paraId="6C9ECC07" w14:textId="77777777" w:rsidR="0053156E" w:rsidRPr="0035797B" w:rsidRDefault="0053156E" w:rsidP="0053156E">
            <w:pPr>
              <w:rPr>
                <w:rFonts w:eastAsia="等线"/>
                <w:sz w:val="20"/>
                <w:szCs w:val="20"/>
              </w:rPr>
            </w:pPr>
          </w:p>
        </w:tc>
        <w:tc>
          <w:tcPr>
            <w:tcW w:w="1710" w:type="dxa"/>
          </w:tcPr>
          <w:p w14:paraId="23061EBC" w14:textId="77777777" w:rsidR="0053156E" w:rsidRPr="0035797B" w:rsidRDefault="0053156E" w:rsidP="0053156E">
            <w:pPr>
              <w:rPr>
                <w:rFonts w:eastAsia="宋体"/>
                <w:sz w:val="20"/>
                <w:szCs w:val="20"/>
              </w:rPr>
            </w:pPr>
          </w:p>
        </w:tc>
        <w:tc>
          <w:tcPr>
            <w:tcW w:w="6951" w:type="dxa"/>
          </w:tcPr>
          <w:p w14:paraId="3CD5DE5A" w14:textId="77777777" w:rsidR="0053156E" w:rsidRPr="0035797B" w:rsidRDefault="0053156E" w:rsidP="0053156E">
            <w:pPr>
              <w:rPr>
                <w:rFonts w:eastAsia="宋体"/>
                <w:sz w:val="20"/>
                <w:szCs w:val="20"/>
              </w:rPr>
            </w:pPr>
          </w:p>
        </w:tc>
      </w:tr>
    </w:tbl>
    <w:p w14:paraId="2CA343DB" w14:textId="2EEC67A7" w:rsidR="00764A76" w:rsidRPr="00764A76" w:rsidRDefault="00764A76" w:rsidP="00020E6E">
      <w:pPr>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lastRenderedPageBreak/>
        <w:t xml:space="preserve">Alt5: Configure TRS/CSI-RS SMTC, </w:t>
      </w:r>
      <w:proofErr w:type="gramStart"/>
      <w:r w:rsidRPr="001B62E1">
        <w:rPr>
          <w:rFonts w:eastAsia="Batang"/>
          <w:sz w:val="20"/>
          <w:szCs w:val="20"/>
          <w:lang w:val="en-GB" w:eastAsia="x-none"/>
        </w:rPr>
        <w:t>e.g.</w:t>
      </w:r>
      <w:proofErr w:type="gramEnd"/>
      <w:r w:rsidRPr="001B62E1">
        <w:rPr>
          <w:rFonts w:eastAsia="Batang"/>
          <w:sz w:val="20"/>
          <w:szCs w:val="20"/>
          <w:lang w:val="en-GB" w:eastAsia="x-none"/>
        </w:rPr>
        <w:t xml:space="preserve">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aff1"/>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aff1"/>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aff1"/>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 xml:space="preserve">QCL assumption of the configured TRS/CSI-RS resources associated with </w:t>
            </w:r>
            <w:proofErr w:type="gramStart"/>
            <w:r w:rsidRPr="00944036">
              <w:rPr>
                <w:rFonts w:eastAsia="宋体"/>
                <w:b/>
                <w:i/>
                <w:sz w:val="20"/>
                <w:szCs w:val="20"/>
              </w:rPr>
              <w:t>a</w:t>
            </w:r>
            <w:proofErr w:type="gramEnd"/>
            <w:r w:rsidRPr="00944036">
              <w:rPr>
                <w:rFonts w:eastAsia="宋体"/>
                <w:b/>
                <w:i/>
                <w:sz w:val="20"/>
                <w:szCs w:val="20"/>
              </w:rPr>
              <w:t xml:space="preserve">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w:t>
            </w:r>
            <w:proofErr w:type="gramStart"/>
            <w:r w:rsidRPr="00764A76">
              <w:rPr>
                <w:rFonts w:eastAsia="Batang"/>
                <w:b/>
                <w:bCs/>
                <w:iCs/>
                <w:color w:val="000000"/>
                <w:kern w:val="2"/>
                <w:sz w:val="20"/>
                <w:szCs w:val="20"/>
                <w:lang w:val="en-GB" w:eastAsia="x-none"/>
              </w:rPr>
              <w:t>e.g.</w:t>
            </w:r>
            <w:proofErr w:type="gramEnd"/>
            <w:r w:rsidRPr="00764A76">
              <w:rPr>
                <w:rFonts w:eastAsia="Batang"/>
                <w:b/>
                <w:bCs/>
                <w:iCs/>
                <w:color w:val="000000"/>
                <w:kern w:val="2"/>
                <w:sz w:val="20"/>
                <w:szCs w:val="20"/>
                <w:lang w:val="en-GB" w:eastAsia="x-none"/>
              </w:rPr>
              <w:t xml:space="preserve">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B1C47F3"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Following parameters can be </w:t>
            </w:r>
            <w:proofErr w:type="gramStart"/>
            <w:r w:rsidRPr="00764A76">
              <w:rPr>
                <w:rFonts w:eastAsia="宋体"/>
                <w:b/>
                <w:bCs/>
                <w:sz w:val="20"/>
                <w:szCs w:val="20"/>
              </w:rPr>
              <w:t>assume</w:t>
            </w:r>
            <w:proofErr w:type="gramEnd"/>
            <w:r w:rsidRPr="00764A76">
              <w:rPr>
                <w:rFonts w:eastAsia="宋体"/>
                <w:b/>
                <w:bCs/>
                <w:sz w:val="20"/>
                <w:szCs w:val="20"/>
              </w:rPr>
              <w:t xml:space="preserve"> to be same/common for RS resources in a slot for </w:t>
            </w:r>
            <w:r w:rsidRPr="00764A76">
              <w:rPr>
                <w:rFonts w:eastAsia="宋体"/>
                <w:b/>
                <w:bCs/>
                <w:sz w:val="20"/>
                <w:szCs w:val="20"/>
              </w:rPr>
              <w:lastRenderedPageBreak/>
              <w:t>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xml:space="preserve">’, or similar IE would need to be provided only once for TRS symbols in same slot, or in two </w:t>
            </w:r>
            <w:proofErr w:type="gramStart"/>
            <w:r w:rsidRPr="00764A76">
              <w:rPr>
                <w:rFonts w:eastAsia="宋体"/>
                <w:b/>
                <w:bCs/>
                <w:sz w:val="20"/>
                <w:szCs w:val="20"/>
              </w:rPr>
              <w:t>consecutive</w:t>
            </w:r>
            <w:proofErr w:type="gramEnd"/>
            <w:r w:rsidRPr="00764A76">
              <w:rPr>
                <w:rFonts w:eastAsia="宋体"/>
                <w:b/>
                <w:bCs/>
                <w:sz w:val="20"/>
                <w:szCs w:val="20"/>
              </w:rPr>
              <w:t>.</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E346B03" w:rsidR="0036242B" w:rsidRPr="00FE2894" w:rsidRDefault="0036242B" w:rsidP="0036242B">
      <w:pPr>
        <w:rPr>
          <w:rFonts w:eastAsia="Times New Roman"/>
          <w:sz w:val="20"/>
          <w:szCs w:val="20"/>
          <w:lang w:val="fi-FI"/>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Pr>
          <w:sz w:val="20"/>
          <w:szCs w:val="20"/>
          <w:lang w:val="fi-FI"/>
        </w:rPr>
        <w:t xml:space="preserve">configuraiton index is one of the configuration parameters. How to </w:t>
      </w:r>
      <w:r>
        <w:rPr>
          <w:rFonts w:eastAsia="Times New Roman"/>
          <w:sz w:val="20"/>
          <w:szCs w:val="20"/>
          <w:lang w:val="fi-FI"/>
        </w:rPr>
        <w:t xml:space="preserve">determine </w:t>
      </w:r>
      <w:r>
        <w:rPr>
          <w:sz w:val="20"/>
          <w:szCs w:val="20"/>
          <w:lang w:val="fi-FI"/>
        </w:rPr>
        <w:t>the details of configuraiton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w:t>
            </w:r>
            <w:proofErr w:type="gramStart"/>
            <w:r w:rsidRPr="000728EA">
              <w:rPr>
                <w:sz w:val="20"/>
                <w:szCs w:val="20"/>
                <w:lang w:eastAsia="ja-JP"/>
              </w:rPr>
              <w:t>e.g.</w:t>
            </w:r>
            <w:proofErr w:type="gramEnd"/>
            <w:r w:rsidRPr="000728EA">
              <w:rPr>
                <w:sz w:val="20"/>
                <w:szCs w:val="20"/>
                <w:lang w:eastAsia="ja-JP"/>
              </w:rPr>
              <w:t xml:space="preserve">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10"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51"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等线"/>
                <w:sz w:val="20"/>
                <w:szCs w:val="20"/>
              </w:rPr>
            </w:pPr>
            <w:r>
              <w:rPr>
                <w:rFonts w:eastAsia="等线" w:hint="eastAsia"/>
                <w:sz w:val="20"/>
                <w:szCs w:val="20"/>
              </w:rPr>
              <w:lastRenderedPageBreak/>
              <w:t>Sharp</w:t>
            </w:r>
          </w:p>
        </w:tc>
        <w:tc>
          <w:tcPr>
            <w:tcW w:w="1710"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51"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4" w:name="OLE_LINK14"/>
            <w:bookmarkStart w:id="35" w:name="OLE_LINK15"/>
            <w:r>
              <w:rPr>
                <w:rFonts w:eastAsia="宋体" w:hint="eastAsia"/>
                <w:sz w:val="20"/>
                <w:szCs w:val="20"/>
              </w:rPr>
              <w:t xml:space="preserve">absence/presence </w:t>
            </w:r>
            <w:bookmarkEnd w:id="34"/>
            <w:bookmarkEnd w:id="35"/>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10"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51"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74DCF">
        <w:trPr>
          <w:trHeight w:val="448"/>
        </w:trPr>
        <w:tc>
          <w:tcPr>
            <w:tcW w:w="1075" w:type="dxa"/>
          </w:tcPr>
          <w:p w14:paraId="3B9C83F7" w14:textId="77777777" w:rsidR="0053156E" w:rsidRPr="0035797B" w:rsidRDefault="0053156E" w:rsidP="0053156E">
            <w:pPr>
              <w:rPr>
                <w:rFonts w:eastAsia="等线"/>
                <w:sz w:val="20"/>
                <w:szCs w:val="20"/>
              </w:rPr>
            </w:pPr>
          </w:p>
        </w:tc>
        <w:tc>
          <w:tcPr>
            <w:tcW w:w="1710" w:type="dxa"/>
          </w:tcPr>
          <w:p w14:paraId="7E7F7803" w14:textId="77777777" w:rsidR="0053156E" w:rsidRPr="0035797B" w:rsidRDefault="0053156E" w:rsidP="0053156E">
            <w:pPr>
              <w:rPr>
                <w:rFonts w:eastAsia="宋体"/>
                <w:sz w:val="20"/>
                <w:szCs w:val="20"/>
              </w:rPr>
            </w:pPr>
          </w:p>
        </w:tc>
        <w:tc>
          <w:tcPr>
            <w:tcW w:w="6951" w:type="dxa"/>
          </w:tcPr>
          <w:p w14:paraId="7B2C10C2" w14:textId="77777777" w:rsidR="0053156E" w:rsidRPr="0035797B" w:rsidRDefault="0053156E" w:rsidP="0053156E">
            <w:pPr>
              <w:rPr>
                <w:rFonts w:eastAsia="宋体"/>
                <w:sz w:val="20"/>
                <w:szCs w:val="20"/>
              </w:rPr>
            </w:pPr>
          </w:p>
        </w:tc>
      </w:tr>
    </w:tbl>
    <w:p w14:paraId="65C8FBDA" w14:textId="77777777" w:rsidR="0036242B"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w:t>
            </w:r>
            <w:proofErr w:type="gramStart"/>
            <w:r w:rsidRPr="006A3025">
              <w:rPr>
                <w:rFonts w:eastAsia="Batang"/>
                <w:b/>
                <w:bCs/>
                <w:iCs/>
                <w:color w:val="000000"/>
                <w:kern w:val="2"/>
                <w:sz w:val="20"/>
                <w:szCs w:val="20"/>
                <w:lang w:val="en-GB" w:eastAsia="x-none"/>
              </w:rPr>
              <w:t>e.g.</w:t>
            </w:r>
            <w:proofErr w:type="gramEnd"/>
            <w:r w:rsidRPr="006A3025">
              <w:rPr>
                <w:rFonts w:eastAsia="Batang"/>
                <w:b/>
                <w:bCs/>
                <w:iCs/>
                <w:color w:val="000000"/>
                <w:kern w:val="2"/>
                <w:sz w:val="20"/>
                <w:szCs w:val="20"/>
                <w:lang w:val="en-GB" w:eastAsia="x-none"/>
              </w:rPr>
              <w:t xml:space="preserve">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lastRenderedPageBreak/>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w:t>
            </w:r>
            <w:proofErr w:type="gramStart"/>
            <w:r>
              <w:rPr>
                <w:rFonts w:eastAsia="宋体" w:hint="eastAsia"/>
                <w:sz w:val="20"/>
                <w:szCs w:val="20"/>
              </w:rPr>
              <w:t>discuss :</w:t>
            </w:r>
            <w:proofErr w:type="gramEnd"/>
            <w:r>
              <w:rPr>
                <w:rFonts w:eastAsia="宋体" w:hint="eastAsia"/>
                <w:sz w:val="20"/>
                <w:szCs w:val="20"/>
              </w:rPr>
              <w:t xml:space="preserve">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77777777" w:rsidR="006B13BA" w:rsidRPr="00BA7E7A" w:rsidRDefault="006B13BA" w:rsidP="00674DCF">
            <w:pPr>
              <w:rPr>
                <w:sz w:val="20"/>
                <w:szCs w:val="20"/>
              </w:rPr>
            </w:pPr>
          </w:p>
        </w:tc>
        <w:tc>
          <w:tcPr>
            <w:tcW w:w="1710" w:type="dxa"/>
          </w:tcPr>
          <w:p w14:paraId="6A77CAE1" w14:textId="77777777" w:rsidR="006B13BA" w:rsidRPr="000728EA" w:rsidRDefault="006B13BA" w:rsidP="00674DCF">
            <w:pPr>
              <w:rPr>
                <w:sz w:val="20"/>
                <w:szCs w:val="20"/>
              </w:rPr>
            </w:pPr>
          </w:p>
        </w:tc>
        <w:tc>
          <w:tcPr>
            <w:tcW w:w="6951" w:type="dxa"/>
          </w:tcPr>
          <w:p w14:paraId="10AF0903" w14:textId="77777777" w:rsidR="006B13BA" w:rsidRPr="000728EA" w:rsidRDefault="006B13BA" w:rsidP="00674DCF">
            <w:pPr>
              <w:rPr>
                <w:sz w:val="20"/>
                <w:szCs w:val="20"/>
              </w:rPr>
            </w:pPr>
          </w:p>
        </w:tc>
      </w:tr>
      <w:tr w:rsidR="006B13BA" w:rsidRPr="000728EA" w14:paraId="4F10A401" w14:textId="77777777" w:rsidTr="00674DCF">
        <w:trPr>
          <w:trHeight w:val="448"/>
        </w:trPr>
        <w:tc>
          <w:tcPr>
            <w:tcW w:w="1075" w:type="dxa"/>
          </w:tcPr>
          <w:p w14:paraId="6B1C5CCE" w14:textId="77777777" w:rsidR="006B13BA" w:rsidRPr="000728EA" w:rsidRDefault="006B13BA" w:rsidP="00674DCF">
            <w:pPr>
              <w:rPr>
                <w:sz w:val="20"/>
                <w:szCs w:val="20"/>
              </w:rPr>
            </w:pPr>
          </w:p>
        </w:tc>
        <w:tc>
          <w:tcPr>
            <w:tcW w:w="1710" w:type="dxa"/>
          </w:tcPr>
          <w:p w14:paraId="3A21377C" w14:textId="77777777" w:rsidR="006B13BA" w:rsidRPr="000728EA" w:rsidRDefault="006B13BA" w:rsidP="00674DCF">
            <w:pPr>
              <w:rPr>
                <w:sz w:val="20"/>
                <w:szCs w:val="20"/>
              </w:rPr>
            </w:pPr>
          </w:p>
        </w:tc>
        <w:tc>
          <w:tcPr>
            <w:tcW w:w="6951" w:type="dxa"/>
          </w:tcPr>
          <w:p w14:paraId="275A5236" w14:textId="77777777" w:rsidR="006B13BA" w:rsidRPr="000728EA" w:rsidRDefault="006B13BA" w:rsidP="00674DCF">
            <w:pPr>
              <w:rPr>
                <w:sz w:val="20"/>
                <w:szCs w:val="20"/>
              </w:rPr>
            </w:pPr>
          </w:p>
        </w:tc>
      </w:tr>
      <w:tr w:rsidR="006B13BA" w:rsidRPr="000728EA" w14:paraId="6EE219B8" w14:textId="77777777" w:rsidTr="00674DCF">
        <w:trPr>
          <w:trHeight w:val="448"/>
        </w:trPr>
        <w:tc>
          <w:tcPr>
            <w:tcW w:w="1075" w:type="dxa"/>
          </w:tcPr>
          <w:p w14:paraId="4C7091A8" w14:textId="77777777" w:rsidR="006B13BA" w:rsidRPr="000728EA" w:rsidRDefault="006B13BA" w:rsidP="00674DCF">
            <w:pPr>
              <w:rPr>
                <w:sz w:val="20"/>
                <w:szCs w:val="20"/>
              </w:rPr>
            </w:pPr>
          </w:p>
        </w:tc>
        <w:tc>
          <w:tcPr>
            <w:tcW w:w="1710" w:type="dxa"/>
          </w:tcPr>
          <w:p w14:paraId="1590A4F6" w14:textId="77777777" w:rsidR="006B13BA" w:rsidRPr="000728EA" w:rsidRDefault="006B13BA" w:rsidP="00674DCF">
            <w:pPr>
              <w:rPr>
                <w:sz w:val="20"/>
                <w:szCs w:val="20"/>
              </w:rPr>
            </w:pPr>
          </w:p>
        </w:tc>
        <w:tc>
          <w:tcPr>
            <w:tcW w:w="6951" w:type="dxa"/>
          </w:tcPr>
          <w:p w14:paraId="69153D6B" w14:textId="77777777" w:rsidR="006B13BA" w:rsidRPr="000728EA" w:rsidRDefault="006B13BA" w:rsidP="00674DCF">
            <w:pPr>
              <w:rPr>
                <w:sz w:val="20"/>
                <w:szCs w:val="20"/>
              </w:rPr>
            </w:pPr>
          </w:p>
        </w:tc>
      </w:tr>
    </w:tbl>
    <w:p w14:paraId="73019E9A" w14:textId="77777777" w:rsidR="006B13BA" w:rsidRPr="000728EA"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lastRenderedPageBreak/>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b"/>
                <w:b w:val="0"/>
                <w:bCs w:val="0"/>
                <w:sz w:val="20"/>
                <w:szCs w:val="20"/>
              </w:rPr>
            </w:pPr>
          </w:p>
          <w:p w14:paraId="0181CE32" w14:textId="77777777" w:rsidR="00D42780" w:rsidRPr="0062427C" w:rsidRDefault="00746260">
            <w:pPr>
              <w:spacing w:after="0"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w:t>
            </w:r>
            <w:r w:rsidRPr="0062427C">
              <w:rPr>
                <w:sz w:val="20"/>
                <w:szCs w:val="20"/>
              </w:rPr>
              <w:lastRenderedPageBreak/>
              <w:t>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lastRenderedPageBreak/>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w:t>
            </w:r>
            <w:proofErr w:type="gramStart"/>
            <w:r w:rsidRPr="0062427C">
              <w:rPr>
                <w:rFonts w:eastAsia="Times New Roman"/>
                <w:sz w:val="20"/>
                <w:szCs w:val="20"/>
                <w:lang w:val="en-GB"/>
              </w:rPr>
              <w:t>e.g.</w:t>
            </w:r>
            <w:proofErr w:type="gramEnd"/>
            <w:r w:rsidRPr="0062427C">
              <w:rPr>
                <w:rFonts w:eastAsia="Times New Roman"/>
                <w:sz w:val="20"/>
                <w:szCs w:val="20"/>
                <w:lang w:val="en-GB"/>
              </w:rPr>
              <w:t xml:space="preserve">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 xml:space="preserve">implicitly, </w:t>
            </w:r>
            <w:proofErr w:type="gramStart"/>
            <w:r w:rsidRPr="0062427C">
              <w:rPr>
                <w:rFonts w:eastAsia="Times New Roman"/>
                <w:color w:val="FF0000"/>
                <w:sz w:val="20"/>
                <w:szCs w:val="20"/>
                <w:lang w:val="en-GB"/>
              </w:rPr>
              <w:t>e.g.</w:t>
            </w:r>
            <w:proofErr w:type="gramEnd"/>
            <w:r w:rsidRPr="0062427C">
              <w:rPr>
                <w:rFonts w:eastAsia="Times New Roman"/>
                <w:color w:val="FF0000"/>
                <w:sz w:val="20"/>
                <w:szCs w:val="20"/>
                <w:lang w:val="en-GB"/>
              </w:rPr>
              <w:t xml:space="preserve">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lastRenderedPageBreak/>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 xml:space="preserve">FFS details of the QCL information, </w:t>
            </w:r>
            <w:proofErr w:type="gramStart"/>
            <w:r w:rsidRPr="0062427C">
              <w:rPr>
                <w:sz w:val="20"/>
                <w:szCs w:val="20"/>
                <w:lang w:val="en-GB" w:eastAsia="en-US"/>
              </w:rPr>
              <w:t>e.g.</w:t>
            </w:r>
            <w:proofErr w:type="gramEnd"/>
            <w:r w:rsidRPr="0062427C">
              <w:rPr>
                <w:sz w:val="20"/>
                <w:szCs w:val="20"/>
                <w:lang w:val="en-GB" w:eastAsia="en-US"/>
              </w:rPr>
              <w:t xml:space="preserve">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proofErr w:type="gramStart"/>
            <w:r w:rsidRPr="0062427C">
              <w:rPr>
                <w:sz w:val="20"/>
                <w:szCs w:val="20"/>
                <w:lang w:val="en-GB" w:eastAsia="en-US"/>
              </w:rPr>
              <w:t>e.g.</w:t>
            </w:r>
            <w:proofErr w:type="gramEnd"/>
            <w:r w:rsidRPr="0062427C">
              <w:rPr>
                <w:sz w:val="20"/>
                <w:szCs w:val="20"/>
                <w:lang w:val="en-GB" w:eastAsia="en-US"/>
              </w:rPr>
              <w:t xml:space="preserve">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proofErr w:type="gramStart"/>
            <w:r w:rsidRPr="0062427C">
              <w:rPr>
                <w:color w:val="FF0000"/>
                <w:sz w:val="20"/>
                <w:szCs w:val="20"/>
                <w:lang w:val="en-GB" w:eastAsia="en-US"/>
              </w:rPr>
              <w:t>e.g.</w:t>
            </w:r>
            <w:proofErr w:type="gramEnd"/>
            <w:r w:rsidRPr="0062427C">
              <w:rPr>
                <w:color w:val="FF0000"/>
                <w:sz w:val="20"/>
                <w:szCs w:val="20"/>
                <w:lang w:val="en-GB" w:eastAsia="en-US"/>
              </w:rPr>
              <w:t xml:space="preserve">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lastRenderedPageBreak/>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 xml:space="preserve">FFS: how the QCL information can be configured, </w:t>
            </w:r>
            <w:proofErr w:type="gramStart"/>
            <w:r w:rsidRPr="005146C5">
              <w:rPr>
                <w:rFonts w:ascii="Times" w:eastAsia="Batang" w:hAnsi="Times"/>
                <w:sz w:val="20"/>
                <w:szCs w:val="20"/>
                <w:lang w:val="en-GB" w:eastAsia="en-US"/>
              </w:rPr>
              <w:t>e.g.</w:t>
            </w:r>
            <w:proofErr w:type="gramEnd"/>
            <w:r w:rsidRPr="005146C5">
              <w:rPr>
                <w:rFonts w:ascii="Times" w:eastAsia="Batang" w:hAnsi="Times"/>
                <w:sz w:val="20"/>
                <w:szCs w:val="20"/>
                <w:lang w:val="en-GB" w:eastAsia="en-US"/>
              </w:rPr>
              <w:t xml:space="preserve">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w:t>
            </w:r>
            <w:proofErr w:type="gramStart"/>
            <w:r w:rsidRPr="005146C5">
              <w:rPr>
                <w:rFonts w:eastAsia="Batang" w:cs="Times"/>
                <w:sz w:val="20"/>
                <w:szCs w:val="20"/>
                <w:lang w:val="en-GB" w:eastAsia="x-none"/>
              </w:rPr>
              <w:t>a</w:t>
            </w:r>
            <w:proofErr w:type="gramEnd"/>
            <w:r w:rsidRPr="005146C5">
              <w:rPr>
                <w:rFonts w:eastAsia="Batang" w:cs="Times"/>
                <w:sz w:val="20"/>
                <w:szCs w:val="20"/>
                <w:lang w:val="en-GB" w:eastAsia="x-none"/>
              </w:rPr>
              <w:t xml:space="preserve">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6F6AB" w14:textId="77777777" w:rsidR="005803FE" w:rsidRDefault="005803FE">
      <w:r>
        <w:separator/>
      </w:r>
    </w:p>
  </w:endnote>
  <w:endnote w:type="continuationSeparator" w:id="0">
    <w:p w14:paraId="34ECFBC2" w14:textId="77777777" w:rsidR="005803FE" w:rsidRDefault="0058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0D69ED76" w:rsidR="00195963" w:rsidRDefault="00195963">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Pr>
        <w:rStyle w:val="afc"/>
        <w:i/>
        <w:noProof/>
        <w:color w:val="auto"/>
      </w:rPr>
      <w:t>24</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EE14" w14:textId="77777777" w:rsidR="005803FE" w:rsidRDefault="005803FE">
      <w:r>
        <w:separator/>
      </w:r>
    </w:p>
  </w:footnote>
  <w:footnote w:type="continuationSeparator" w:id="0">
    <w:p w14:paraId="3F391743" w14:textId="77777777" w:rsidR="005803FE" w:rsidRDefault="0058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900DA"/>
    <w:rsid w:val="00090FA7"/>
    <w:rsid w:val="00091151"/>
    <w:rsid w:val="0009146A"/>
    <w:rsid w:val="000926BB"/>
    <w:rsid w:val="000926E6"/>
    <w:rsid w:val="00093142"/>
    <w:rsid w:val="0009440D"/>
    <w:rsid w:val="00097B80"/>
    <w:rsid w:val="00097ECD"/>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2950"/>
    <w:rsid w:val="000D48CA"/>
    <w:rsid w:val="000D6080"/>
    <w:rsid w:val="000D6CBD"/>
    <w:rsid w:val="000D6D17"/>
    <w:rsid w:val="000E1FD2"/>
    <w:rsid w:val="000E2349"/>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3895"/>
    <w:rsid w:val="00176358"/>
    <w:rsid w:val="001765D4"/>
    <w:rsid w:val="00176A3B"/>
    <w:rsid w:val="00176E5D"/>
    <w:rsid w:val="0017744E"/>
    <w:rsid w:val="001802C2"/>
    <w:rsid w:val="0018074D"/>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76F"/>
    <w:rsid w:val="002020C8"/>
    <w:rsid w:val="0020258D"/>
    <w:rsid w:val="0020268D"/>
    <w:rsid w:val="002041EF"/>
    <w:rsid w:val="002055AB"/>
    <w:rsid w:val="00210247"/>
    <w:rsid w:val="00210A0D"/>
    <w:rsid w:val="00212059"/>
    <w:rsid w:val="00212634"/>
    <w:rsid w:val="00212FA1"/>
    <w:rsid w:val="0021353E"/>
    <w:rsid w:val="00213C91"/>
    <w:rsid w:val="002145C7"/>
    <w:rsid w:val="00214E69"/>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BF"/>
    <w:rsid w:val="00234F4F"/>
    <w:rsid w:val="00235842"/>
    <w:rsid w:val="00236A5E"/>
    <w:rsid w:val="00236E73"/>
    <w:rsid w:val="002371C2"/>
    <w:rsid w:val="002377BB"/>
    <w:rsid w:val="0023799B"/>
    <w:rsid w:val="00244318"/>
    <w:rsid w:val="002444BA"/>
    <w:rsid w:val="00244613"/>
    <w:rsid w:val="0024534A"/>
    <w:rsid w:val="00245E0C"/>
    <w:rsid w:val="002461E8"/>
    <w:rsid w:val="00251557"/>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30D2"/>
    <w:rsid w:val="0028338D"/>
    <w:rsid w:val="002843CC"/>
    <w:rsid w:val="00284726"/>
    <w:rsid w:val="00285078"/>
    <w:rsid w:val="00285C45"/>
    <w:rsid w:val="002861D2"/>
    <w:rsid w:val="00287137"/>
    <w:rsid w:val="002873C2"/>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552"/>
    <w:rsid w:val="00386982"/>
    <w:rsid w:val="00386D8D"/>
    <w:rsid w:val="00390E48"/>
    <w:rsid w:val="0039402D"/>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77B0"/>
    <w:rsid w:val="00520301"/>
    <w:rsid w:val="00520A51"/>
    <w:rsid w:val="005213AC"/>
    <w:rsid w:val="0052147F"/>
    <w:rsid w:val="00521527"/>
    <w:rsid w:val="0052216F"/>
    <w:rsid w:val="005225D0"/>
    <w:rsid w:val="00523B94"/>
    <w:rsid w:val="0052595D"/>
    <w:rsid w:val="005277F7"/>
    <w:rsid w:val="00527C97"/>
    <w:rsid w:val="00527E95"/>
    <w:rsid w:val="00527F3F"/>
    <w:rsid w:val="00530CCE"/>
    <w:rsid w:val="00530CDB"/>
    <w:rsid w:val="0053156E"/>
    <w:rsid w:val="00531BB7"/>
    <w:rsid w:val="00532718"/>
    <w:rsid w:val="00532A3D"/>
    <w:rsid w:val="00532EF5"/>
    <w:rsid w:val="00534A38"/>
    <w:rsid w:val="005354BF"/>
    <w:rsid w:val="00536406"/>
    <w:rsid w:val="00540F0F"/>
    <w:rsid w:val="00541B1E"/>
    <w:rsid w:val="00541E60"/>
    <w:rsid w:val="00542189"/>
    <w:rsid w:val="005431B8"/>
    <w:rsid w:val="00543E15"/>
    <w:rsid w:val="00544C4F"/>
    <w:rsid w:val="005453C7"/>
    <w:rsid w:val="0054542F"/>
    <w:rsid w:val="00545AA5"/>
    <w:rsid w:val="00545AED"/>
    <w:rsid w:val="0054612D"/>
    <w:rsid w:val="00552FC2"/>
    <w:rsid w:val="00553CDA"/>
    <w:rsid w:val="005541BD"/>
    <w:rsid w:val="0055550D"/>
    <w:rsid w:val="00555A92"/>
    <w:rsid w:val="00555BE6"/>
    <w:rsid w:val="00555C1C"/>
    <w:rsid w:val="00556607"/>
    <w:rsid w:val="005566DE"/>
    <w:rsid w:val="005569A1"/>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7DE"/>
    <w:rsid w:val="005A226A"/>
    <w:rsid w:val="005A2868"/>
    <w:rsid w:val="005A30B5"/>
    <w:rsid w:val="005A386D"/>
    <w:rsid w:val="005A3C1F"/>
    <w:rsid w:val="005A4D43"/>
    <w:rsid w:val="005A7246"/>
    <w:rsid w:val="005A7E28"/>
    <w:rsid w:val="005B09AF"/>
    <w:rsid w:val="005B1965"/>
    <w:rsid w:val="005B1DF4"/>
    <w:rsid w:val="005B46D9"/>
    <w:rsid w:val="005B6865"/>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7C89"/>
    <w:rsid w:val="00740153"/>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DFA"/>
    <w:rsid w:val="008043BB"/>
    <w:rsid w:val="00805209"/>
    <w:rsid w:val="00805958"/>
    <w:rsid w:val="00806190"/>
    <w:rsid w:val="00807A2D"/>
    <w:rsid w:val="00810595"/>
    <w:rsid w:val="008112E1"/>
    <w:rsid w:val="0081139B"/>
    <w:rsid w:val="00812C1E"/>
    <w:rsid w:val="0081317E"/>
    <w:rsid w:val="008133AA"/>
    <w:rsid w:val="008133F6"/>
    <w:rsid w:val="008140FE"/>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2134"/>
    <w:rsid w:val="0087323E"/>
    <w:rsid w:val="00874B61"/>
    <w:rsid w:val="0087516B"/>
    <w:rsid w:val="00875640"/>
    <w:rsid w:val="00875FAB"/>
    <w:rsid w:val="00876AC8"/>
    <w:rsid w:val="00876CF0"/>
    <w:rsid w:val="00877851"/>
    <w:rsid w:val="00877C2F"/>
    <w:rsid w:val="00877CFD"/>
    <w:rsid w:val="0088020E"/>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DD5"/>
    <w:rsid w:val="008C1F2A"/>
    <w:rsid w:val="008C5E12"/>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902759"/>
    <w:rsid w:val="00902FCF"/>
    <w:rsid w:val="00903813"/>
    <w:rsid w:val="009045CD"/>
    <w:rsid w:val="0090476A"/>
    <w:rsid w:val="0090495A"/>
    <w:rsid w:val="00905284"/>
    <w:rsid w:val="00905414"/>
    <w:rsid w:val="00906520"/>
    <w:rsid w:val="009077CB"/>
    <w:rsid w:val="00907E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CCB"/>
    <w:rsid w:val="009307EC"/>
    <w:rsid w:val="0093258D"/>
    <w:rsid w:val="00933A6F"/>
    <w:rsid w:val="00934C93"/>
    <w:rsid w:val="00936FA0"/>
    <w:rsid w:val="009373A0"/>
    <w:rsid w:val="00940134"/>
    <w:rsid w:val="00940C7C"/>
    <w:rsid w:val="00941716"/>
    <w:rsid w:val="00941948"/>
    <w:rsid w:val="0094307D"/>
    <w:rsid w:val="00944036"/>
    <w:rsid w:val="0094480B"/>
    <w:rsid w:val="00944DEB"/>
    <w:rsid w:val="00944E07"/>
    <w:rsid w:val="00945684"/>
    <w:rsid w:val="0095189B"/>
    <w:rsid w:val="00953B6C"/>
    <w:rsid w:val="00956F2C"/>
    <w:rsid w:val="00960CF3"/>
    <w:rsid w:val="009637FF"/>
    <w:rsid w:val="00963B2B"/>
    <w:rsid w:val="00965732"/>
    <w:rsid w:val="009664E8"/>
    <w:rsid w:val="009675F1"/>
    <w:rsid w:val="00970E26"/>
    <w:rsid w:val="009734D4"/>
    <w:rsid w:val="00973AC8"/>
    <w:rsid w:val="009751B9"/>
    <w:rsid w:val="0098215F"/>
    <w:rsid w:val="009853BD"/>
    <w:rsid w:val="00990F2D"/>
    <w:rsid w:val="00991185"/>
    <w:rsid w:val="00991E3A"/>
    <w:rsid w:val="00992DEF"/>
    <w:rsid w:val="009937EE"/>
    <w:rsid w:val="00993B76"/>
    <w:rsid w:val="00993FC4"/>
    <w:rsid w:val="00994428"/>
    <w:rsid w:val="00995208"/>
    <w:rsid w:val="00996C1C"/>
    <w:rsid w:val="0099747D"/>
    <w:rsid w:val="00997820"/>
    <w:rsid w:val="009A0BAC"/>
    <w:rsid w:val="009A1EDF"/>
    <w:rsid w:val="009A20B1"/>
    <w:rsid w:val="009A6999"/>
    <w:rsid w:val="009A6E7C"/>
    <w:rsid w:val="009B0A82"/>
    <w:rsid w:val="009B13E0"/>
    <w:rsid w:val="009B1441"/>
    <w:rsid w:val="009B1C34"/>
    <w:rsid w:val="009B30C8"/>
    <w:rsid w:val="009B5411"/>
    <w:rsid w:val="009B6544"/>
    <w:rsid w:val="009B6EB9"/>
    <w:rsid w:val="009B75C2"/>
    <w:rsid w:val="009C01BD"/>
    <w:rsid w:val="009C0F7F"/>
    <w:rsid w:val="009C1348"/>
    <w:rsid w:val="009C1B35"/>
    <w:rsid w:val="009C32D4"/>
    <w:rsid w:val="009C3681"/>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5AC5"/>
    <w:rsid w:val="00A364FB"/>
    <w:rsid w:val="00A36B90"/>
    <w:rsid w:val="00A3725D"/>
    <w:rsid w:val="00A37D00"/>
    <w:rsid w:val="00A37E08"/>
    <w:rsid w:val="00A4016D"/>
    <w:rsid w:val="00A41650"/>
    <w:rsid w:val="00A43C8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24CE"/>
    <w:rsid w:val="00A92FF5"/>
    <w:rsid w:val="00A94C69"/>
    <w:rsid w:val="00A95676"/>
    <w:rsid w:val="00A95ED8"/>
    <w:rsid w:val="00A97407"/>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736C"/>
    <w:rsid w:val="00AD75C0"/>
    <w:rsid w:val="00AE0BAB"/>
    <w:rsid w:val="00AE1421"/>
    <w:rsid w:val="00AE16A1"/>
    <w:rsid w:val="00AE1CD2"/>
    <w:rsid w:val="00AE2222"/>
    <w:rsid w:val="00AE2ED9"/>
    <w:rsid w:val="00AE5813"/>
    <w:rsid w:val="00AE5969"/>
    <w:rsid w:val="00AE63FE"/>
    <w:rsid w:val="00AF0782"/>
    <w:rsid w:val="00AF09CA"/>
    <w:rsid w:val="00AF1185"/>
    <w:rsid w:val="00AF1847"/>
    <w:rsid w:val="00AF251B"/>
    <w:rsid w:val="00AF2C01"/>
    <w:rsid w:val="00AF2E3F"/>
    <w:rsid w:val="00AF59E1"/>
    <w:rsid w:val="00AF6540"/>
    <w:rsid w:val="00B01287"/>
    <w:rsid w:val="00B018A0"/>
    <w:rsid w:val="00B01F0F"/>
    <w:rsid w:val="00B0300F"/>
    <w:rsid w:val="00B050CD"/>
    <w:rsid w:val="00B05680"/>
    <w:rsid w:val="00B05BE3"/>
    <w:rsid w:val="00B06BA5"/>
    <w:rsid w:val="00B0727A"/>
    <w:rsid w:val="00B07921"/>
    <w:rsid w:val="00B12A3B"/>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7BF1"/>
    <w:rsid w:val="00B47E7A"/>
    <w:rsid w:val="00B503B7"/>
    <w:rsid w:val="00B50BDE"/>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564A"/>
    <w:rsid w:val="00B667F9"/>
    <w:rsid w:val="00B67837"/>
    <w:rsid w:val="00B67839"/>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2329"/>
    <w:rsid w:val="00C751B1"/>
    <w:rsid w:val="00C756D8"/>
    <w:rsid w:val="00C75B06"/>
    <w:rsid w:val="00C76CC0"/>
    <w:rsid w:val="00C80013"/>
    <w:rsid w:val="00C80B13"/>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483A"/>
    <w:rsid w:val="00CA51C1"/>
    <w:rsid w:val="00CA5855"/>
    <w:rsid w:val="00CA5B04"/>
    <w:rsid w:val="00CA66C9"/>
    <w:rsid w:val="00CA6F97"/>
    <w:rsid w:val="00CA7147"/>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3D5"/>
    <w:rsid w:val="00CF0E4B"/>
    <w:rsid w:val="00CF11C6"/>
    <w:rsid w:val="00CF26BC"/>
    <w:rsid w:val="00CF36A1"/>
    <w:rsid w:val="00CF4C1D"/>
    <w:rsid w:val="00CF4F28"/>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A9"/>
    <w:rsid w:val="00D46209"/>
    <w:rsid w:val="00D46671"/>
    <w:rsid w:val="00D503CB"/>
    <w:rsid w:val="00D5106D"/>
    <w:rsid w:val="00D5127C"/>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E2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5421"/>
    <w:rsid w:val="00EB000A"/>
    <w:rsid w:val="00EB12FD"/>
    <w:rsid w:val="00EB1579"/>
    <w:rsid w:val="00EB1C58"/>
    <w:rsid w:val="00EB1E1F"/>
    <w:rsid w:val="00EB2BAB"/>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56E3"/>
    <w:rsid w:val="00EE589D"/>
    <w:rsid w:val="00EE7474"/>
    <w:rsid w:val="00EF03E4"/>
    <w:rsid w:val="00EF224E"/>
    <w:rsid w:val="00EF2306"/>
    <w:rsid w:val="00EF2CAC"/>
    <w:rsid w:val="00EF34CE"/>
    <w:rsid w:val="00EF6885"/>
    <w:rsid w:val="00F0228D"/>
    <w:rsid w:val="00F027C9"/>
    <w:rsid w:val="00F037AA"/>
    <w:rsid w:val="00F03DD3"/>
    <w:rsid w:val="00F0427A"/>
    <w:rsid w:val="00F04481"/>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5CB"/>
    <w:rsid w:val="00FB4FE7"/>
    <w:rsid w:val="00FB5EE6"/>
    <w:rsid w:val="00FB63CD"/>
    <w:rsid w:val="00FB7B25"/>
    <w:rsid w:val="00FC34DF"/>
    <w:rsid w:val="00FC7E4B"/>
    <w:rsid w:val="00FD01D9"/>
    <w:rsid w:val="00FD0FF5"/>
    <w:rsid w:val="00FD1280"/>
    <w:rsid w:val="00FD1DD3"/>
    <w:rsid w:val="00FD224E"/>
    <w:rsid w:val="00FD3DB4"/>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TOC9">
    <w:name w:val="toc 9"/>
    <w:basedOn w:val="TOC8"/>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0">
    <w:name w:val="index 1"/>
    <w:basedOn w:val="a"/>
    <w:next w:val="a"/>
    <w:semiHidden/>
    <w:qFormat/>
    <w:pPr>
      <w:keepLines/>
    </w:pPr>
  </w:style>
  <w:style w:type="paragraph" w:styleId="23">
    <w:name w:val="index 2"/>
    <w:basedOn w:val="10"/>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2">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3">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9" ma:contentTypeDescription="Luo uusi asiakirja." ma:contentTypeScope="" ma:versionID="a5480430d0b69fe27ab331979ecad23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437ba04e7e5de117c5caa49e081c7c50"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16CC8DB9-5F75-4EA2-B946-C22E14918E97}">
  <ds:schemaRefs>
    <ds:schemaRef ds:uri="http://schemas.openxmlformats.org/officeDocument/2006/bibliography"/>
  </ds:schemaRefs>
</ds:datastoreItem>
</file>

<file path=customXml/itemProps4.xml><?xml version="1.0" encoding="utf-8"?>
<ds:datastoreItem xmlns:ds="http://schemas.openxmlformats.org/officeDocument/2006/customXml" ds:itemID="{6878543B-BF7F-4783-B606-77CDA79A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12605</Words>
  <Characters>71849</Characters>
  <Application>Microsoft Office Word</Application>
  <DocSecurity>0</DocSecurity>
  <Lines>598</Lines>
  <Paragraphs>168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84286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徐伟杰</cp:lastModifiedBy>
  <cp:revision>2</cp:revision>
  <dcterms:created xsi:type="dcterms:W3CDTF">2021-08-16T09:51:00Z</dcterms:created>
  <dcterms:modified xsi:type="dcterms:W3CDTF">2021-08-16T09:51:00Z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1618813399</vt:lpwstr>
  </property>
</Properties>
</file>