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0B4AAC"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0B4AAC"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a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Nmax UE subgroups. Bitmap based is more flexible and simple.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w:t>
            </w:r>
            <w:r w:rsidRPr="00430E35">
              <w:rPr>
                <w:sz w:val="20"/>
                <w:szCs w:val="20"/>
              </w:rPr>
              <w:t xml:space="preserve"> is not needed.</w:t>
            </w:r>
          </w:p>
          <w:p w14:paraId="18902157" w14:textId="77777777" w:rsidR="00430E35" w:rsidRPr="00430E35" w:rsidRDefault="00430E35" w:rsidP="00430E35">
            <w:pPr>
              <w:pStyle w:val="ListParagraph"/>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gNB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bookmarkStart w:id="3" w:name="_GoBack"/>
            <w:bookmarkEnd w:id="3"/>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38C3FF59" w:rsidR="004A102D" w:rsidRPr="007E0EC7" w:rsidRDefault="004A102D" w:rsidP="004A102D">
            <w:pPr>
              <w:jc w:val="center"/>
              <w:rPr>
                <w:rFonts w:eastAsia="SimSun"/>
                <w:sz w:val="20"/>
                <w:szCs w:val="20"/>
                <w:lang w:eastAsia="zh-CN"/>
              </w:rPr>
            </w:pPr>
          </w:p>
        </w:tc>
        <w:tc>
          <w:tcPr>
            <w:tcW w:w="9270" w:type="dxa"/>
          </w:tcPr>
          <w:p w14:paraId="30DAB33A" w14:textId="737D9050" w:rsidR="004A102D" w:rsidRPr="007E0EC7" w:rsidRDefault="004A102D" w:rsidP="004A102D">
            <w:pPr>
              <w:rPr>
                <w:rFonts w:eastAsia="SimSun"/>
                <w:sz w:val="20"/>
                <w:szCs w:val="20"/>
                <w:lang w:eastAsia="zh-CN"/>
              </w:rPr>
            </w:pPr>
          </w:p>
        </w:tc>
      </w:tr>
      <w:tr w:rsidR="004A102D" w:rsidRPr="00CF07C0" w14:paraId="633FC333" w14:textId="77777777" w:rsidTr="00C03850">
        <w:tc>
          <w:tcPr>
            <w:tcW w:w="1165" w:type="dxa"/>
          </w:tcPr>
          <w:p w14:paraId="012EC269" w14:textId="5227C023" w:rsidR="004A102D" w:rsidRPr="000051F4" w:rsidRDefault="004A102D" w:rsidP="004A102D">
            <w:pPr>
              <w:jc w:val="center"/>
              <w:rPr>
                <w:b/>
                <w:sz w:val="20"/>
                <w:szCs w:val="20"/>
              </w:rPr>
            </w:pPr>
          </w:p>
        </w:tc>
        <w:tc>
          <w:tcPr>
            <w:tcW w:w="9270" w:type="dxa"/>
          </w:tcPr>
          <w:p w14:paraId="72B6A0B2" w14:textId="77777777" w:rsidR="004A102D" w:rsidRPr="000051F4" w:rsidRDefault="004A102D" w:rsidP="004A102D">
            <w:pPr>
              <w:rPr>
                <w:b/>
                <w:i/>
                <w:color w:val="000000"/>
                <w:sz w:val="20"/>
                <w:szCs w:val="20"/>
              </w:rPr>
            </w:pPr>
          </w:p>
        </w:tc>
      </w:tr>
      <w:tr w:rsidR="004A102D" w:rsidRPr="00CF07C0" w14:paraId="148C1590" w14:textId="77777777" w:rsidTr="00C03850">
        <w:tc>
          <w:tcPr>
            <w:tcW w:w="1165" w:type="dxa"/>
          </w:tcPr>
          <w:p w14:paraId="20306328" w14:textId="5A02F181" w:rsidR="004A102D" w:rsidRPr="00A05FAB" w:rsidRDefault="004A102D" w:rsidP="004A102D">
            <w:pPr>
              <w:jc w:val="center"/>
              <w:rPr>
                <w:sz w:val="20"/>
                <w:szCs w:val="20"/>
              </w:rPr>
            </w:pPr>
          </w:p>
        </w:tc>
        <w:tc>
          <w:tcPr>
            <w:tcW w:w="9270" w:type="dxa"/>
          </w:tcPr>
          <w:p w14:paraId="7B58B105" w14:textId="33164878" w:rsidR="004A102D" w:rsidRPr="00A05FAB" w:rsidRDefault="004A102D" w:rsidP="004A102D">
            <w:pPr>
              <w:rPr>
                <w:bCs/>
                <w:iCs/>
                <w:sz w:val="20"/>
                <w:szCs w:val="20"/>
              </w:rPr>
            </w:pP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SimSun"/>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SimSun"/>
                <w:sz w:val="20"/>
                <w:szCs w:val="20"/>
                <w:lang w:eastAsia="zh-CN"/>
              </w:rPr>
            </w:pPr>
          </w:p>
        </w:tc>
        <w:tc>
          <w:tcPr>
            <w:tcW w:w="9270" w:type="dxa"/>
          </w:tcPr>
          <w:p w14:paraId="070497DD" w14:textId="25EAAD51" w:rsidR="004A102D" w:rsidRPr="002F0885" w:rsidRDefault="004A102D" w:rsidP="004A102D">
            <w:pPr>
              <w:rPr>
                <w:rFonts w:eastAsia="SimSun"/>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4"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4"/>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5" w:name="OLE_LINK1"/>
            <w:bookmarkStart w:id="6" w:name="OLE_LINK2"/>
            <w:r>
              <w:rPr>
                <w:rFonts w:eastAsia="SimSun"/>
                <w:sz w:val="20"/>
                <w:szCs w:val="20"/>
                <w:lang w:eastAsia="zh-CN"/>
              </w:rPr>
              <w:t xml:space="preserve"> </w:t>
            </w:r>
            <w:r w:rsidRPr="0019298A">
              <w:rPr>
                <w:rFonts w:eastAsia="SimSun"/>
                <w:sz w:val="20"/>
                <w:szCs w:val="20"/>
                <w:lang w:eastAsia="zh-CN"/>
              </w:rPr>
              <w:t>UE monitors the associated time-frequency resource(s) in the nearest duration of the candidate monitoring occasion(s) subject to the time gap w.r..t UEs’ PO</w:t>
            </w:r>
            <w:bookmarkEnd w:id="5"/>
            <w:bookmarkEnd w:id="6"/>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could in our view be based on similar design/approach as we have for POs.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r w:rsidRPr="004722BB">
              <w:rPr>
                <w:i/>
                <w:iCs/>
                <w:sz w:val="20"/>
                <w:szCs w:val="20"/>
              </w:rPr>
              <w:t>firstPDCCH-MonitoringOccasionOfPO</w:t>
            </w:r>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he time offsets to determine start and end of PEI monitoring occasion are common to all PEI, can discussed jointly in a separate preproposal.</w:t>
            </w:r>
            <w:r w:rsidRPr="00430E35">
              <w:rPr>
                <w:sz w:val="20"/>
                <w:szCs w:val="20"/>
              </w:rPr>
              <w:t xml:space="preserve">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77777777" w:rsidR="004A102D" w:rsidRPr="007E0EC7" w:rsidRDefault="004A102D" w:rsidP="004A102D">
            <w:pPr>
              <w:jc w:val="center"/>
              <w:rPr>
                <w:rFonts w:eastAsia="SimSun"/>
                <w:sz w:val="20"/>
                <w:szCs w:val="20"/>
                <w:lang w:eastAsia="zh-CN"/>
              </w:rPr>
            </w:pPr>
          </w:p>
        </w:tc>
        <w:tc>
          <w:tcPr>
            <w:tcW w:w="9270" w:type="dxa"/>
          </w:tcPr>
          <w:p w14:paraId="58A2955A" w14:textId="77777777" w:rsidR="004A102D" w:rsidRPr="007E0EC7" w:rsidRDefault="004A102D" w:rsidP="004A102D">
            <w:pPr>
              <w:rPr>
                <w:rFonts w:eastAsia="SimSun"/>
                <w:sz w:val="20"/>
                <w:szCs w:val="20"/>
                <w:lang w:eastAsia="zh-CN"/>
              </w:rPr>
            </w:pPr>
          </w:p>
        </w:tc>
      </w:tr>
      <w:tr w:rsidR="004A102D" w:rsidRPr="00CF07C0" w14:paraId="291E5918" w14:textId="77777777" w:rsidTr="00C03850">
        <w:tc>
          <w:tcPr>
            <w:tcW w:w="1165" w:type="dxa"/>
          </w:tcPr>
          <w:p w14:paraId="2AAAEB93" w14:textId="77777777" w:rsidR="004A102D" w:rsidRPr="000051F4" w:rsidRDefault="004A102D" w:rsidP="004A102D">
            <w:pPr>
              <w:jc w:val="center"/>
              <w:rPr>
                <w:b/>
                <w:sz w:val="20"/>
                <w:szCs w:val="20"/>
              </w:rPr>
            </w:pPr>
          </w:p>
        </w:tc>
        <w:tc>
          <w:tcPr>
            <w:tcW w:w="9270" w:type="dxa"/>
          </w:tcPr>
          <w:p w14:paraId="7A1C4209" w14:textId="77777777" w:rsidR="004A102D" w:rsidRPr="000051F4" w:rsidRDefault="004A102D" w:rsidP="004A102D">
            <w:pPr>
              <w:rPr>
                <w:b/>
                <w:i/>
                <w:color w:val="000000"/>
                <w:sz w:val="20"/>
                <w:szCs w:val="20"/>
              </w:rPr>
            </w:pPr>
          </w:p>
        </w:tc>
      </w:tr>
      <w:tr w:rsidR="004A102D" w:rsidRPr="00CF07C0" w14:paraId="219EB7F4" w14:textId="77777777" w:rsidTr="00C03850">
        <w:tc>
          <w:tcPr>
            <w:tcW w:w="1165" w:type="dxa"/>
          </w:tcPr>
          <w:p w14:paraId="0C4CB115" w14:textId="77777777" w:rsidR="004A102D" w:rsidRPr="00A05FAB" w:rsidRDefault="004A102D" w:rsidP="004A102D">
            <w:pPr>
              <w:jc w:val="center"/>
              <w:rPr>
                <w:sz w:val="20"/>
                <w:szCs w:val="20"/>
              </w:rPr>
            </w:pPr>
          </w:p>
        </w:tc>
        <w:tc>
          <w:tcPr>
            <w:tcW w:w="9270" w:type="dxa"/>
          </w:tcPr>
          <w:p w14:paraId="7532316A" w14:textId="77777777" w:rsidR="004A102D" w:rsidRPr="00A05FAB" w:rsidRDefault="004A102D" w:rsidP="004A102D">
            <w:pPr>
              <w:rPr>
                <w:bCs/>
                <w:iCs/>
                <w:sz w:val="20"/>
                <w:szCs w:val="20"/>
              </w:rPr>
            </w:pP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SimSun"/>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lastRenderedPageBreak/>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by adopting Behavior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At least Behv-A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Just a note that I forgot to provide comments regarding the behaviours for the first round, but our position would still be to support both and have NW configurability over Behv-A and Behv-B.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Behv-A and continue the discussion regarding Behv-B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6DAE22A1" w:rsidR="004A102D" w:rsidRDefault="004A102D" w:rsidP="004A102D">
            <w:pPr>
              <w:jc w:val="center"/>
              <w:rPr>
                <w:sz w:val="20"/>
                <w:szCs w:val="20"/>
              </w:rPr>
            </w:pPr>
          </w:p>
        </w:tc>
        <w:tc>
          <w:tcPr>
            <w:tcW w:w="9270" w:type="dxa"/>
          </w:tcPr>
          <w:p w14:paraId="37CF6699" w14:textId="1B9CE948" w:rsidR="004A102D" w:rsidRPr="00476981" w:rsidRDefault="004A102D" w:rsidP="004A102D">
            <w:pPr>
              <w:rPr>
                <w:sz w:val="20"/>
                <w:szCs w:val="20"/>
              </w:rPr>
            </w:pPr>
          </w:p>
        </w:tc>
      </w:tr>
      <w:tr w:rsidR="004A102D" w:rsidRPr="00476981" w14:paraId="0ADC802B" w14:textId="77777777" w:rsidTr="00C03850">
        <w:tc>
          <w:tcPr>
            <w:tcW w:w="1165" w:type="dxa"/>
          </w:tcPr>
          <w:p w14:paraId="4DC624B2" w14:textId="03FD5839" w:rsidR="004A102D" w:rsidRPr="002B21F9" w:rsidRDefault="004A102D" w:rsidP="004A102D">
            <w:pPr>
              <w:jc w:val="center"/>
              <w:rPr>
                <w:sz w:val="20"/>
                <w:szCs w:val="20"/>
              </w:rPr>
            </w:pPr>
          </w:p>
        </w:tc>
        <w:tc>
          <w:tcPr>
            <w:tcW w:w="9270" w:type="dxa"/>
          </w:tcPr>
          <w:p w14:paraId="457A9615" w14:textId="4C737286" w:rsidR="004A102D" w:rsidRPr="002B21F9" w:rsidRDefault="004A102D" w:rsidP="004A102D">
            <w:pPr>
              <w:rPr>
                <w:color w:val="000000"/>
                <w:sz w:val="20"/>
                <w:szCs w:val="20"/>
              </w:rPr>
            </w:pPr>
          </w:p>
        </w:tc>
      </w:tr>
      <w:tr w:rsidR="004A102D" w:rsidRPr="00476981" w14:paraId="4F24B63E" w14:textId="77777777" w:rsidTr="00C03850">
        <w:tc>
          <w:tcPr>
            <w:tcW w:w="1165" w:type="dxa"/>
          </w:tcPr>
          <w:p w14:paraId="482DB19C" w14:textId="6D3A96BC" w:rsidR="004A102D" w:rsidRDefault="004A102D" w:rsidP="004A102D">
            <w:pPr>
              <w:jc w:val="center"/>
              <w:rPr>
                <w:sz w:val="20"/>
                <w:szCs w:val="20"/>
              </w:rPr>
            </w:pPr>
          </w:p>
        </w:tc>
        <w:tc>
          <w:tcPr>
            <w:tcW w:w="9270" w:type="dxa"/>
          </w:tcPr>
          <w:p w14:paraId="1C038C29" w14:textId="292E3882" w:rsidR="004A102D" w:rsidRPr="00476981" w:rsidRDefault="004A102D" w:rsidP="004A102D">
            <w:pPr>
              <w:rPr>
                <w:b/>
                <w:i/>
              </w:rPr>
            </w:pPr>
          </w:p>
        </w:tc>
      </w:tr>
      <w:tr w:rsidR="004A102D" w:rsidRPr="00CF07C0" w14:paraId="7F8FCE85" w14:textId="77777777" w:rsidTr="00C03850">
        <w:tc>
          <w:tcPr>
            <w:tcW w:w="1165" w:type="dxa"/>
          </w:tcPr>
          <w:p w14:paraId="4E704EF3" w14:textId="77777777" w:rsidR="004A102D" w:rsidRDefault="004A102D" w:rsidP="004A102D">
            <w:pPr>
              <w:jc w:val="center"/>
              <w:rPr>
                <w:sz w:val="20"/>
                <w:szCs w:val="20"/>
              </w:rPr>
            </w:pPr>
          </w:p>
        </w:tc>
        <w:tc>
          <w:tcPr>
            <w:tcW w:w="9270" w:type="dxa"/>
          </w:tcPr>
          <w:p w14:paraId="4591A5BB" w14:textId="77777777" w:rsidR="004A102D" w:rsidRPr="00CF07C0" w:rsidRDefault="004A102D" w:rsidP="004A102D">
            <w:pPr>
              <w:rPr>
                <w:sz w:val="20"/>
                <w:szCs w:val="20"/>
              </w:rPr>
            </w:pP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7"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7"/>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8"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8"/>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9" w:name="_Ref79235840"/>
            <w:r w:rsidRPr="004B73DE">
              <w:rPr>
                <w:sz w:val="20"/>
                <w:szCs w:val="20"/>
              </w:rPr>
              <w:t>Proposal 1: PDCCH-based PEI is selected as PEI physical-layer channel/signal.</w:t>
            </w:r>
            <w:bookmarkEnd w:id="9"/>
          </w:p>
          <w:p w14:paraId="7023E187" w14:textId="15C37DFD" w:rsidR="0057385E" w:rsidRPr="004B73DE" w:rsidRDefault="0057385E" w:rsidP="0057385E">
            <w:pPr>
              <w:pStyle w:val="Caption"/>
              <w:rPr>
                <w:sz w:val="20"/>
                <w:szCs w:val="20"/>
              </w:rPr>
            </w:pPr>
            <w:bookmarkStart w:id="10" w:name="_Ref79236220"/>
            <w:r w:rsidRPr="004B73DE">
              <w:rPr>
                <w:sz w:val="20"/>
                <w:szCs w:val="20"/>
              </w:rPr>
              <w:t>Proposal 4: To merge the benefits of sequence PEI to PDCCH PEI, namely allowing simple sequence detection and tolerating larger CFO, the following alternatives can be considered:</w:t>
            </w:r>
            <w:bookmarkEnd w:id="10"/>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1" w:name="_Toc79164982"/>
            <w:r w:rsidRPr="004B73DE">
              <w:rPr>
                <w:sz w:val="20"/>
                <w:szCs w:val="20"/>
              </w:rPr>
              <w:t>Proposal 4   Physical layer design for PEI is based on PDCCH DCI.</w:t>
            </w:r>
            <w:bookmarkEnd w:id="11"/>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For coexistence with legacy PDSCH, semi-static resouce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2"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2"/>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Caption"/>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Caption"/>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Caption"/>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0B4AAC"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Caption"/>
              <w:rPr>
                <w:sz w:val="20"/>
                <w:szCs w:val="20"/>
              </w:rPr>
            </w:pPr>
            <w:bookmarkStart w:id="42"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03850"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E965" w14:textId="77777777" w:rsidR="000B4AAC" w:rsidRDefault="000B4AAC">
      <w:r>
        <w:separator/>
      </w:r>
    </w:p>
  </w:endnote>
  <w:endnote w:type="continuationSeparator" w:id="0">
    <w:p w14:paraId="06A8C0A3" w14:textId="77777777" w:rsidR="000B4AAC" w:rsidRDefault="000B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4AF3" w14:textId="77777777" w:rsidR="000B4AAC" w:rsidRDefault="000B4AAC">
      <w:r>
        <w:separator/>
      </w:r>
    </w:p>
  </w:footnote>
  <w:footnote w:type="continuationSeparator" w:id="0">
    <w:p w14:paraId="1839B4E0" w14:textId="77777777" w:rsidR="000B4AAC" w:rsidRDefault="000B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1"/>
  </w:num>
  <w:num w:numId="5">
    <w:abstractNumId w:val="57"/>
  </w:num>
  <w:num w:numId="6">
    <w:abstractNumId w:val="98"/>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8"/>
  </w:num>
  <w:num w:numId="21">
    <w:abstractNumId w:val="60"/>
  </w:num>
  <w:num w:numId="22">
    <w:abstractNumId w:val="1"/>
  </w:num>
  <w:num w:numId="23">
    <w:abstractNumId w:val="2"/>
  </w:num>
  <w:num w:numId="24">
    <w:abstractNumId w:val="0"/>
  </w:num>
  <w:num w:numId="25">
    <w:abstractNumId w:val="42"/>
  </w:num>
  <w:num w:numId="26">
    <w:abstractNumId w:val="83"/>
  </w:num>
  <w:num w:numId="27">
    <w:abstractNumId w:val="47"/>
  </w:num>
  <w:num w:numId="28">
    <w:abstractNumId w:val="33"/>
  </w:num>
  <w:num w:numId="29">
    <w:abstractNumId w:val="64"/>
  </w:num>
  <w:num w:numId="30">
    <w:abstractNumId w:val="97"/>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7"/>
  </w:num>
  <w:num w:numId="34">
    <w:abstractNumId w:val="101"/>
  </w:num>
  <w:num w:numId="35">
    <w:abstractNumId w:val="96"/>
  </w:num>
  <w:num w:numId="36">
    <w:abstractNumId w:val="30"/>
  </w:num>
  <w:num w:numId="37">
    <w:abstractNumId w:val="106"/>
  </w:num>
  <w:num w:numId="38">
    <w:abstractNumId w:val="48"/>
  </w:num>
  <w:num w:numId="39">
    <w:abstractNumId w:val="6"/>
  </w:num>
  <w:num w:numId="40">
    <w:abstractNumId w:val="53"/>
  </w:num>
  <w:num w:numId="41">
    <w:abstractNumId w:val="95"/>
  </w:num>
  <w:num w:numId="42">
    <w:abstractNumId w:val="35"/>
  </w:num>
  <w:num w:numId="43">
    <w:abstractNumId w:val="103"/>
  </w:num>
  <w:num w:numId="44">
    <w:abstractNumId w:val="20"/>
  </w:num>
  <w:num w:numId="45">
    <w:abstractNumId w:val="104"/>
  </w:num>
  <w:num w:numId="46">
    <w:abstractNumId w:val="12"/>
  </w:num>
  <w:num w:numId="47">
    <w:abstractNumId w:val="80"/>
  </w:num>
  <w:num w:numId="48">
    <w:abstractNumId w:val="10"/>
  </w:num>
  <w:num w:numId="49">
    <w:abstractNumId w:val="105"/>
  </w:num>
  <w:num w:numId="50">
    <w:abstractNumId w:val="84"/>
  </w:num>
  <w:num w:numId="51">
    <w:abstractNumId w:val="92"/>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9"/>
  </w:num>
  <w:num w:numId="60">
    <w:abstractNumId w:val="21"/>
  </w:num>
  <w:num w:numId="61">
    <w:abstractNumId w:val="39"/>
  </w:num>
  <w:num w:numId="62">
    <w:abstractNumId w:val="102"/>
  </w:num>
  <w:num w:numId="63">
    <w:abstractNumId w:val="49"/>
  </w:num>
  <w:num w:numId="64">
    <w:abstractNumId w:val="24"/>
  </w:num>
  <w:num w:numId="65">
    <w:abstractNumId w:val="99"/>
  </w:num>
  <w:num w:numId="66">
    <w:abstractNumId w:val="100"/>
  </w:num>
  <w:num w:numId="67">
    <w:abstractNumId w:val="81"/>
  </w:num>
  <w:num w:numId="68">
    <w:abstractNumId w:val="46"/>
  </w:num>
  <w:num w:numId="69">
    <w:abstractNumId w:val="94"/>
  </w:num>
  <w:num w:numId="70">
    <w:abstractNumId w:val="38"/>
  </w:num>
  <w:num w:numId="71">
    <w:abstractNumId w:val="87"/>
  </w:num>
  <w:num w:numId="72">
    <w:abstractNumId w:val="43"/>
  </w:num>
  <w:num w:numId="73">
    <w:abstractNumId w:val="93"/>
  </w:num>
  <w:num w:numId="74">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5"/>
  </w:num>
  <w:num w:numId="84">
    <w:abstractNumId w:val="44"/>
  </w:num>
  <w:num w:numId="85">
    <w:abstractNumId w:val="90"/>
  </w:num>
  <w:num w:numId="86">
    <w:abstractNumId w:val="51"/>
  </w:num>
  <w:num w:numId="87">
    <w:abstractNumId w:val="62"/>
  </w:num>
  <w:num w:numId="88">
    <w:abstractNumId w:val="41"/>
  </w:num>
  <w:num w:numId="89">
    <w:abstractNumId w:val="11"/>
  </w:num>
  <w:num w:numId="90">
    <w:abstractNumId w:val="23"/>
  </w:num>
  <w:num w:numId="91">
    <w:abstractNumId w:val="79"/>
  </w:num>
  <w:num w:numId="92">
    <w:abstractNumId w:val="58"/>
  </w:num>
  <w:num w:numId="93">
    <w:abstractNumId w:val="82"/>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6"/>
  </w:num>
  <w:num w:numId="108">
    <w:abstractNumId w:val="88"/>
  </w:num>
  <w:num w:numId="109">
    <w:abstractNumId w:val="43"/>
    <w:lvlOverride w:ilvl="0"/>
    <w:lvlOverride w:ilvl="1"/>
    <w:lvlOverride w:ilvl="2"/>
    <w:lvlOverride w:ilvl="3"/>
    <w:lvlOverride w:ilvl="4"/>
    <w:lvlOverride w:ilvl="5"/>
    <w:lvlOverride w:ilvl="6"/>
    <w:lvlOverride w:ilvl="7"/>
    <w:lvlOverride w:ilvl="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6E84EF66-25C5-41CA-AEC8-32B3303A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34590</Words>
  <Characters>197169</Characters>
  <Application>Microsoft Office Word</Application>
  <DocSecurity>0</DocSecurity>
  <Lines>1643</Lines>
  <Paragraphs>462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231297</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2021-08-17T18:16:00Z</dcterms:created>
  <dcterms:modified xsi:type="dcterms:W3CDTF">2021-08-17T21:26:00Z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