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589CD4EF"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3A1AB98"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41241949"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20EAE01C"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 xml:space="preserve">for Alt-1, if PEI with orthogonal cover is used, the UE power saving gain or the detection performance will </w:t>
            </w:r>
            <w:proofErr w:type="gramStart"/>
            <w:r w:rsidRPr="00DA38D8">
              <w:rPr>
                <w:sz w:val="20"/>
                <w:szCs w:val="20"/>
              </w:rPr>
              <w:t>decrease;</w:t>
            </w:r>
            <w:proofErr w:type="gramEnd"/>
          </w:p>
          <w:p w14:paraId="47B69B65" w14:textId="77777777" w:rsidR="00DE457F" w:rsidRPr="00DA38D8" w:rsidRDefault="00DE457F" w:rsidP="009C2EF3">
            <w:pPr>
              <w:pStyle w:val="ListParagraph"/>
              <w:numPr>
                <w:ilvl w:val="0"/>
                <w:numId w:val="50"/>
              </w:numPr>
              <w:rPr>
                <w:sz w:val="20"/>
                <w:szCs w:val="20"/>
              </w:rPr>
            </w:pPr>
            <w:r w:rsidRPr="00DA38D8">
              <w:rPr>
                <w:sz w:val="20"/>
                <w:szCs w:val="20"/>
              </w:rPr>
              <w:t xml:space="preserve">for Alt-2, if PEI is generated by different sequences, the performance of sequence-based PEI will be deteriorated with the increased blind </w:t>
            </w:r>
            <w:proofErr w:type="gramStart"/>
            <w:r w:rsidRPr="00DA38D8">
              <w:rPr>
                <w:sz w:val="20"/>
                <w:szCs w:val="20"/>
              </w:rPr>
              <w:t>detection</w:t>
            </w:r>
            <w:r w:rsidRPr="00DA38D8">
              <w:rPr>
                <w:rFonts w:ascii="PMingLiU" w:eastAsia="PMingLiU" w:hAnsi="PMingLiU" w:cs="PMingLiU" w:hint="eastAsia"/>
                <w:sz w:val="20"/>
                <w:szCs w:val="20"/>
              </w:rPr>
              <w:t>；</w:t>
            </w:r>
            <w:proofErr w:type="gramEnd"/>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w:t>
            </w:r>
            <w:proofErr w:type="gramStart"/>
            <w:r w:rsidRPr="00DA38D8">
              <w:rPr>
                <w:b/>
                <w:bCs/>
                <w:sz w:val="20"/>
                <w:szCs w:val="20"/>
              </w:rPr>
              <w:t>s</w:t>
            </w:r>
            <w:r w:rsidRPr="00DA38D8">
              <w:rPr>
                <w:b/>
                <w:bCs/>
                <w:sz w:val="20"/>
                <w:szCs w:val="20"/>
                <w:lang w:eastAsia="zh-CN"/>
              </w:rPr>
              <w:t>]*</w:t>
            </w:r>
            <w:proofErr w:type="gramEnd"/>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 xml:space="preserve">Table 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637843"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roofErr w:type="gramStart"/>
            <w:r>
              <w:rPr>
                <w:rFonts w:eastAsia="SimSun"/>
                <w:sz w:val="20"/>
                <w:szCs w:val="20"/>
                <w:lang w:eastAsia="zh-CN"/>
              </w:rPr>
              <w:t>);</w:t>
            </w:r>
            <w:proofErr w:type="gramEnd"/>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w:t>
            </w:r>
            <w:proofErr w:type="gramStart"/>
            <w:r>
              <w:rPr>
                <w:sz w:val="20"/>
                <w:szCs w:val="20"/>
              </w:rPr>
              <w:t>PEI;</w:t>
            </w:r>
            <w:proofErr w:type="gramEnd"/>
            <w:r>
              <w:rPr>
                <w:sz w:val="20"/>
                <w:szCs w:val="20"/>
              </w:rPr>
              <w:t xml:space="preserve">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w:t>
            </w:r>
            <w:proofErr w:type="gramStart"/>
            <w:r>
              <w:rPr>
                <w:sz w:val="20"/>
                <w:szCs w:val="20"/>
              </w:rPr>
              <w:t>2-2;</w:t>
            </w:r>
            <w:proofErr w:type="gramEnd"/>
            <w:r>
              <w:rPr>
                <w:sz w:val="20"/>
                <w:szCs w:val="20"/>
              </w:rPr>
              <w:t xml:space="preserve">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w:t>
            </w:r>
            <w:proofErr w:type="gramStart"/>
            <w:r>
              <w:rPr>
                <w:sz w:val="20"/>
                <w:szCs w:val="20"/>
                <w:lang w:val="en-US"/>
              </w:rPr>
              <w:t>point based</w:t>
            </w:r>
            <w:proofErr w:type="gramEnd"/>
            <w:r>
              <w:rPr>
                <w:sz w:val="20"/>
                <w:szCs w:val="20"/>
                <w:lang w:val="en-US"/>
              </w:rPr>
              <w:t xml:space="preserve"> solution on the top of the bitmap based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w:t>
            </w:r>
            <w:proofErr w:type="gramStart"/>
            <w:r>
              <w:rPr>
                <w:sz w:val="20"/>
                <w:szCs w:val="20"/>
                <w:lang w:val="en-US"/>
              </w:rPr>
              <w:t>states</w:t>
            </w:r>
            <w:proofErr w:type="gramEnd"/>
            <w:r>
              <w:rPr>
                <w:sz w:val="20"/>
                <w:szCs w:val="20"/>
                <w:lang w:val="en-US"/>
              </w:rPr>
              <w:t xml:space="preserve"> for N subgroups? If yes, it can be directly formulated this way. If the intention is to allow RRC configuration of the states, the current proposal does not directly reflect it. Some clarification would be useful for us to understand what </w:t>
            </w:r>
            <w:proofErr w:type="gramStart"/>
            <w:r>
              <w:rPr>
                <w:sz w:val="20"/>
                <w:szCs w:val="20"/>
                <w:lang w:val="en-US"/>
              </w:rPr>
              <w:t>are the possible solutions on the table with the proposal</w:t>
            </w:r>
            <w:proofErr w:type="gramEnd"/>
            <w:r>
              <w:rPr>
                <w:sz w:val="20"/>
                <w:szCs w:val="20"/>
                <w:lang w:val="en-US"/>
              </w:rPr>
              <w:t>.</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 xml:space="preserve">The third FFS should not be an FFS, because we had the agreement from last meeting already. Maybe the intention is to </w:t>
            </w:r>
            <w:proofErr w:type="gramStart"/>
            <w:r>
              <w:rPr>
                <w:sz w:val="20"/>
                <w:szCs w:val="20"/>
                <w:lang w:val="en-US"/>
              </w:rPr>
              <w:t>say</w:t>
            </w:r>
            <w:proofErr w:type="gramEnd"/>
            <w:r>
              <w:rPr>
                <w:sz w:val="20"/>
                <w:szCs w:val="20"/>
                <w:lang w:val="en-US"/>
              </w:rPr>
              <w:t xml:space="preserve">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B804E8" w:rsidRPr="00CF07C0" w14:paraId="648E8192" w14:textId="77777777" w:rsidTr="00E54ED0">
        <w:tc>
          <w:tcPr>
            <w:tcW w:w="1165" w:type="dxa"/>
          </w:tcPr>
          <w:p w14:paraId="18D2996D" w14:textId="176FB585" w:rsidR="00B804E8" w:rsidRPr="00A05FAB" w:rsidRDefault="00B804E8" w:rsidP="00B804E8">
            <w:pPr>
              <w:jc w:val="center"/>
              <w:rPr>
                <w:sz w:val="20"/>
                <w:szCs w:val="20"/>
              </w:rPr>
            </w:pPr>
          </w:p>
        </w:tc>
        <w:tc>
          <w:tcPr>
            <w:tcW w:w="9270" w:type="dxa"/>
          </w:tcPr>
          <w:p w14:paraId="6254A6C3" w14:textId="77777777" w:rsidR="00B804E8" w:rsidRPr="00A05FAB" w:rsidRDefault="00B804E8" w:rsidP="00B804E8">
            <w:pPr>
              <w:rPr>
                <w:b/>
                <w:bCs/>
                <w:sz w:val="20"/>
                <w:szCs w:val="20"/>
                <w:lang w:eastAsia="x-none"/>
              </w:rPr>
            </w:pPr>
          </w:p>
        </w:tc>
      </w:tr>
      <w:tr w:rsidR="00B804E8" w:rsidRPr="00CF07C0" w14:paraId="07C49804" w14:textId="77777777" w:rsidTr="00E54ED0">
        <w:tc>
          <w:tcPr>
            <w:tcW w:w="1165" w:type="dxa"/>
          </w:tcPr>
          <w:p w14:paraId="4A0DAC1C" w14:textId="33937A3F" w:rsidR="00B804E8" w:rsidRPr="00A05FAB" w:rsidRDefault="00B804E8" w:rsidP="00B804E8">
            <w:pPr>
              <w:jc w:val="center"/>
              <w:rPr>
                <w:sz w:val="20"/>
                <w:szCs w:val="20"/>
              </w:rPr>
            </w:pPr>
          </w:p>
        </w:tc>
        <w:tc>
          <w:tcPr>
            <w:tcW w:w="9270" w:type="dxa"/>
          </w:tcPr>
          <w:p w14:paraId="0990817F" w14:textId="77777777" w:rsidR="00B804E8" w:rsidRPr="00A05FAB" w:rsidRDefault="00B804E8" w:rsidP="00B804E8">
            <w:pPr>
              <w:rPr>
                <w:sz w:val="20"/>
                <w:szCs w:val="20"/>
              </w:rPr>
            </w:pPr>
          </w:p>
        </w:tc>
      </w:tr>
      <w:tr w:rsidR="00B804E8" w:rsidRPr="00CF07C0" w14:paraId="1F435D0C" w14:textId="77777777" w:rsidTr="00E54ED0">
        <w:tc>
          <w:tcPr>
            <w:tcW w:w="1165" w:type="dxa"/>
          </w:tcPr>
          <w:p w14:paraId="1C0891BE" w14:textId="3BC58EF1" w:rsidR="00B804E8" w:rsidRPr="00A05FAB" w:rsidRDefault="00B804E8" w:rsidP="00B804E8">
            <w:pPr>
              <w:jc w:val="center"/>
              <w:rPr>
                <w:sz w:val="20"/>
                <w:szCs w:val="20"/>
              </w:rPr>
            </w:pPr>
          </w:p>
        </w:tc>
        <w:tc>
          <w:tcPr>
            <w:tcW w:w="9270" w:type="dxa"/>
          </w:tcPr>
          <w:p w14:paraId="0FCBFA05" w14:textId="77777777" w:rsidR="00B804E8" w:rsidRPr="00A05FAB" w:rsidRDefault="00B804E8" w:rsidP="00B804E8">
            <w:pPr>
              <w:rPr>
                <w:sz w:val="20"/>
                <w:szCs w:val="20"/>
              </w:rPr>
            </w:pPr>
          </w:p>
        </w:tc>
      </w:tr>
      <w:tr w:rsidR="00B804E8" w:rsidRPr="00CF07C0" w14:paraId="36F07E7E" w14:textId="77777777" w:rsidTr="00E54ED0">
        <w:tc>
          <w:tcPr>
            <w:tcW w:w="1165" w:type="dxa"/>
          </w:tcPr>
          <w:p w14:paraId="765556EB" w14:textId="2509750A" w:rsidR="00B804E8" w:rsidRPr="00A05FAB" w:rsidRDefault="00B804E8" w:rsidP="00B804E8">
            <w:pPr>
              <w:jc w:val="center"/>
              <w:rPr>
                <w:sz w:val="20"/>
                <w:szCs w:val="20"/>
              </w:rPr>
            </w:pPr>
          </w:p>
        </w:tc>
        <w:tc>
          <w:tcPr>
            <w:tcW w:w="9270" w:type="dxa"/>
          </w:tcPr>
          <w:p w14:paraId="42F4731A" w14:textId="77777777" w:rsidR="00B804E8" w:rsidRPr="00A05FAB" w:rsidRDefault="00B804E8" w:rsidP="00B804E8">
            <w:pPr>
              <w:rPr>
                <w:sz w:val="20"/>
                <w:szCs w:val="20"/>
              </w:rPr>
            </w:pPr>
          </w:p>
        </w:tc>
      </w:tr>
      <w:tr w:rsidR="00B804E8" w:rsidRPr="00CF07C0" w14:paraId="14F34DF1" w14:textId="77777777" w:rsidTr="00E54ED0">
        <w:tc>
          <w:tcPr>
            <w:tcW w:w="1165" w:type="dxa"/>
          </w:tcPr>
          <w:p w14:paraId="43317DA4" w14:textId="76DBD107" w:rsidR="00B804E8" w:rsidRPr="00A05FAB" w:rsidRDefault="00B804E8" w:rsidP="00B804E8">
            <w:pPr>
              <w:jc w:val="center"/>
              <w:rPr>
                <w:sz w:val="20"/>
                <w:szCs w:val="20"/>
              </w:rPr>
            </w:pPr>
          </w:p>
        </w:tc>
        <w:tc>
          <w:tcPr>
            <w:tcW w:w="9270" w:type="dxa"/>
          </w:tcPr>
          <w:p w14:paraId="5CADDC8F" w14:textId="77777777" w:rsidR="00B804E8" w:rsidRPr="00A05FAB" w:rsidRDefault="00B804E8" w:rsidP="00B804E8">
            <w:pPr>
              <w:pStyle w:val="BodyText"/>
              <w:rPr>
                <w:b/>
                <w:i/>
                <w:sz w:val="20"/>
                <w:szCs w:val="20"/>
                <w:lang w:eastAsia="zh-CN"/>
              </w:rPr>
            </w:pPr>
          </w:p>
        </w:tc>
      </w:tr>
      <w:tr w:rsidR="00B804E8" w:rsidRPr="00CF07C0" w14:paraId="65EA654F" w14:textId="77777777" w:rsidTr="00E54ED0">
        <w:tc>
          <w:tcPr>
            <w:tcW w:w="1165" w:type="dxa"/>
          </w:tcPr>
          <w:p w14:paraId="5501D0EB" w14:textId="69EEF5EC" w:rsidR="00B804E8" w:rsidRPr="00A05FAB" w:rsidRDefault="00B804E8" w:rsidP="00B804E8">
            <w:pPr>
              <w:jc w:val="center"/>
              <w:rPr>
                <w:sz w:val="20"/>
                <w:szCs w:val="20"/>
              </w:rPr>
            </w:pPr>
          </w:p>
        </w:tc>
        <w:tc>
          <w:tcPr>
            <w:tcW w:w="9270" w:type="dxa"/>
          </w:tcPr>
          <w:p w14:paraId="41B8B451" w14:textId="77777777" w:rsidR="00B804E8" w:rsidRPr="00A05FAB" w:rsidRDefault="00B804E8" w:rsidP="00B804E8">
            <w:pPr>
              <w:rPr>
                <w:sz w:val="20"/>
                <w:szCs w:val="20"/>
              </w:rPr>
            </w:pPr>
          </w:p>
        </w:tc>
      </w:tr>
      <w:tr w:rsidR="00B804E8" w:rsidRPr="00CF07C0" w14:paraId="7CE32CF3" w14:textId="77777777" w:rsidTr="00E54ED0">
        <w:tc>
          <w:tcPr>
            <w:tcW w:w="1165" w:type="dxa"/>
          </w:tcPr>
          <w:p w14:paraId="6C3D7864" w14:textId="0F5D4CA8" w:rsidR="00B804E8" w:rsidRPr="00A05FAB" w:rsidRDefault="00B804E8" w:rsidP="00B804E8">
            <w:pPr>
              <w:jc w:val="center"/>
              <w:rPr>
                <w:sz w:val="20"/>
                <w:szCs w:val="20"/>
              </w:rPr>
            </w:pPr>
          </w:p>
        </w:tc>
        <w:tc>
          <w:tcPr>
            <w:tcW w:w="9270" w:type="dxa"/>
          </w:tcPr>
          <w:p w14:paraId="0D40755D" w14:textId="77777777" w:rsidR="00B804E8" w:rsidRPr="00A05FAB" w:rsidRDefault="00B804E8" w:rsidP="00B804E8">
            <w:pPr>
              <w:rPr>
                <w:sz w:val="20"/>
                <w:szCs w:val="20"/>
              </w:rPr>
            </w:pPr>
          </w:p>
        </w:tc>
      </w:tr>
      <w:tr w:rsidR="00B804E8" w:rsidRPr="00CF07C0" w14:paraId="40C4602C" w14:textId="77777777" w:rsidTr="00E54ED0">
        <w:tc>
          <w:tcPr>
            <w:tcW w:w="1165" w:type="dxa"/>
          </w:tcPr>
          <w:p w14:paraId="32406103" w14:textId="77777777" w:rsidR="00B804E8" w:rsidRPr="00A05FAB" w:rsidRDefault="00B804E8" w:rsidP="00B804E8">
            <w:pPr>
              <w:jc w:val="center"/>
              <w:rPr>
                <w:sz w:val="20"/>
                <w:szCs w:val="20"/>
              </w:rPr>
            </w:pPr>
          </w:p>
        </w:tc>
        <w:tc>
          <w:tcPr>
            <w:tcW w:w="9270" w:type="dxa"/>
          </w:tcPr>
          <w:p w14:paraId="6AD677F2" w14:textId="77777777" w:rsidR="00B804E8" w:rsidRPr="00A05FAB" w:rsidRDefault="00B804E8" w:rsidP="00B804E8">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3ACF061B"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332A148C"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CD3D669"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65D58210"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lastRenderedPageBreak/>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w:t>
            </w:r>
            <w:r w:rsidRPr="0067715F">
              <w:rPr>
                <w:rFonts w:eastAsia="SimSun"/>
                <w:sz w:val="20"/>
                <w:szCs w:val="20"/>
                <w:lang w:eastAsia="zh-CN"/>
              </w:rPr>
              <w:lastRenderedPageBreak/>
              <w:t xml:space="preserve">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w:t>
            </w:r>
            <w:proofErr w:type="gramStart"/>
            <w:r>
              <w:rPr>
                <w:sz w:val="20"/>
                <w:szCs w:val="20"/>
              </w:rPr>
              <w:t>3-1;</w:t>
            </w:r>
            <w:proofErr w:type="gramEnd"/>
            <w:r>
              <w:rPr>
                <w:sz w:val="20"/>
                <w:szCs w:val="20"/>
              </w:rPr>
              <w:t xml:space="preserve">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 xml:space="preserve">bullet regarding the nearest duration is not fully clear to </w:t>
            </w:r>
            <w:proofErr w:type="gramStart"/>
            <w:r w:rsidRPr="00560F9E">
              <w:rPr>
                <w:sz w:val="20"/>
                <w:szCs w:val="20"/>
              </w:rPr>
              <w:t>us;</w:t>
            </w:r>
            <w:proofErr w:type="gramEnd"/>
            <w:r w:rsidRPr="00560F9E">
              <w:rPr>
                <w:sz w:val="20"/>
                <w:szCs w:val="20"/>
              </w:rPr>
              <w:t xml:space="preserve">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w:t>
            </w:r>
            <w:proofErr w:type="gramStart"/>
            <w:r>
              <w:rPr>
                <w:sz w:val="20"/>
                <w:szCs w:val="20"/>
              </w:rPr>
              <w:t>3-2;</w:t>
            </w:r>
            <w:proofErr w:type="gramEnd"/>
            <w:r>
              <w:rPr>
                <w:sz w:val="20"/>
                <w:szCs w:val="20"/>
              </w:rPr>
              <w:t xml:space="preserve">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 xml:space="preserve">On proposal </w:t>
            </w:r>
            <w:proofErr w:type="gramStart"/>
            <w:r>
              <w:rPr>
                <w:sz w:val="20"/>
                <w:szCs w:val="20"/>
              </w:rPr>
              <w:t>3-3;</w:t>
            </w:r>
            <w:proofErr w:type="gramEnd"/>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w:t>
            </w:r>
            <w:proofErr w:type="gramStart"/>
            <w:r>
              <w:rPr>
                <w:sz w:val="20"/>
                <w:szCs w:val="20"/>
              </w:rPr>
              <w:t>design, and</w:t>
            </w:r>
            <w:proofErr w:type="gramEnd"/>
            <w:r>
              <w:rPr>
                <w:sz w:val="20"/>
                <w:szCs w:val="20"/>
              </w:rPr>
              <w:t xml:space="preserve">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lastRenderedPageBreak/>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lastRenderedPageBreak/>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UE monitors the associated time-frequency resource(s) in the nearest duration of the candidate monitoring occasion(s) subject to the time gap w.r..t UEs’ PO</w:t>
            </w:r>
            <w:bookmarkEnd w:id="4"/>
            <w:bookmarkEnd w:id="5"/>
            <w:r>
              <w:rPr>
                <w:rFonts w:eastAsia="SimSun"/>
                <w:sz w:val="20"/>
                <w:szCs w:val="20"/>
                <w:lang w:eastAsia="zh-CN"/>
              </w:rPr>
              <w:t xml:space="preserve">. In our view, it is clearer to configure a PEI-offset relative to PO similar as PS-offset specified in R16 power saving WI for connected UE, </w:t>
            </w:r>
            <w:proofErr w:type="gramStart"/>
            <w:r>
              <w:rPr>
                <w:rFonts w:eastAsia="SimSun"/>
                <w:sz w:val="20"/>
                <w:szCs w:val="20"/>
                <w:lang w:eastAsia="zh-CN"/>
              </w:rPr>
              <w:t>so as to</w:t>
            </w:r>
            <w:proofErr w:type="gramEnd"/>
            <w:r>
              <w:rPr>
                <w:rFonts w:eastAsia="SimSun"/>
                <w:sz w:val="20"/>
                <w:szCs w:val="20"/>
                <w:lang w:eastAsia="zh-CN"/>
              </w:rPr>
              <w:t xml:space="preserve">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POs.</w:t>
            </w:r>
            <w:r>
              <w:rPr>
                <w:sz w:val="20"/>
                <w:szCs w:val="20"/>
                <w:lang w:val="en-US"/>
              </w:rPr>
              <w:t xml:space="preserve"> In addition, we are not sure how to reuse </w:t>
            </w:r>
            <w:proofErr w:type="gramStart"/>
            <w:r w:rsidRPr="00B77AEA">
              <w:rPr>
                <w:i/>
                <w:sz w:val="20"/>
                <w:szCs w:val="20"/>
              </w:rPr>
              <w:t>pagingSearchSpace</w:t>
            </w:r>
            <w:r>
              <w:rPr>
                <w:i/>
                <w:sz w:val="20"/>
                <w:szCs w:val="20"/>
              </w:rPr>
              <w:t xml:space="preserve">, </w:t>
            </w:r>
            <w:r w:rsidRPr="00B77AEA">
              <w:rPr>
                <w:iCs/>
                <w:sz w:val="20"/>
                <w:szCs w:val="20"/>
              </w:rPr>
              <w:t>si</w:t>
            </w:r>
            <w:r>
              <w:rPr>
                <w:iCs/>
                <w:sz w:val="20"/>
                <w:szCs w:val="20"/>
              </w:rPr>
              <w:t>nce</w:t>
            </w:r>
            <w:proofErr w:type="gramEnd"/>
            <w:r>
              <w:rPr>
                <w:iCs/>
                <w:sz w:val="20"/>
                <w:szCs w:val="20"/>
              </w:rPr>
              <w:t xml:space="preserv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lastRenderedPageBreak/>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first FFS subbullet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gramStart"/>
            <w:r w:rsidRPr="00CC68EA">
              <w:rPr>
                <w:sz w:val="20"/>
                <w:szCs w:val="20"/>
                <w:lang w:val="en-US"/>
              </w:rPr>
              <w:t>subbullet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lastRenderedPageBreak/>
              <w:t>Panasonic</w:t>
            </w:r>
          </w:p>
        </w:tc>
        <w:tc>
          <w:tcPr>
            <w:tcW w:w="9270" w:type="dxa"/>
          </w:tcPr>
          <w:p w14:paraId="5856AFB2" w14:textId="77777777" w:rsidR="00664B1F" w:rsidRDefault="00664B1F" w:rsidP="00664B1F">
            <w:pPr>
              <w:rPr>
                <w:sz w:val="20"/>
                <w:szCs w:val="20"/>
              </w:rPr>
            </w:pPr>
            <w:r>
              <w:rPr>
                <w:sz w:val="20"/>
                <w:szCs w:val="20"/>
              </w:rPr>
              <w:t xml:space="preserve">A common comment to 3-1/2/3 is </w:t>
            </w:r>
            <w:proofErr w:type="gramStart"/>
            <w:r>
              <w:rPr>
                <w:sz w:val="20"/>
                <w:szCs w:val="20"/>
              </w:rPr>
              <w:t>that,</w:t>
            </w:r>
            <w:proofErr w:type="gramEnd"/>
            <w:r>
              <w:rPr>
                <w:sz w:val="20"/>
                <w:szCs w:val="20"/>
              </w:rPr>
              <w:t xml:space="preserve">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gramStart"/>
            <w:r>
              <w:rPr>
                <w:sz w:val="20"/>
                <w:szCs w:val="20"/>
              </w:rPr>
              <w:t>handled</w:t>
            </w:r>
            <w:proofErr w:type="gramEnd"/>
            <w:r>
              <w:rPr>
                <w:sz w:val="20"/>
                <w:szCs w:val="20"/>
              </w:rPr>
              <w:t xml:space="preserve">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proofErr w:type="gramStart"/>
            <w:r w:rsidRPr="001E22DA">
              <w:rPr>
                <w:bCs/>
                <w:iCs/>
                <w:sz w:val="20"/>
                <w:szCs w:val="20"/>
              </w:rPr>
              <w:t>Signalling</w:t>
            </w:r>
            <w:proofErr w:type="gramEnd"/>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084350" w:rsidRPr="00CF07C0" w14:paraId="6C84AB13" w14:textId="77777777" w:rsidTr="005A63DE">
        <w:tc>
          <w:tcPr>
            <w:tcW w:w="1165" w:type="dxa"/>
          </w:tcPr>
          <w:p w14:paraId="6F3445A4" w14:textId="3A7B7D1D" w:rsidR="00084350" w:rsidRDefault="00084350" w:rsidP="00084350">
            <w:pPr>
              <w:jc w:val="center"/>
              <w:rPr>
                <w:sz w:val="20"/>
                <w:szCs w:val="20"/>
              </w:rPr>
            </w:pPr>
          </w:p>
        </w:tc>
        <w:tc>
          <w:tcPr>
            <w:tcW w:w="9270" w:type="dxa"/>
          </w:tcPr>
          <w:p w14:paraId="43609D70" w14:textId="77777777" w:rsidR="00084350" w:rsidRPr="00CF07C0" w:rsidRDefault="00084350" w:rsidP="00084350">
            <w:pPr>
              <w:rPr>
                <w:sz w:val="20"/>
                <w:szCs w:val="20"/>
              </w:rPr>
            </w:pPr>
          </w:p>
        </w:tc>
      </w:tr>
      <w:tr w:rsidR="00084350" w:rsidRPr="0057385E" w14:paraId="3B412C05" w14:textId="77777777" w:rsidTr="005A63DE">
        <w:tc>
          <w:tcPr>
            <w:tcW w:w="1165" w:type="dxa"/>
          </w:tcPr>
          <w:p w14:paraId="38A3EC7E" w14:textId="2E7BA15F" w:rsidR="00084350" w:rsidRDefault="00084350" w:rsidP="00084350">
            <w:pPr>
              <w:jc w:val="center"/>
              <w:rPr>
                <w:sz w:val="20"/>
                <w:szCs w:val="20"/>
              </w:rPr>
            </w:pPr>
          </w:p>
        </w:tc>
        <w:tc>
          <w:tcPr>
            <w:tcW w:w="9270" w:type="dxa"/>
          </w:tcPr>
          <w:p w14:paraId="03B46988" w14:textId="77777777" w:rsidR="00084350" w:rsidRPr="0057385E" w:rsidRDefault="00084350" w:rsidP="00084350">
            <w:pPr>
              <w:rPr>
                <w:b/>
                <w:bCs/>
                <w:sz w:val="20"/>
                <w:szCs w:val="20"/>
                <w:lang w:eastAsia="x-none"/>
              </w:rPr>
            </w:pPr>
          </w:p>
        </w:tc>
      </w:tr>
      <w:tr w:rsidR="00084350" w:rsidRPr="00CF07C0" w14:paraId="5ECBF780" w14:textId="77777777" w:rsidTr="005A63DE">
        <w:tc>
          <w:tcPr>
            <w:tcW w:w="1165" w:type="dxa"/>
          </w:tcPr>
          <w:p w14:paraId="4E429CB3" w14:textId="57EA7933" w:rsidR="00084350" w:rsidRDefault="00084350" w:rsidP="00084350">
            <w:pPr>
              <w:jc w:val="center"/>
              <w:rPr>
                <w:sz w:val="20"/>
                <w:szCs w:val="20"/>
              </w:rPr>
            </w:pPr>
          </w:p>
        </w:tc>
        <w:tc>
          <w:tcPr>
            <w:tcW w:w="9270" w:type="dxa"/>
          </w:tcPr>
          <w:p w14:paraId="6C82538B" w14:textId="77777777" w:rsidR="00084350" w:rsidRPr="00CF07C0" w:rsidRDefault="00084350" w:rsidP="00084350">
            <w:pPr>
              <w:rPr>
                <w:sz w:val="20"/>
                <w:szCs w:val="20"/>
              </w:rPr>
            </w:pPr>
          </w:p>
        </w:tc>
      </w:tr>
      <w:tr w:rsidR="00084350" w:rsidRPr="00CF07C0" w14:paraId="1AEADCA2" w14:textId="77777777" w:rsidTr="005A63DE">
        <w:tc>
          <w:tcPr>
            <w:tcW w:w="1165" w:type="dxa"/>
          </w:tcPr>
          <w:p w14:paraId="51E2DB04" w14:textId="59388280" w:rsidR="00084350" w:rsidRDefault="00084350" w:rsidP="00084350">
            <w:pPr>
              <w:jc w:val="center"/>
              <w:rPr>
                <w:sz w:val="20"/>
                <w:szCs w:val="20"/>
              </w:rPr>
            </w:pPr>
          </w:p>
        </w:tc>
        <w:tc>
          <w:tcPr>
            <w:tcW w:w="9270" w:type="dxa"/>
          </w:tcPr>
          <w:p w14:paraId="06F9096A" w14:textId="77777777" w:rsidR="00084350" w:rsidRPr="00CF07C0" w:rsidRDefault="00084350" w:rsidP="00084350">
            <w:pPr>
              <w:rPr>
                <w:sz w:val="20"/>
                <w:szCs w:val="20"/>
              </w:rPr>
            </w:pPr>
          </w:p>
        </w:tc>
      </w:tr>
      <w:tr w:rsidR="00084350" w:rsidRPr="00CF07C0" w14:paraId="6E1B46FB" w14:textId="77777777" w:rsidTr="005A63DE">
        <w:tc>
          <w:tcPr>
            <w:tcW w:w="1165" w:type="dxa"/>
          </w:tcPr>
          <w:p w14:paraId="3F1F0460" w14:textId="67F354B2" w:rsidR="00084350" w:rsidRDefault="00084350" w:rsidP="00084350">
            <w:pPr>
              <w:jc w:val="center"/>
              <w:rPr>
                <w:sz w:val="20"/>
                <w:szCs w:val="20"/>
              </w:rPr>
            </w:pPr>
          </w:p>
        </w:tc>
        <w:tc>
          <w:tcPr>
            <w:tcW w:w="9270" w:type="dxa"/>
          </w:tcPr>
          <w:p w14:paraId="23F7A254" w14:textId="77777777" w:rsidR="00084350" w:rsidRPr="00CF07C0" w:rsidRDefault="00084350" w:rsidP="00084350">
            <w:pPr>
              <w:rPr>
                <w:sz w:val="20"/>
                <w:szCs w:val="20"/>
              </w:rPr>
            </w:pPr>
          </w:p>
        </w:tc>
      </w:tr>
      <w:tr w:rsidR="00084350" w:rsidRPr="00732F75" w14:paraId="47668E20" w14:textId="77777777" w:rsidTr="005A63DE">
        <w:tc>
          <w:tcPr>
            <w:tcW w:w="1165" w:type="dxa"/>
          </w:tcPr>
          <w:p w14:paraId="277EFC8D" w14:textId="7D051597" w:rsidR="00084350" w:rsidRDefault="00084350" w:rsidP="00084350">
            <w:pPr>
              <w:jc w:val="center"/>
              <w:rPr>
                <w:sz w:val="20"/>
                <w:szCs w:val="20"/>
              </w:rPr>
            </w:pPr>
          </w:p>
        </w:tc>
        <w:tc>
          <w:tcPr>
            <w:tcW w:w="9270" w:type="dxa"/>
          </w:tcPr>
          <w:p w14:paraId="4DAB8051" w14:textId="77777777" w:rsidR="00084350" w:rsidRPr="00732F75" w:rsidRDefault="00084350" w:rsidP="00084350">
            <w:pPr>
              <w:pStyle w:val="BodyText"/>
              <w:rPr>
                <w:b/>
                <w:i/>
                <w:lang w:eastAsia="zh-CN"/>
              </w:rPr>
            </w:pPr>
          </w:p>
        </w:tc>
      </w:tr>
      <w:tr w:rsidR="00084350" w:rsidRPr="00CF07C0" w14:paraId="22294B8E" w14:textId="77777777" w:rsidTr="005A63DE">
        <w:tc>
          <w:tcPr>
            <w:tcW w:w="1165" w:type="dxa"/>
          </w:tcPr>
          <w:p w14:paraId="44672E47" w14:textId="471A3565" w:rsidR="00084350" w:rsidRDefault="00084350" w:rsidP="00084350">
            <w:pPr>
              <w:jc w:val="center"/>
              <w:rPr>
                <w:sz w:val="20"/>
                <w:szCs w:val="20"/>
              </w:rPr>
            </w:pPr>
          </w:p>
        </w:tc>
        <w:tc>
          <w:tcPr>
            <w:tcW w:w="9270" w:type="dxa"/>
          </w:tcPr>
          <w:p w14:paraId="45672CAA" w14:textId="77777777" w:rsidR="00084350" w:rsidRPr="00CF07C0" w:rsidRDefault="00084350" w:rsidP="00084350">
            <w:pPr>
              <w:rPr>
                <w:sz w:val="20"/>
                <w:szCs w:val="20"/>
              </w:rPr>
            </w:pPr>
          </w:p>
        </w:tc>
      </w:tr>
      <w:tr w:rsidR="00084350" w:rsidRPr="00CF07C0" w14:paraId="5C2D66A3" w14:textId="77777777" w:rsidTr="005A63DE">
        <w:tc>
          <w:tcPr>
            <w:tcW w:w="1165" w:type="dxa"/>
          </w:tcPr>
          <w:p w14:paraId="2544393D" w14:textId="537F4120" w:rsidR="00084350" w:rsidRDefault="00084350" w:rsidP="00084350">
            <w:pPr>
              <w:jc w:val="center"/>
              <w:rPr>
                <w:sz w:val="20"/>
                <w:szCs w:val="20"/>
              </w:rPr>
            </w:pPr>
          </w:p>
        </w:tc>
        <w:tc>
          <w:tcPr>
            <w:tcW w:w="9270" w:type="dxa"/>
          </w:tcPr>
          <w:p w14:paraId="4554AAE8" w14:textId="77777777" w:rsidR="00084350" w:rsidRPr="00CF07C0" w:rsidRDefault="00084350" w:rsidP="00084350">
            <w:pPr>
              <w:rPr>
                <w:sz w:val="20"/>
                <w:szCs w:val="20"/>
              </w:rPr>
            </w:pPr>
          </w:p>
        </w:tc>
      </w:tr>
      <w:tr w:rsidR="00084350" w:rsidRPr="00CF07C0" w14:paraId="62A495D8" w14:textId="77777777" w:rsidTr="005A63DE">
        <w:tc>
          <w:tcPr>
            <w:tcW w:w="1165" w:type="dxa"/>
          </w:tcPr>
          <w:p w14:paraId="54C76BAE" w14:textId="77777777" w:rsidR="00084350" w:rsidRPr="00CF07C0" w:rsidRDefault="00084350" w:rsidP="00084350">
            <w:pPr>
              <w:jc w:val="center"/>
              <w:rPr>
                <w:sz w:val="20"/>
                <w:szCs w:val="20"/>
              </w:rPr>
            </w:pPr>
          </w:p>
        </w:tc>
        <w:tc>
          <w:tcPr>
            <w:tcW w:w="9270" w:type="dxa"/>
          </w:tcPr>
          <w:p w14:paraId="017AE4B5" w14:textId="77777777" w:rsidR="00084350" w:rsidRPr="00CF07C0" w:rsidRDefault="00084350" w:rsidP="00084350">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w:t>
                  </w:r>
                  <w:r w:rsidRPr="00F338F7">
                    <w:rPr>
                      <w:rFonts w:hint="eastAsia"/>
                      <w:sz w:val="20"/>
                      <w:szCs w:val="20"/>
                    </w:rPr>
                    <w:lastRenderedPageBreak/>
                    <w:t xml:space="preserve">same PEI or UE group consume more </w:t>
                  </w:r>
                  <w:proofErr w:type="gramStart"/>
                  <w:r w:rsidRPr="00F338F7">
                    <w:rPr>
                      <w:rFonts w:hint="eastAsia"/>
                      <w:sz w:val="20"/>
                      <w:szCs w:val="20"/>
                    </w:rPr>
                    <w:t>energy;</w:t>
                  </w:r>
                  <w:proofErr w:type="gramEnd"/>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lastRenderedPageBreak/>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lastRenderedPageBreak/>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lastRenderedPageBreak/>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Behv-A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behavior wrt PEI detection/absence of PEI, </w:t>
            </w:r>
            <w:proofErr w:type="gramStart"/>
            <w:r w:rsidRPr="00DA38D8">
              <w:rPr>
                <w:b/>
                <w:sz w:val="20"/>
                <w:szCs w:val="20"/>
              </w:rPr>
              <w:t>i.e.</w:t>
            </w:r>
            <w:proofErr w:type="gramEnd"/>
            <w:r w:rsidRPr="00DA38D8">
              <w:rPr>
                <w:b/>
                <w:sz w:val="20"/>
                <w:szCs w:val="20"/>
              </w:rPr>
              <w:t xml:space="preserv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lastRenderedPageBreak/>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Behv-A/B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w:t>
            </w:r>
            <w:proofErr w:type="gramStart"/>
            <w:r>
              <w:rPr>
                <w:sz w:val="20"/>
                <w:szCs w:val="20"/>
                <w:lang w:val="en-US"/>
              </w:rPr>
              <w:t>2)In</w:t>
            </w:r>
            <w:proofErr w:type="gramEnd"/>
            <w:r>
              <w:rPr>
                <w:sz w:val="20"/>
                <w:szCs w:val="20"/>
                <w:lang w:val="en-US"/>
              </w:rPr>
              <w:t xml:space="preserve">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Behv-A, if UE misses the PEI, it </w:t>
            </w:r>
            <w:proofErr w:type="gramStart"/>
            <w:r>
              <w:rPr>
                <w:sz w:val="20"/>
                <w:szCs w:val="20"/>
                <w:lang w:val="en-US"/>
              </w:rPr>
              <w:t>would</w:t>
            </w:r>
            <w:proofErr w:type="gramEnd"/>
            <w:r>
              <w:rPr>
                <w:sz w:val="20"/>
                <w:szCs w:val="20"/>
                <w:lang w:val="en-US"/>
              </w:rPr>
              <w:t xml:space="preserve">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 xml:space="preserve">by adopting Behavior B, if a UE is not required to receive PO, the network shall always transmit PEI with no paging indication explicitly </w:t>
            </w:r>
            <w:proofErr w:type="gramStart"/>
            <w:r w:rsidRPr="00001810">
              <w:rPr>
                <w:rFonts w:eastAsia="SimSun"/>
                <w:sz w:val="20"/>
                <w:szCs w:val="20"/>
                <w:lang w:eastAsia="zh-CN"/>
              </w:rPr>
              <w:t>in order to</w:t>
            </w:r>
            <w:proofErr w:type="gramEnd"/>
            <w:r w:rsidRPr="00001810">
              <w:rPr>
                <w:rFonts w:eastAsia="SimSun"/>
                <w:sz w:val="20"/>
                <w:szCs w:val="20"/>
                <w:lang w:eastAsia="zh-CN"/>
              </w:rPr>
              <w:t xml:space="preserve">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 xml:space="preserve">increasing NW energy consumption </w:t>
            </w:r>
            <w:proofErr w:type="gramStart"/>
            <w:r w:rsidRPr="00E65FB7">
              <w:rPr>
                <w:sz w:val="20"/>
                <w:szCs w:val="20"/>
                <w:lang w:val="en-US"/>
              </w:rPr>
              <w:t>in order to</w:t>
            </w:r>
            <w:proofErr w:type="gramEnd"/>
            <w:r w:rsidRPr="00E65FB7">
              <w:rPr>
                <w:sz w:val="20"/>
                <w:szCs w:val="20"/>
                <w:lang w:val="en-US"/>
              </w:rPr>
              <w:t xml:space="preserve">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lastRenderedPageBreak/>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lastRenderedPageBreak/>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B804E8" w:rsidRPr="00CF07C0" w14:paraId="03C953F5" w14:textId="77777777" w:rsidTr="005A63DE">
        <w:tc>
          <w:tcPr>
            <w:tcW w:w="1165" w:type="dxa"/>
          </w:tcPr>
          <w:p w14:paraId="6F6BB18B" w14:textId="32A5ECD4" w:rsidR="00B804E8" w:rsidRDefault="00B804E8" w:rsidP="00B804E8">
            <w:pPr>
              <w:jc w:val="center"/>
              <w:rPr>
                <w:sz w:val="20"/>
                <w:szCs w:val="20"/>
              </w:rPr>
            </w:pPr>
          </w:p>
        </w:tc>
        <w:tc>
          <w:tcPr>
            <w:tcW w:w="9270" w:type="dxa"/>
          </w:tcPr>
          <w:p w14:paraId="118704A1" w14:textId="77777777" w:rsidR="00B804E8" w:rsidRPr="00CF07C0" w:rsidRDefault="00B804E8" w:rsidP="00B804E8">
            <w:pPr>
              <w:rPr>
                <w:sz w:val="20"/>
                <w:szCs w:val="20"/>
              </w:rPr>
            </w:pPr>
          </w:p>
        </w:tc>
      </w:tr>
      <w:tr w:rsidR="00B804E8" w:rsidRPr="0057385E" w14:paraId="1D9BBBDF" w14:textId="77777777" w:rsidTr="005A63DE">
        <w:tc>
          <w:tcPr>
            <w:tcW w:w="1165" w:type="dxa"/>
          </w:tcPr>
          <w:p w14:paraId="5DA68BB5" w14:textId="227B4581" w:rsidR="00B804E8" w:rsidRDefault="00B804E8" w:rsidP="00B804E8">
            <w:pPr>
              <w:jc w:val="center"/>
              <w:rPr>
                <w:sz w:val="20"/>
                <w:szCs w:val="20"/>
              </w:rPr>
            </w:pPr>
          </w:p>
        </w:tc>
        <w:tc>
          <w:tcPr>
            <w:tcW w:w="9270" w:type="dxa"/>
          </w:tcPr>
          <w:p w14:paraId="594A9750" w14:textId="77777777" w:rsidR="00B804E8" w:rsidRPr="0057385E" w:rsidRDefault="00B804E8" w:rsidP="00B804E8">
            <w:pPr>
              <w:rPr>
                <w:b/>
                <w:bCs/>
                <w:sz w:val="20"/>
                <w:szCs w:val="20"/>
                <w:lang w:eastAsia="x-none"/>
              </w:rPr>
            </w:pPr>
          </w:p>
        </w:tc>
      </w:tr>
      <w:tr w:rsidR="00B804E8" w:rsidRPr="00CF07C0" w14:paraId="393ED83B" w14:textId="77777777" w:rsidTr="005A63DE">
        <w:tc>
          <w:tcPr>
            <w:tcW w:w="1165" w:type="dxa"/>
          </w:tcPr>
          <w:p w14:paraId="7A830B63" w14:textId="6E261A16" w:rsidR="00B804E8" w:rsidRDefault="00B804E8" w:rsidP="00B804E8">
            <w:pPr>
              <w:jc w:val="center"/>
              <w:rPr>
                <w:sz w:val="20"/>
                <w:szCs w:val="20"/>
              </w:rPr>
            </w:pPr>
          </w:p>
        </w:tc>
        <w:tc>
          <w:tcPr>
            <w:tcW w:w="9270" w:type="dxa"/>
          </w:tcPr>
          <w:p w14:paraId="1058C9B5" w14:textId="77777777" w:rsidR="00B804E8" w:rsidRPr="00CF07C0" w:rsidRDefault="00B804E8" w:rsidP="00B804E8">
            <w:pPr>
              <w:rPr>
                <w:sz w:val="20"/>
                <w:szCs w:val="20"/>
              </w:rPr>
            </w:pPr>
          </w:p>
        </w:tc>
      </w:tr>
      <w:tr w:rsidR="00B804E8" w:rsidRPr="00CF07C0" w14:paraId="09F68CC2" w14:textId="77777777" w:rsidTr="005A63DE">
        <w:tc>
          <w:tcPr>
            <w:tcW w:w="1165" w:type="dxa"/>
          </w:tcPr>
          <w:p w14:paraId="3AFA211B" w14:textId="46C3AEFC" w:rsidR="00B804E8" w:rsidRDefault="00B804E8" w:rsidP="00B804E8">
            <w:pPr>
              <w:jc w:val="center"/>
              <w:rPr>
                <w:sz w:val="20"/>
                <w:szCs w:val="20"/>
              </w:rPr>
            </w:pPr>
          </w:p>
        </w:tc>
        <w:tc>
          <w:tcPr>
            <w:tcW w:w="9270" w:type="dxa"/>
          </w:tcPr>
          <w:p w14:paraId="28D4E233" w14:textId="77777777" w:rsidR="00B804E8" w:rsidRPr="00CF07C0" w:rsidRDefault="00B804E8" w:rsidP="00B804E8">
            <w:pPr>
              <w:rPr>
                <w:sz w:val="20"/>
                <w:szCs w:val="20"/>
              </w:rPr>
            </w:pPr>
          </w:p>
        </w:tc>
      </w:tr>
      <w:tr w:rsidR="00B804E8" w:rsidRPr="00CF07C0" w14:paraId="2D4D1602" w14:textId="77777777" w:rsidTr="005A63DE">
        <w:tc>
          <w:tcPr>
            <w:tcW w:w="1165" w:type="dxa"/>
          </w:tcPr>
          <w:p w14:paraId="528293DD" w14:textId="5C1CD016" w:rsidR="00B804E8" w:rsidRDefault="00B804E8" w:rsidP="00B804E8">
            <w:pPr>
              <w:jc w:val="center"/>
              <w:rPr>
                <w:sz w:val="20"/>
                <w:szCs w:val="20"/>
              </w:rPr>
            </w:pPr>
          </w:p>
        </w:tc>
        <w:tc>
          <w:tcPr>
            <w:tcW w:w="9270" w:type="dxa"/>
          </w:tcPr>
          <w:p w14:paraId="766F779F" w14:textId="77777777" w:rsidR="00B804E8" w:rsidRPr="00CF07C0" w:rsidRDefault="00B804E8" w:rsidP="00B804E8">
            <w:pPr>
              <w:rPr>
                <w:sz w:val="20"/>
                <w:szCs w:val="20"/>
              </w:rPr>
            </w:pPr>
          </w:p>
        </w:tc>
      </w:tr>
      <w:tr w:rsidR="00B804E8" w:rsidRPr="00732F75" w14:paraId="7A405B5F" w14:textId="77777777" w:rsidTr="005A63DE">
        <w:tc>
          <w:tcPr>
            <w:tcW w:w="1165" w:type="dxa"/>
          </w:tcPr>
          <w:p w14:paraId="01521F53" w14:textId="5867D453" w:rsidR="00B804E8" w:rsidRDefault="00B804E8" w:rsidP="00B804E8">
            <w:pPr>
              <w:jc w:val="center"/>
              <w:rPr>
                <w:sz w:val="20"/>
                <w:szCs w:val="20"/>
              </w:rPr>
            </w:pPr>
          </w:p>
        </w:tc>
        <w:tc>
          <w:tcPr>
            <w:tcW w:w="9270" w:type="dxa"/>
          </w:tcPr>
          <w:p w14:paraId="46886966" w14:textId="77777777" w:rsidR="00B804E8" w:rsidRPr="00732F75" w:rsidRDefault="00B804E8" w:rsidP="00B804E8">
            <w:pPr>
              <w:pStyle w:val="BodyText"/>
              <w:rPr>
                <w:b/>
                <w:i/>
                <w:lang w:eastAsia="zh-CN"/>
              </w:rPr>
            </w:pPr>
          </w:p>
        </w:tc>
      </w:tr>
      <w:tr w:rsidR="00B804E8" w:rsidRPr="00CF07C0" w14:paraId="30F228EF" w14:textId="77777777" w:rsidTr="005A63DE">
        <w:tc>
          <w:tcPr>
            <w:tcW w:w="1165" w:type="dxa"/>
          </w:tcPr>
          <w:p w14:paraId="11FE57B5" w14:textId="2249696B" w:rsidR="00B804E8" w:rsidRDefault="00B804E8" w:rsidP="00B804E8">
            <w:pPr>
              <w:jc w:val="center"/>
              <w:rPr>
                <w:sz w:val="20"/>
                <w:szCs w:val="20"/>
              </w:rPr>
            </w:pPr>
          </w:p>
        </w:tc>
        <w:tc>
          <w:tcPr>
            <w:tcW w:w="9270" w:type="dxa"/>
          </w:tcPr>
          <w:p w14:paraId="65776888" w14:textId="77777777" w:rsidR="00B804E8" w:rsidRPr="00CF07C0" w:rsidRDefault="00B804E8" w:rsidP="00B804E8">
            <w:pPr>
              <w:rPr>
                <w:sz w:val="20"/>
                <w:szCs w:val="20"/>
              </w:rPr>
            </w:pPr>
          </w:p>
        </w:tc>
      </w:tr>
      <w:tr w:rsidR="00B804E8" w:rsidRPr="00CF07C0" w14:paraId="794F19D2" w14:textId="77777777" w:rsidTr="005A63DE">
        <w:tc>
          <w:tcPr>
            <w:tcW w:w="1165" w:type="dxa"/>
          </w:tcPr>
          <w:p w14:paraId="55193882" w14:textId="755DEB9C" w:rsidR="00B804E8" w:rsidRDefault="00B804E8" w:rsidP="00B804E8">
            <w:pPr>
              <w:jc w:val="center"/>
              <w:rPr>
                <w:sz w:val="20"/>
                <w:szCs w:val="20"/>
              </w:rPr>
            </w:pPr>
          </w:p>
        </w:tc>
        <w:tc>
          <w:tcPr>
            <w:tcW w:w="9270" w:type="dxa"/>
          </w:tcPr>
          <w:p w14:paraId="4399AB58" w14:textId="77777777" w:rsidR="00B804E8" w:rsidRPr="00CF07C0" w:rsidRDefault="00B804E8" w:rsidP="00B804E8">
            <w:pPr>
              <w:rPr>
                <w:sz w:val="20"/>
                <w:szCs w:val="20"/>
              </w:rPr>
            </w:pPr>
          </w:p>
        </w:tc>
      </w:tr>
      <w:tr w:rsidR="00B804E8" w:rsidRPr="00CF07C0" w14:paraId="4F9ED6D5" w14:textId="77777777" w:rsidTr="005A63DE">
        <w:tc>
          <w:tcPr>
            <w:tcW w:w="1165" w:type="dxa"/>
          </w:tcPr>
          <w:p w14:paraId="6A9E78BC" w14:textId="77777777" w:rsidR="00B804E8" w:rsidRPr="00CF07C0" w:rsidRDefault="00B804E8" w:rsidP="00B804E8">
            <w:pPr>
              <w:jc w:val="center"/>
              <w:rPr>
                <w:sz w:val="20"/>
                <w:szCs w:val="20"/>
              </w:rPr>
            </w:pPr>
          </w:p>
        </w:tc>
        <w:tc>
          <w:tcPr>
            <w:tcW w:w="9270" w:type="dxa"/>
          </w:tcPr>
          <w:p w14:paraId="5C8AB06B" w14:textId="77777777" w:rsidR="00B804E8" w:rsidRPr="00CF07C0" w:rsidRDefault="00B804E8" w:rsidP="00B804E8">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lastRenderedPageBreak/>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lastRenderedPageBreak/>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w:t>
            </w:r>
            <w:proofErr w:type="gramStart"/>
            <w:r>
              <w:rPr>
                <w:sz w:val="20"/>
                <w:szCs w:val="20"/>
              </w:rPr>
              <w:t>ETWS, and</w:t>
            </w:r>
            <w:proofErr w:type="gramEnd"/>
            <w:r>
              <w:rPr>
                <w:sz w:val="20"/>
                <w:szCs w:val="20"/>
              </w:rPr>
              <w:t xml:space="preserve">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w:t>
            </w:r>
            <w:proofErr w:type="gramStart"/>
            <w:r w:rsidRPr="0012112C">
              <w:rPr>
                <w:bCs/>
                <w:iCs/>
                <w:sz w:val="20"/>
                <w:szCs w:val="20"/>
              </w:rPr>
              <w:t>Or,</w:t>
            </w:r>
            <w:proofErr w:type="gramEnd"/>
            <w:r w:rsidRPr="0012112C">
              <w:rPr>
                <w:bCs/>
                <w:iCs/>
                <w:sz w:val="20"/>
                <w:szCs w:val="20"/>
              </w:rPr>
              <w:t xml:space="preserve">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637843" w:rsidRPr="0057385E" w14:paraId="32BCD571" w14:textId="77777777" w:rsidTr="007E0EC7">
        <w:tc>
          <w:tcPr>
            <w:tcW w:w="1165" w:type="dxa"/>
          </w:tcPr>
          <w:p w14:paraId="5A3EF058" w14:textId="375326CC" w:rsidR="00637843" w:rsidRDefault="00637843" w:rsidP="00637843">
            <w:pPr>
              <w:jc w:val="center"/>
              <w:rPr>
                <w:sz w:val="20"/>
                <w:szCs w:val="20"/>
              </w:rPr>
            </w:pPr>
          </w:p>
        </w:tc>
        <w:tc>
          <w:tcPr>
            <w:tcW w:w="9270" w:type="dxa"/>
          </w:tcPr>
          <w:p w14:paraId="3B973444" w14:textId="77777777" w:rsidR="00637843" w:rsidRPr="0057385E" w:rsidRDefault="00637843" w:rsidP="00637843">
            <w:pPr>
              <w:rPr>
                <w:b/>
                <w:bCs/>
                <w:sz w:val="20"/>
                <w:szCs w:val="20"/>
                <w:lang w:eastAsia="x-none"/>
              </w:rPr>
            </w:pPr>
          </w:p>
        </w:tc>
      </w:tr>
      <w:tr w:rsidR="00637843" w:rsidRPr="00CF07C0" w14:paraId="3DEE8864" w14:textId="77777777" w:rsidTr="007E0EC7">
        <w:tc>
          <w:tcPr>
            <w:tcW w:w="1165" w:type="dxa"/>
          </w:tcPr>
          <w:p w14:paraId="1155277F" w14:textId="0C04341C" w:rsidR="00637843" w:rsidRDefault="00637843" w:rsidP="00637843">
            <w:pPr>
              <w:jc w:val="center"/>
              <w:rPr>
                <w:sz w:val="20"/>
                <w:szCs w:val="20"/>
              </w:rPr>
            </w:pPr>
          </w:p>
        </w:tc>
        <w:tc>
          <w:tcPr>
            <w:tcW w:w="9270" w:type="dxa"/>
          </w:tcPr>
          <w:p w14:paraId="0AD8E5A4" w14:textId="77777777" w:rsidR="00637843" w:rsidRPr="00CF07C0" w:rsidRDefault="00637843" w:rsidP="00637843">
            <w:pPr>
              <w:rPr>
                <w:sz w:val="20"/>
                <w:szCs w:val="20"/>
              </w:rPr>
            </w:pPr>
          </w:p>
        </w:tc>
      </w:tr>
      <w:tr w:rsidR="00637843" w:rsidRPr="00CF07C0" w14:paraId="4426D014" w14:textId="77777777" w:rsidTr="007E0EC7">
        <w:tc>
          <w:tcPr>
            <w:tcW w:w="1165" w:type="dxa"/>
          </w:tcPr>
          <w:p w14:paraId="02F32692" w14:textId="184FBB0A" w:rsidR="00637843" w:rsidRDefault="00637843" w:rsidP="00637843">
            <w:pPr>
              <w:jc w:val="center"/>
              <w:rPr>
                <w:sz w:val="20"/>
                <w:szCs w:val="20"/>
              </w:rPr>
            </w:pPr>
          </w:p>
        </w:tc>
        <w:tc>
          <w:tcPr>
            <w:tcW w:w="9270" w:type="dxa"/>
          </w:tcPr>
          <w:p w14:paraId="451B5208" w14:textId="77777777" w:rsidR="00637843" w:rsidRPr="00CF07C0" w:rsidRDefault="00637843" w:rsidP="00637843">
            <w:pPr>
              <w:rPr>
                <w:sz w:val="20"/>
                <w:szCs w:val="20"/>
              </w:rPr>
            </w:pPr>
          </w:p>
        </w:tc>
      </w:tr>
      <w:tr w:rsidR="00637843" w:rsidRPr="00CF07C0" w14:paraId="0F0ABFB9" w14:textId="77777777" w:rsidTr="007E0EC7">
        <w:tc>
          <w:tcPr>
            <w:tcW w:w="1165" w:type="dxa"/>
          </w:tcPr>
          <w:p w14:paraId="20097193" w14:textId="45C73032" w:rsidR="00637843" w:rsidRDefault="00637843" w:rsidP="00637843">
            <w:pPr>
              <w:jc w:val="center"/>
              <w:rPr>
                <w:sz w:val="20"/>
                <w:szCs w:val="20"/>
              </w:rPr>
            </w:pPr>
          </w:p>
        </w:tc>
        <w:tc>
          <w:tcPr>
            <w:tcW w:w="9270" w:type="dxa"/>
          </w:tcPr>
          <w:p w14:paraId="2556D3DE" w14:textId="77777777" w:rsidR="00637843" w:rsidRPr="00CF07C0" w:rsidRDefault="00637843" w:rsidP="00637843">
            <w:pPr>
              <w:rPr>
                <w:sz w:val="20"/>
                <w:szCs w:val="20"/>
              </w:rPr>
            </w:pPr>
          </w:p>
        </w:tc>
      </w:tr>
      <w:tr w:rsidR="00637843" w:rsidRPr="00732F75" w14:paraId="2FBF9F6E" w14:textId="77777777" w:rsidTr="007E0EC7">
        <w:tc>
          <w:tcPr>
            <w:tcW w:w="1165" w:type="dxa"/>
          </w:tcPr>
          <w:p w14:paraId="2A69C80B" w14:textId="0590C589" w:rsidR="00637843" w:rsidRDefault="00637843" w:rsidP="00637843">
            <w:pPr>
              <w:jc w:val="center"/>
              <w:rPr>
                <w:sz w:val="20"/>
                <w:szCs w:val="20"/>
              </w:rPr>
            </w:pPr>
          </w:p>
        </w:tc>
        <w:tc>
          <w:tcPr>
            <w:tcW w:w="9270" w:type="dxa"/>
          </w:tcPr>
          <w:p w14:paraId="372C0B70" w14:textId="77777777" w:rsidR="00637843" w:rsidRPr="00732F75" w:rsidRDefault="00637843" w:rsidP="00637843">
            <w:pPr>
              <w:pStyle w:val="BodyText"/>
              <w:rPr>
                <w:b/>
                <w:i/>
                <w:lang w:eastAsia="zh-CN"/>
              </w:rPr>
            </w:pPr>
          </w:p>
        </w:tc>
      </w:tr>
      <w:tr w:rsidR="00637843" w:rsidRPr="00CF07C0" w14:paraId="15091590" w14:textId="77777777" w:rsidTr="007E0EC7">
        <w:tc>
          <w:tcPr>
            <w:tcW w:w="1165" w:type="dxa"/>
          </w:tcPr>
          <w:p w14:paraId="65540D55" w14:textId="1DF6C44E" w:rsidR="00637843" w:rsidRDefault="00637843" w:rsidP="00637843">
            <w:pPr>
              <w:jc w:val="center"/>
              <w:rPr>
                <w:sz w:val="20"/>
                <w:szCs w:val="20"/>
              </w:rPr>
            </w:pPr>
          </w:p>
        </w:tc>
        <w:tc>
          <w:tcPr>
            <w:tcW w:w="9270" w:type="dxa"/>
          </w:tcPr>
          <w:p w14:paraId="649075EE" w14:textId="77777777" w:rsidR="00637843" w:rsidRPr="00CF07C0" w:rsidRDefault="00637843" w:rsidP="00637843">
            <w:pPr>
              <w:rPr>
                <w:sz w:val="20"/>
                <w:szCs w:val="20"/>
              </w:rPr>
            </w:pPr>
          </w:p>
        </w:tc>
      </w:tr>
      <w:tr w:rsidR="00637843" w:rsidRPr="00CF07C0" w14:paraId="11A57A1C" w14:textId="77777777" w:rsidTr="007E0EC7">
        <w:tc>
          <w:tcPr>
            <w:tcW w:w="1165" w:type="dxa"/>
          </w:tcPr>
          <w:p w14:paraId="188CF095" w14:textId="1ED5AC45" w:rsidR="00637843" w:rsidRDefault="00637843" w:rsidP="00637843">
            <w:pPr>
              <w:jc w:val="center"/>
              <w:rPr>
                <w:sz w:val="20"/>
                <w:szCs w:val="20"/>
              </w:rPr>
            </w:pPr>
          </w:p>
        </w:tc>
        <w:tc>
          <w:tcPr>
            <w:tcW w:w="9270" w:type="dxa"/>
          </w:tcPr>
          <w:p w14:paraId="71F6519A" w14:textId="77777777" w:rsidR="00637843" w:rsidRPr="00CF07C0" w:rsidRDefault="00637843" w:rsidP="00637843">
            <w:pPr>
              <w:rPr>
                <w:sz w:val="20"/>
                <w:szCs w:val="20"/>
              </w:rPr>
            </w:pPr>
          </w:p>
        </w:tc>
      </w:tr>
      <w:tr w:rsidR="00637843" w:rsidRPr="00CF07C0" w14:paraId="6DE1682C" w14:textId="77777777" w:rsidTr="007E0EC7">
        <w:tc>
          <w:tcPr>
            <w:tcW w:w="1165" w:type="dxa"/>
          </w:tcPr>
          <w:p w14:paraId="144A2CB6" w14:textId="77777777" w:rsidR="00637843" w:rsidRPr="00CF07C0" w:rsidRDefault="00637843" w:rsidP="00637843">
            <w:pPr>
              <w:jc w:val="center"/>
              <w:rPr>
                <w:sz w:val="20"/>
                <w:szCs w:val="20"/>
              </w:rPr>
            </w:pPr>
          </w:p>
        </w:tc>
        <w:tc>
          <w:tcPr>
            <w:tcW w:w="9270" w:type="dxa"/>
          </w:tcPr>
          <w:p w14:paraId="7CA1FFDB" w14:textId="77777777" w:rsidR="00637843" w:rsidRPr="00CF07C0" w:rsidRDefault="00637843" w:rsidP="00637843">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 xml:space="preserve">or question </w:t>
            </w:r>
            <w:proofErr w:type="gramStart"/>
            <w:r w:rsidRPr="0067715F">
              <w:rPr>
                <w:rFonts w:eastAsia="SimSun"/>
                <w:b/>
                <w:u w:val="single"/>
                <w:lang w:eastAsia="zh-CN"/>
              </w:rPr>
              <w:t>a)</w:t>
            </w:r>
            <w:r w:rsidRPr="0067715F">
              <w:rPr>
                <w:rFonts w:eastAsia="SimSun" w:hint="eastAsia"/>
                <w:b/>
                <w:u w:val="single"/>
                <w:lang w:eastAsia="zh-CN"/>
              </w:rPr>
              <w:t>：</w:t>
            </w:r>
            <w:proofErr w:type="gramEnd"/>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w:t>
            </w:r>
            <w:proofErr w:type="gramStart"/>
            <w:r>
              <w:rPr>
                <w:rFonts w:eastAsia="SimSun"/>
                <w:sz w:val="20"/>
                <w:szCs w:val="20"/>
                <w:lang w:eastAsia="zh-CN"/>
              </w:rPr>
              <w:t>Both of the performance</w:t>
            </w:r>
            <w:proofErr w:type="gramEnd"/>
            <w:r>
              <w:rPr>
                <w:rFonts w:eastAsia="SimSun"/>
                <w:sz w:val="20"/>
                <w:szCs w:val="20"/>
                <w:lang w:eastAsia="zh-CN"/>
              </w:rPr>
              <w:t xml:space="preserv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xml:space="preserve">, all the downlink traffic for the legacy UE </w:t>
            </w:r>
            <w:proofErr w:type="gramStart"/>
            <w:r w:rsidRPr="004F33B5">
              <w:rPr>
                <w:rFonts w:eastAsia="SimSun"/>
                <w:sz w:val="20"/>
                <w:szCs w:val="20"/>
                <w:lang w:eastAsia="zh-CN"/>
              </w:rPr>
              <w:t>has to</w:t>
            </w:r>
            <w:proofErr w:type="gramEnd"/>
            <w:r w:rsidRPr="004F33B5">
              <w:rPr>
                <w:rFonts w:eastAsia="SimSun"/>
                <w:sz w:val="20"/>
                <w:szCs w:val="20"/>
                <w:lang w:eastAsia="zh-CN"/>
              </w:rPr>
              <w:t xml:space="preserve">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 xml:space="preserve">he multi-beam operation will be </w:t>
            </w:r>
            <w:proofErr w:type="gramStart"/>
            <w:r w:rsidRPr="004F33B5">
              <w:rPr>
                <w:rFonts w:eastAsia="SimSun"/>
                <w:sz w:val="20"/>
                <w:szCs w:val="20"/>
                <w:lang w:eastAsia="zh-CN"/>
              </w:rPr>
              <w:t>limited</w:t>
            </w:r>
            <w:proofErr w:type="gramEnd"/>
            <w:r w:rsidRPr="004F33B5">
              <w:rPr>
                <w:rFonts w:eastAsia="SimSun"/>
                <w:sz w:val="20"/>
                <w:szCs w:val="20"/>
                <w:lang w:eastAsia="zh-CN"/>
              </w:rPr>
              <w:t xml:space="preserve">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 xml:space="preserve">Correspondingly on point b), as there is no guarantee of the ‘availability’of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w:t>
            </w:r>
            <w:proofErr w:type="gramStart"/>
            <w:r w:rsidRPr="002F5450">
              <w:rPr>
                <w:bCs/>
                <w:iCs/>
                <w:color w:val="0070C0"/>
                <w:sz w:val="22"/>
                <w:szCs w:val="22"/>
              </w:rPr>
              <w:t>in order to</w:t>
            </w:r>
            <w:proofErr w:type="gramEnd"/>
            <w:r w:rsidRPr="002F5450">
              <w:rPr>
                <w:bCs/>
                <w:iCs/>
                <w:color w:val="0070C0"/>
                <w:sz w:val="22"/>
                <w:szCs w:val="22"/>
              </w:rPr>
              <w:t xml:space="preserve">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 xml:space="preserve">1 to 1 for sequence-based </w:t>
                  </w:r>
                  <w:proofErr w:type="gramStart"/>
                  <w:r w:rsidRPr="00B55226">
                    <w:rPr>
                      <w:rFonts w:eastAsiaTheme="minorEastAsia"/>
                      <w:b/>
                      <w:bCs/>
                      <w:color w:val="FFFFFF"/>
                      <w:sz w:val="18"/>
                      <w:szCs w:val="18"/>
                    </w:rPr>
                    <w:t>PEI;</w:t>
                  </w:r>
                  <w:proofErr w:type="gramEnd"/>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 xml:space="preserve">1 to 1 for sequence-based </w:t>
                  </w:r>
                  <w:proofErr w:type="gramStart"/>
                  <w:r w:rsidRPr="00B55226">
                    <w:rPr>
                      <w:rFonts w:eastAsia="SimSun"/>
                      <w:b/>
                      <w:bCs/>
                      <w:color w:val="FFFFFF"/>
                      <w:sz w:val="18"/>
                      <w:szCs w:val="18"/>
                      <w:lang w:eastAsia="zh-CN"/>
                    </w:rPr>
                    <w:t>PEI;</w:t>
                  </w:r>
                  <w:proofErr w:type="gramEnd"/>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 xml:space="preserve">Exact number of impacted Rel-15 PDCCH candidates depends on CSI-RS mapping pattern, relative </w:t>
            </w:r>
            <w:proofErr w:type="gramStart"/>
            <w:r w:rsidRPr="006770D4">
              <w:rPr>
                <w:rFonts w:hint="eastAsia"/>
                <w:sz w:val="20"/>
                <w:szCs w:val="22"/>
                <w:highlight w:val="yellow"/>
              </w:rPr>
              <w:t>size</w:t>
            </w:r>
            <w:proofErr w:type="gramEnd"/>
            <w:r w:rsidRPr="006770D4">
              <w:rPr>
                <w:rFonts w:hint="eastAsia"/>
                <w:sz w:val="20"/>
                <w:szCs w:val="22"/>
                <w:highlight w:val="yellow"/>
              </w:rPr>
              <w:t xml:space="preserv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 xml:space="preserve">or Behv-A, PEI can be skipped by gNB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637843" w:rsidRPr="0057385E" w14:paraId="777D48A7" w14:textId="77777777" w:rsidTr="007E0EC7">
        <w:tc>
          <w:tcPr>
            <w:tcW w:w="1165" w:type="dxa"/>
          </w:tcPr>
          <w:p w14:paraId="1D74B0CB" w14:textId="1F6236FD" w:rsidR="00637843" w:rsidRDefault="00637843" w:rsidP="00637843">
            <w:pPr>
              <w:jc w:val="center"/>
              <w:rPr>
                <w:sz w:val="20"/>
                <w:szCs w:val="20"/>
              </w:rPr>
            </w:pPr>
          </w:p>
        </w:tc>
        <w:tc>
          <w:tcPr>
            <w:tcW w:w="9270" w:type="dxa"/>
          </w:tcPr>
          <w:p w14:paraId="20AF131F" w14:textId="77777777" w:rsidR="00637843" w:rsidRPr="0057385E" w:rsidRDefault="00637843" w:rsidP="00637843">
            <w:pPr>
              <w:rPr>
                <w:b/>
                <w:bCs/>
                <w:sz w:val="20"/>
                <w:szCs w:val="20"/>
                <w:lang w:eastAsia="x-none"/>
              </w:rPr>
            </w:pPr>
          </w:p>
        </w:tc>
      </w:tr>
      <w:tr w:rsidR="00637843" w:rsidRPr="00CF07C0" w14:paraId="72AE4A4A" w14:textId="77777777" w:rsidTr="007E0EC7">
        <w:tc>
          <w:tcPr>
            <w:tcW w:w="1165" w:type="dxa"/>
          </w:tcPr>
          <w:p w14:paraId="1C5917F2" w14:textId="15E4528B" w:rsidR="00637843" w:rsidRDefault="00637843" w:rsidP="00637843">
            <w:pPr>
              <w:jc w:val="center"/>
              <w:rPr>
                <w:sz w:val="20"/>
                <w:szCs w:val="20"/>
              </w:rPr>
            </w:pPr>
          </w:p>
        </w:tc>
        <w:tc>
          <w:tcPr>
            <w:tcW w:w="9270" w:type="dxa"/>
          </w:tcPr>
          <w:p w14:paraId="20F85A56" w14:textId="77777777" w:rsidR="00637843" w:rsidRPr="00CF07C0" w:rsidRDefault="00637843" w:rsidP="00637843">
            <w:pPr>
              <w:rPr>
                <w:sz w:val="20"/>
                <w:szCs w:val="20"/>
              </w:rPr>
            </w:pPr>
          </w:p>
        </w:tc>
      </w:tr>
      <w:tr w:rsidR="00637843" w:rsidRPr="00CF07C0" w14:paraId="1151DB53" w14:textId="77777777" w:rsidTr="007E0EC7">
        <w:tc>
          <w:tcPr>
            <w:tcW w:w="1165" w:type="dxa"/>
          </w:tcPr>
          <w:p w14:paraId="2364E9CD" w14:textId="733F4EAC" w:rsidR="00637843" w:rsidRDefault="00637843" w:rsidP="00637843">
            <w:pPr>
              <w:jc w:val="center"/>
              <w:rPr>
                <w:sz w:val="20"/>
                <w:szCs w:val="20"/>
              </w:rPr>
            </w:pPr>
          </w:p>
        </w:tc>
        <w:tc>
          <w:tcPr>
            <w:tcW w:w="9270" w:type="dxa"/>
          </w:tcPr>
          <w:p w14:paraId="716A2D1E" w14:textId="77777777" w:rsidR="00637843" w:rsidRPr="00CF07C0" w:rsidRDefault="00637843" w:rsidP="00637843">
            <w:pPr>
              <w:rPr>
                <w:sz w:val="20"/>
                <w:szCs w:val="20"/>
              </w:rPr>
            </w:pPr>
          </w:p>
        </w:tc>
      </w:tr>
      <w:tr w:rsidR="00637843" w:rsidRPr="00CF07C0" w14:paraId="5D67109B" w14:textId="77777777" w:rsidTr="007E0EC7">
        <w:tc>
          <w:tcPr>
            <w:tcW w:w="1165" w:type="dxa"/>
          </w:tcPr>
          <w:p w14:paraId="0C57C9B6" w14:textId="5EBA14D1" w:rsidR="00637843" w:rsidRDefault="00637843" w:rsidP="00637843">
            <w:pPr>
              <w:jc w:val="center"/>
              <w:rPr>
                <w:sz w:val="20"/>
                <w:szCs w:val="20"/>
              </w:rPr>
            </w:pPr>
          </w:p>
        </w:tc>
        <w:tc>
          <w:tcPr>
            <w:tcW w:w="9270" w:type="dxa"/>
          </w:tcPr>
          <w:p w14:paraId="1EE1F455" w14:textId="77777777" w:rsidR="00637843" w:rsidRPr="00CF07C0" w:rsidRDefault="00637843" w:rsidP="00637843">
            <w:pPr>
              <w:rPr>
                <w:sz w:val="20"/>
                <w:szCs w:val="20"/>
              </w:rPr>
            </w:pPr>
          </w:p>
        </w:tc>
      </w:tr>
      <w:tr w:rsidR="00637843" w:rsidRPr="00732F75" w14:paraId="17310F3E" w14:textId="77777777" w:rsidTr="007E0EC7">
        <w:tc>
          <w:tcPr>
            <w:tcW w:w="1165" w:type="dxa"/>
          </w:tcPr>
          <w:p w14:paraId="55F4FF32" w14:textId="23BD8B57" w:rsidR="00637843" w:rsidRDefault="00637843" w:rsidP="00637843">
            <w:pPr>
              <w:jc w:val="center"/>
              <w:rPr>
                <w:sz w:val="20"/>
                <w:szCs w:val="20"/>
              </w:rPr>
            </w:pPr>
          </w:p>
        </w:tc>
        <w:tc>
          <w:tcPr>
            <w:tcW w:w="9270" w:type="dxa"/>
          </w:tcPr>
          <w:p w14:paraId="32EF08CA" w14:textId="77777777" w:rsidR="00637843" w:rsidRPr="00732F75" w:rsidRDefault="00637843" w:rsidP="00637843">
            <w:pPr>
              <w:pStyle w:val="BodyText"/>
              <w:rPr>
                <w:b/>
                <w:i/>
                <w:lang w:eastAsia="zh-CN"/>
              </w:rPr>
            </w:pPr>
          </w:p>
        </w:tc>
      </w:tr>
      <w:tr w:rsidR="00637843" w:rsidRPr="00CF07C0" w14:paraId="18A76D6A" w14:textId="77777777" w:rsidTr="007E0EC7">
        <w:tc>
          <w:tcPr>
            <w:tcW w:w="1165" w:type="dxa"/>
          </w:tcPr>
          <w:p w14:paraId="5022798A" w14:textId="39975449" w:rsidR="00637843" w:rsidRDefault="00637843" w:rsidP="00637843">
            <w:pPr>
              <w:jc w:val="center"/>
              <w:rPr>
                <w:sz w:val="20"/>
                <w:szCs w:val="20"/>
              </w:rPr>
            </w:pPr>
          </w:p>
        </w:tc>
        <w:tc>
          <w:tcPr>
            <w:tcW w:w="9270" w:type="dxa"/>
          </w:tcPr>
          <w:p w14:paraId="559D8FED" w14:textId="77777777" w:rsidR="00637843" w:rsidRPr="00CF07C0" w:rsidRDefault="00637843" w:rsidP="00637843">
            <w:pPr>
              <w:rPr>
                <w:sz w:val="20"/>
                <w:szCs w:val="20"/>
              </w:rPr>
            </w:pPr>
          </w:p>
        </w:tc>
      </w:tr>
      <w:tr w:rsidR="00637843" w:rsidRPr="00CF07C0" w14:paraId="63C45D56" w14:textId="77777777" w:rsidTr="007E0EC7">
        <w:tc>
          <w:tcPr>
            <w:tcW w:w="1165" w:type="dxa"/>
          </w:tcPr>
          <w:p w14:paraId="6A1D27B7" w14:textId="7D893986" w:rsidR="00637843" w:rsidRDefault="00637843" w:rsidP="00637843">
            <w:pPr>
              <w:jc w:val="center"/>
              <w:rPr>
                <w:sz w:val="20"/>
                <w:szCs w:val="20"/>
              </w:rPr>
            </w:pPr>
          </w:p>
        </w:tc>
        <w:tc>
          <w:tcPr>
            <w:tcW w:w="9270" w:type="dxa"/>
          </w:tcPr>
          <w:p w14:paraId="7B8977C3" w14:textId="77777777" w:rsidR="00637843" w:rsidRPr="00CF07C0" w:rsidRDefault="00637843" w:rsidP="00637843">
            <w:pPr>
              <w:rPr>
                <w:sz w:val="20"/>
                <w:szCs w:val="20"/>
              </w:rPr>
            </w:pPr>
          </w:p>
        </w:tc>
      </w:tr>
      <w:tr w:rsidR="00637843" w:rsidRPr="00CF07C0" w14:paraId="056A2A88" w14:textId="77777777" w:rsidTr="007E0EC7">
        <w:tc>
          <w:tcPr>
            <w:tcW w:w="1165" w:type="dxa"/>
          </w:tcPr>
          <w:p w14:paraId="7F3DA2DA" w14:textId="77777777" w:rsidR="00637843" w:rsidRPr="00CF07C0" w:rsidRDefault="00637843" w:rsidP="00637843">
            <w:pPr>
              <w:jc w:val="center"/>
              <w:rPr>
                <w:sz w:val="20"/>
                <w:szCs w:val="20"/>
              </w:rPr>
            </w:pPr>
          </w:p>
        </w:tc>
        <w:tc>
          <w:tcPr>
            <w:tcW w:w="9270" w:type="dxa"/>
          </w:tcPr>
          <w:p w14:paraId="7A9D73A3" w14:textId="77777777" w:rsidR="00637843" w:rsidRPr="00CF07C0" w:rsidRDefault="00637843" w:rsidP="00637843">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lastRenderedPageBreak/>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gNBs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lastRenderedPageBreak/>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 xml:space="preserve">Early deployment, since there could be </w:t>
            </w:r>
            <w:proofErr w:type="gramStart"/>
            <w:r>
              <w:rPr>
                <w:rFonts w:eastAsia="SimSun"/>
                <w:sz w:val="20"/>
                <w:szCs w:val="20"/>
                <w:lang w:eastAsia="zh-CN"/>
              </w:rPr>
              <w:t>no</w:t>
            </w:r>
            <w:proofErr w:type="gramEnd"/>
            <w:r>
              <w:rPr>
                <w:rFonts w:eastAsia="SimSun"/>
                <w:sz w:val="20"/>
                <w:szCs w:val="20"/>
                <w:lang w:eastAsia="zh-CN"/>
              </w:rPr>
              <w:t xml:space="preserve">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lastRenderedPageBreak/>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w:t>
            </w:r>
            <w:proofErr w:type="gramStart"/>
            <w:r w:rsidRPr="00C17F4C">
              <w:rPr>
                <w:bCs/>
                <w:iCs/>
                <w:sz w:val="20"/>
                <w:szCs w:val="20"/>
              </w:rPr>
              <w:t>to reuse</w:t>
            </w:r>
            <w:proofErr w:type="gramEnd"/>
            <w:r w:rsidRPr="00C17F4C">
              <w:rPr>
                <w:bCs/>
                <w:iCs/>
                <w:sz w:val="20"/>
                <w:szCs w:val="20"/>
              </w:rPr>
              <w:t xml:space="preserve"> Rel-15 design/signal structure as much as possible to reduce the efforts. Simulation results show that payload necessary for basic PEI functionality and UE sub-group indication upto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lastRenderedPageBreak/>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ps-Wakeup functionality to support both BehvA and BehvB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lastRenderedPageBreak/>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637843" w:rsidRPr="00CF07C0" w14:paraId="4C713F44" w14:textId="77777777" w:rsidTr="001A2DE3">
        <w:trPr>
          <w:jc w:val="center"/>
        </w:trPr>
        <w:tc>
          <w:tcPr>
            <w:tcW w:w="1170" w:type="dxa"/>
          </w:tcPr>
          <w:p w14:paraId="76504AA4" w14:textId="513AF4BC" w:rsidR="00637843" w:rsidRDefault="00637843" w:rsidP="00637843">
            <w:pPr>
              <w:jc w:val="center"/>
              <w:rPr>
                <w:sz w:val="20"/>
                <w:szCs w:val="20"/>
              </w:rPr>
            </w:pPr>
          </w:p>
        </w:tc>
        <w:tc>
          <w:tcPr>
            <w:tcW w:w="1615" w:type="dxa"/>
          </w:tcPr>
          <w:p w14:paraId="16B6BE8E" w14:textId="616B8EC0" w:rsidR="00637843" w:rsidRDefault="00637843" w:rsidP="00637843">
            <w:pPr>
              <w:jc w:val="center"/>
              <w:rPr>
                <w:sz w:val="20"/>
                <w:szCs w:val="20"/>
              </w:rPr>
            </w:pPr>
          </w:p>
        </w:tc>
        <w:tc>
          <w:tcPr>
            <w:tcW w:w="7920" w:type="dxa"/>
          </w:tcPr>
          <w:p w14:paraId="7338285C" w14:textId="77777777" w:rsidR="00637843" w:rsidRPr="00CF07C0" w:rsidRDefault="00637843" w:rsidP="00637843">
            <w:pPr>
              <w:rPr>
                <w:sz w:val="20"/>
                <w:szCs w:val="20"/>
              </w:rPr>
            </w:pPr>
          </w:p>
        </w:tc>
      </w:tr>
      <w:tr w:rsidR="00637843" w:rsidRPr="00CF07C0" w14:paraId="578CE5D4" w14:textId="77777777" w:rsidTr="001A2DE3">
        <w:trPr>
          <w:jc w:val="center"/>
        </w:trPr>
        <w:tc>
          <w:tcPr>
            <w:tcW w:w="1170" w:type="dxa"/>
          </w:tcPr>
          <w:p w14:paraId="6C5256C8" w14:textId="5DCBBB71" w:rsidR="00637843" w:rsidRDefault="00637843" w:rsidP="00637843">
            <w:pPr>
              <w:jc w:val="center"/>
              <w:rPr>
                <w:sz w:val="20"/>
                <w:szCs w:val="20"/>
              </w:rPr>
            </w:pPr>
          </w:p>
        </w:tc>
        <w:tc>
          <w:tcPr>
            <w:tcW w:w="1615" w:type="dxa"/>
          </w:tcPr>
          <w:p w14:paraId="05E0182A" w14:textId="014C6F31" w:rsidR="00637843" w:rsidRDefault="00637843" w:rsidP="00637843">
            <w:pPr>
              <w:jc w:val="center"/>
              <w:rPr>
                <w:sz w:val="20"/>
                <w:szCs w:val="20"/>
              </w:rPr>
            </w:pPr>
          </w:p>
        </w:tc>
        <w:tc>
          <w:tcPr>
            <w:tcW w:w="7920" w:type="dxa"/>
          </w:tcPr>
          <w:p w14:paraId="01132C08" w14:textId="77777777" w:rsidR="00637843" w:rsidRPr="00CF07C0" w:rsidRDefault="00637843" w:rsidP="00637843">
            <w:pPr>
              <w:rPr>
                <w:sz w:val="20"/>
                <w:szCs w:val="20"/>
              </w:rPr>
            </w:pPr>
          </w:p>
        </w:tc>
      </w:tr>
      <w:tr w:rsidR="00637843" w:rsidRPr="00CF07C0" w14:paraId="64FE6D0D" w14:textId="77777777" w:rsidTr="001A2DE3">
        <w:trPr>
          <w:jc w:val="center"/>
        </w:trPr>
        <w:tc>
          <w:tcPr>
            <w:tcW w:w="1170" w:type="dxa"/>
          </w:tcPr>
          <w:p w14:paraId="5892AC17" w14:textId="6BE2D483" w:rsidR="00637843" w:rsidRDefault="00637843" w:rsidP="00637843">
            <w:pPr>
              <w:jc w:val="center"/>
              <w:rPr>
                <w:sz w:val="20"/>
                <w:szCs w:val="20"/>
              </w:rPr>
            </w:pPr>
          </w:p>
        </w:tc>
        <w:tc>
          <w:tcPr>
            <w:tcW w:w="1615" w:type="dxa"/>
          </w:tcPr>
          <w:p w14:paraId="3C1A3D31" w14:textId="2DD82866" w:rsidR="00637843" w:rsidRDefault="00637843" w:rsidP="00637843">
            <w:pPr>
              <w:jc w:val="center"/>
              <w:rPr>
                <w:sz w:val="20"/>
                <w:szCs w:val="20"/>
              </w:rPr>
            </w:pPr>
          </w:p>
        </w:tc>
        <w:tc>
          <w:tcPr>
            <w:tcW w:w="7920" w:type="dxa"/>
          </w:tcPr>
          <w:p w14:paraId="3859B841" w14:textId="77777777" w:rsidR="00637843" w:rsidRPr="00CF07C0" w:rsidRDefault="00637843" w:rsidP="00637843">
            <w:pPr>
              <w:rPr>
                <w:sz w:val="20"/>
                <w:szCs w:val="20"/>
              </w:rPr>
            </w:pPr>
          </w:p>
        </w:tc>
      </w:tr>
      <w:tr w:rsidR="00637843" w:rsidRPr="0057385E" w14:paraId="794A0260" w14:textId="77777777" w:rsidTr="001A2DE3">
        <w:trPr>
          <w:jc w:val="center"/>
        </w:trPr>
        <w:tc>
          <w:tcPr>
            <w:tcW w:w="1170" w:type="dxa"/>
          </w:tcPr>
          <w:p w14:paraId="076969EE" w14:textId="77FF8618" w:rsidR="00637843" w:rsidRDefault="00637843" w:rsidP="00637843">
            <w:pPr>
              <w:jc w:val="center"/>
              <w:rPr>
                <w:sz w:val="20"/>
                <w:szCs w:val="20"/>
              </w:rPr>
            </w:pPr>
          </w:p>
        </w:tc>
        <w:tc>
          <w:tcPr>
            <w:tcW w:w="1615" w:type="dxa"/>
          </w:tcPr>
          <w:p w14:paraId="00114900" w14:textId="0DE0E2CC" w:rsidR="00637843" w:rsidRDefault="00637843" w:rsidP="00637843">
            <w:pPr>
              <w:jc w:val="center"/>
              <w:rPr>
                <w:sz w:val="20"/>
                <w:szCs w:val="20"/>
              </w:rPr>
            </w:pPr>
          </w:p>
        </w:tc>
        <w:tc>
          <w:tcPr>
            <w:tcW w:w="7920" w:type="dxa"/>
          </w:tcPr>
          <w:p w14:paraId="1CA17674" w14:textId="77777777" w:rsidR="00637843" w:rsidRPr="0057385E" w:rsidRDefault="00637843" w:rsidP="00637843">
            <w:pPr>
              <w:rPr>
                <w:b/>
                <w:bCs/>
                <w:sz w:val="20"/>
                <w:szCs w:val="20"/>
                <w:lang w:eastAsia="x-none"/>
              </w:rPr>
            </w:pPr>
          </w:p>
        </w:tc>
      </w:tr>
      <w:tr w:rsidR="00637843" w:rsidRPr="00CF07C0" w14:paraId="37E90581" w14:textId="77777777" w:rsidTr="001A2DE3">
        <w:trPr>
          <w:jc w:val="center"/>
        </w:trPr>
        <w:tc>
          <w:tcPr>
            <w:tcW w:w="1170" w:type="dxa"/>
          </w:tcPr>
          <w:p w14:paraId="24016C90" w14:textId="20C84520" w:rsidR="00637843" w:rsidRDefault="00637843" w:rsidP="00637843">
            <w:pPr>
              <w:jc w:val="center"/>
              <w:rPr>
                <w:sz w:val="20"/>
                <w:szCs w:val="20"/>
              </w:rPr>
            </w:pPr>
          </w:p>
        </w:tc>
        <w:tc>
          <w:tcPr>
            <w:tcW w:w="1615" w:type="dxa"/>
          </w:tcPr>
          <w:p w14:paraId="1655AE0F" w14:textId="72117D50" w:rsidR="00637843" w:rsidRDefault="00637843" w:rsidP="00637843">
            <w:pPr>
              <w:jc w:val="center"/>
              <w:rPr>
                <w:sz w:val="20"/>
                <w:szCs w:val="20"/>
              </w:rPr>
            </w:pPr>
          </w:p>
        </w:tc>
        <w:tc>
          <w:tcPr>
            <w:tcW w:w="7920" w:type="dxa"/>
          </w:tcPr>
          <w:p w14:paraId="5ED1F676" w14:textId="77777777" w:rsidR="00637843" w:rsidRPr="00CF07C0" w:rsidRDefault="00637843" w:rsidP="00637843">
            <w:pPr>
              <w:rPr>
                <w:sz w:val="20"/>
                <w:szCs w:val="20"/>
              </w:rPr>
            </w:pPr>
          </w:p>
        </w:tc>
      </w:tr>
      <w:tr w:rsidR="00637843" w:rsidRPr="00CF07C0" w14:paraId="50AAE879" w14:textId="77777777" w:rsidTr="001A2DE3">
        <w:trPr>
          <w:jc w:val="center"/>
        </w:trPr>
        <w:tc>
          <w:tcPr>
            <w:tcW w:w="1170" w:type="dxa"/>
          </w:tcPr>
          <w:p w14:paraId="7347AAF3" w14:textId="3E10A096" w:rsidR="00637843" w:rsidRDefault="00637843" w:rsidP="00637843">
            <w:pPr>
              <w:jc w:val="center"/>
              <w:rPr>
                <w:sz w:val="20"/>
                <w:szCs w:val="20"/>
              </w:rPr>
            </w:pPr>
          </w:p>
        </w:tc>
        <w:tc>
          <w:tcPr>
            <w:tcW w:w="1615" w:type="dxa"/>
          </w:tcPr>
          <w:p w14:paraId="4808D272" w14:textId="65AE8596" w:rsidR="00637843" w:rsidRDefault="00637843" w:rsidP="00637843">
            <w:pPr>
              <w:jc w:val="center"/>
              <w:rPr>
                <w:sz w:val="20"/>
                <w:szCs w:val="20"/>
              </w:rPr>
            </w:pPr>
          </w:p>
        </w:tc>
        <w:tc>
          <w:tcPr>
            <w:tcW w:w="7920" w:type="dxa"/>
          </w:tcPr>
          <w:p w14:paraId="631C530C" w14:textId="77777777" w:rsidR="00637843" w:rsidRPr="00CF07C0" w:rsidRDefault="00637843" w:rsidP="00637843">
            <w:pPr>
              <w:rPr>
                <w:sz w:val="20"/>
                <w:szCs w:val="20"/>
              </w:rPr>
            </w:pPr>
          </w:p>
        </w:tc>
      </w:tr>
      <w:tr w:rsidR="00637843" w:rsidRPr="00CF07C0" w14:paraId="777368AC" w14:textId="77777777" w:rsidTr="001A2DE3">
        <w:trPr>
          <w:jc w:val="center"/>
        </w:trPr>
        <w:tc>
          <w:tcPr>
            <w:tcW w:w="1170" w:type="dxa"/>
          </w:tcPr>
          <w:p w14:paraId="1031237D" w14:textId="1EED6AAB" w:rsidR="00637843" w:rsidRDefault="00637843" w:rsidP="00637843">
            <w:pPr>
              <w:jc w:val="center"/>
              <w:rPr>
                <w:sz w:val="20"/>
                <w:szCs w:val="20"/>
              </w:rPr>
            </w:pPr>
          </w:p>
        </w:tc>
        <w:tc>
          <w:tcPr>
            <w:tcW w:w="1615" w:type="dxa"/>
          </w:tcPr>
          <w:p w14:paraId="266D0407" w14:textId="1F7615DB" w:rsidR="00637843" w:rsidRDefault="00637843" w:rsidP="00637843">
            <w:pPr>
              <w:jc w:val="center"/>
              <w:rPr>
                <w:sz w:val="20"/>
                <w:szCs w:val="20"/>
              </w:rPr>
            </w:pPr>
          </w:p>
        </w:tc>
        <w:tc>
          <w:tcPr>
            <w:tcW w:w="7920" w:type="dxa"/>
          </w:tcPr>
          <w:p w14:paraId="2B51AD55" w14:textId="77777777" w:rsidR="00637843" w:rsidRPr="00CF07C0" w:rsidRDefault="00637843" w:rsidP="00637843">
            <w:pPr>
              <w:rPr>
                <w:sz w:val="20"/>
                <w:szCs w:val="20"/>
              </w:rPr>
            </w:pPr>
          </w:p>
        </w:tc>
      </w:tr>
      <w:tr w:rsidR="00637843" w:rsidRPr="00732F75" w14:paraId="5958B722" w14:textId="77777777" w:rsidTr="001A2DE3">
        <w:trPr>
          <w:jc w:val="center"/>
        </w:trPr>
        <w:tc>
          <w:tcPr>
            <w:tcW w:w="1170" w:type="dxa"/>
          </w:tcPr>
          <w:p w14:paraId="3DDCFEA8" w14:textId="1521E33D" w:rsidR="00637843" w:rsidRDefault="00637843" w:rsidP="00637843">
            <w:pPr>
              <w:jc w:val="center"/>
              <w:rPr>
                <w:sz w:val="20"/>
                <w:szCs w:val="20"/>
              </w:rPr>
            </w:pPr>
          </w:p>
        </w:tc>
        <w:tc>
          <w:tcPr>
            <w:tcW w:w="1615" w:type="dxa"/>
          </w:tcPr>
          <w:p w14:paraId="218AC247" w14:textId="482B3D57" w:rsidR="00637843" w:rsidRDefault="00637843" w:rsidP="00637843">
            <w:pPr>
              <w:jc w:val="center"/>
              <w:rPr>
                <w:sz w:val="20"/>
                <w:szCs w:val="20"/>
              </w:rPr>
            </w:pPr>
          </w:p>
        </w:tc>
        <w:tc>
          <w:tcPr>
            <w:tcW w:w="7920" w:type="dxa"/>
          </w:tcPr>
          <w:p w14:paraId="4D5F3A9F" w14:textId="77777777" w:rsidR="00637843" w:rsidRPr="00732F75" w:rsidRDefault="00637843" w:rsidP="00637843">
            <w:pPr>
              <w:pStyle w:val="BodyText"/>
              <w:rPr>
                <w:b/>
                <w:i/>
                <w:lang w:eastAsia="zh-CN"/>
              </w:rPr>
            </w:pPr>
          </w:p>
        </w:tc>
      </w:tr>
      <w:tr w:rsidR="00637843" w:rsidRPr="00CF07C0" w14:paraId="19D7E2B3" w14:textId="77777777" w:rsidTr="001A2DE3">
        <w:trPr>
          <w:jc w:val="center"/>
        </w:trPr>
        <w:tc>
          <w:tcPr>
            <w:tcW w:w="1170" w:type="dxa"/>
          </w:tcPr>
          <w:p w14:paraId="5B056080" w14:textId="501748B7" w:rsidR="00637843" w:rsidRDefault="00637843" w:rsidP="00637843">
            <w:pPr>
              <w:jc w:val="center"/>
              <w:rPr>
                <w:sz w:val="20"/>
                <w:szCs w:val="20"/>
              </w:rPr>
            </w:pPr>
          </w:p>
        </w:tc>
        <w:tc>
          <w:tcPr>
            <w:tcW w:w="1615" w:type="dxa"/>
          </w:tcPr>
          <w:p w14:paraId="713D37FE" w14:textId="62225AE1" w:rsidR="00637843" w:rsidRDefault="00637843" w:rsidP="00637843">
            <w:pPr>
              <w:jc w:val="center"/>
              <w:rPr>
                <w:sz w:val="20"/>
                <w:szCs w:val="20"/>
              </w:rPr>
            </w:pPr>
          </w:p>
        </w:tc>
        <w:tc>
          <w:tcPr>
            <w:tcW w:w="7920" w:type="dxa"/>
          </w:tcPr>
          <w:p w14:paraId="4AC8F125" w14:textId="77777777" w:rsidR="00637843" w:rsidRPr="00CF07C0" w:rsidRDefault="00637843" w:rsidP="00637843">
            <w:pPr>
              <w:rPr>
                <w:sz w:val="20"/>
                <w:szCs w:val="20"/>
              </w:rPr>
            </w:pPr>
          </w:p>
        </w:tc>
      </w:tr>
      <w:tr w:rsidR="00637843" w:rsidRPr="00CF07C0" w14:paraId="70040CD4" w14:textId="77777777" w:rsidTr="001A2DE3">
        <w:trPr>
          <w:jc w:val="center"/>
        </w:trPr>
        <w:tc>
          <w:tcPr>
            <w:tcW w:w="1170" w:type="dxa"/>
          </w:tcPr>
          <w:p w14:paraId="457289DF" w14:textId="284D7F1B" w:rsidR="00637843" w:rsidRDefault="00637843" w:rsidP="00637843">
            <w:pPr>
              <w:jc w:val="center"/>
              <w:rPr>
                <w:sz w:val="20"/>
                <w:szCs w:val="20"/>
              </w:rPr>
            </w:pPr>
          </w:p>
        </w:tc>
        <w:tc>
          <w:tcPr>
            <w:tcW w:w="1615" w:type="dxa"/>
          </w:tcPr>
          <w:p w14:paraId="309548A9" w14:textId="7853E484" w:rsidR="00637843" w:rsidRDefault="00637843" w:rsidP="00637843">
            <w:pPr>
              <w:jc w:val="center"/>
              <w:rPr>
                <w:sz w:val="20"/>
                <w:szCs w:val="20"/>
              </w:rPr>
            </w:pPr>
          </w:p>
        </w:tc>
        <w:tc>
          <w:tcPr>
            <w:tcW w:w="7920" w:type="dxa"/>
          </w:tcPr>
          <w:p w14:paraId="20C2E626" w14:textId="77777777" w:rsidR="00637843" w:rsidRPr="00CF07C0" w:rsidRDefault="00637843" w:rsidP="00637843">
            <w:pPr>
              <w:rPr>
                <w:sz w:val="20"/>
                <w:szCs w:val="20"/>
              </w:rPr>
            </w:pPr>
          </w:p>
        </w:tc>
      </w:tr>
      <w:tr w:rsidR="00637843" w:rsidRPr="00CF07C0" w14:paraId="6552F105" w14:textId="77777777" w:rsidTr="001A2DE3">
        <w:trPr>
          <w:jc w:val="center"/>
        </w:trPr>
        <w:tc>
          <w:tcPr>
            <w:tcW w:w="1170" w:type="dxa"/>
          </w:tcPr>
          <w:p w14:paraId="28D8A2D5" w14:textId="77777777" w:rsidR="00637843" w:rsidRPr="00CF07C0" w:rsidRDefault="00637843" w:rsidP="00637843">
            <w:pPr>
              <w:jc w:val="center"/>
              <w:rPr>
                <w:sz w:val="20"/>
                <w:szCs w:val="20"/>
              </w:rPr>
            </w:pPr>
          </w:p>
        </w:tc>
        <w:tc>
          <w:tcPr>
            <w:tcW w:w="1615" w:type="dxa"/>
          </w:tcPr>
          <w:p w14:paraId="3447E442" w14:textId="56201BD5" w:rsidR="00637843" w:rsidRPr="00CF07C0" w:rsidRDefault="00637843" w:rsidP="00637843">
            <w:pPr>
              <w:jc w:val="center"/>
              <w:rPr>
                <w:sz w:val="20"/>
                <w:szCs w:val="20"/>
              </w:rPr>
            </w:pPr>
          </w:p>
        </w:tc>
        <w:tc>
          <w:tcPr>
            <w:tcW w:w="7920" w:type="dxa"/>
          </w:tcPr>
          <w:p w14:paraId="020DC533" w14:textId="77777777" w:rsidR="00637843" w:rsidRPr="00CF07C0" w:rsidRDefault="00637843" w:rsidP="0063784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1DBFD6F"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F9675E0"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024F9204"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41A15A9A"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will be decreased if the PEI location is not properly </w:t>
            </w:r>
            <w:proofErr w:type="gramStart"/>
            <w:r w:rsidRPr="00F338F7">
              <w:rPr>
                <w:sz w:val="20"/>
                <w:szCs w:val="20"/>
              </w:rPr>
              <w:t>configured;</w:t>
            </w:r>
            <w:proofErr w:type="gramEnd"/>
          </w:p>
          <w:p w14:paraId="196298D1"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caused by unreasonable configurations should not be used as a </w:t>
            </w:r>
            <w:proofErr w:type="gramStart"/>
            <w:r w:rsidRPr="00F338F7">
              <w:rPr>
                <w:sz w:val="20"/>
                <w:szCs w:val="20"/>
              </w:rPr>
              <w:t>reference;</w:t>
            </w:r>
            <w:proofErr w:type="gramEnd"/>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gNB does not send the sequence-based PEI but FAR occurs, UE would take noise as PEI for </w:t>
            </w:r>
            <w:proofErr w:type="gramStart"/>
            <w:r w:rsidRPr="00F338F7">
              <w:rPr>
                <w:sz w:val="20"/>
                <w:szCs w:val="20"/>
              </w:rPr>
              <w:t>synchronization;</w:t>
            </w:r>
            <w:proofErr w:type="gramEnd"/>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 xml:space="preserve">If the on-demand (instead of always-on) sequence-based PEI is used for synchronization without justification, it will impact the correction of synchronization and paging </w:t>
            </w:r>
            <w:proofErr w:type="gramStart"/>
            <w:r w:rsidRPr="00F338F7">
              <w:rPr>
                <w:sz w:val="20"/>
                <w:szCs w:val="20"/>
              </w:rPr>
              <w:t>performance, and</w:t>
            </w:r>
            <w:proofErr w:type="gramEnd"/>
            <w:r w:rsidRPr="00F338F7">
              <w:rPr>
                <w:sz w:val="20"/>
                <w:szCs w:val="20"/>
              </w:rPr>
              <w:t xml:space="preserve">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 xml:space="preserve">for Alt-1, if PEI with orthogonal cover is used, the UE power saving gain or the detection performance will </w:t>
            </w:r>
            <w:proofErr w:type="gramStart"/>
            <w:r w:rsidRPr="00F338F7">
              <w:rPr>
                <w:sz w:val="20"/>
                <w:szCs w:val="20"/>
              </w:rPr>
              <w:t>decrease;</w:t>
            </w:r>
            <w:proofErr w:type="gramEnd"/>
          </w:p>
          <w:p w14:paraId="772301A5" w14:textId="77777777" w:rsidR="005A63DE" w:rsidRPr="00F338F7" w:rsidRDefault="005A63DE" w:rsidP="009C2EF3">
            <w:pPr>
              <w:pStyle w:val="ListParagraph"/>
              <w:numPr>
                <w:ilvl w:val="0"/>
                <w:numId w:val="50"/>
              </w:numPr>
              <w:rPr>
                <w:sz w:val="20"/>
                <w:szCs w:val="20"/>
              </w:rPr>
            </w:pPr>
            <w:r w:rsidRPr="00F338F7">
              <w:rPr>
                <w:sz w:val="20"/>
                <w:szCs w:val="20"/>
              </w:rPr>
              <w:t xml:space="preserve">for Alt-2, if PEI is generated by different sequences, the performance of sequence-based PEI will be deteriorated with the increased blind </w:t>
            </w:r>
            <w:proofErr w:type="gramStart"/>
            <w:r w:rsidRPr="00F338F7">
              <w:rPr>
                <w:sz w:val="20"/>
                <w:szCs w:val="20"/>
              </w:rPr>
              <w:t>detection</w:t>
            </w:r>
            <w:r w:rsidRPr="00F338F7">
              <w:rPr>
                <w:rFonts w:ascii="PMingLiU" w:eastAsia="PMingLiU" w:hAnsi="PMingLiU" w:cs="PMingLiU" w:hint="eastAsia"/>
                <w:sz w:val="20"/>
                <w:szCs w:val="20"/>
              </w:rPr>
              <w:t>；</w:t>
            </w:r>
            <w:proofErr w:type="gramEnd"/>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363C1A52" w14:textId="77777777" w:rsidR="005A63DE" w:rsidRPr="00DA38D8" w:rsidRDefault="005A63DE" w:rsidP="005A63DE">
                  <w:pPr>
                    <w:rPr>
                      <w:sz w:val="20"/>
                      <w:szCs w:val="20"/>
                      <w:lang w:val="en-US"/>
                    </w:rPr>
                  </w:pPr>
                  <w:r w:rsidRPr="00DA38D8">
                    <w:rPr>
                      <w:color w:val="00B050"/>
                      <w:sz w:val="20"/>
                      <w:szCs w:val="20"/>
                      <w:lang w:eastAsia="zh-CN"/>
                    </w:rPr>
                    <w:t xml:space="preserve">Gap b/w the 1st SS </w:t>
                  </w:r>
                  <w:proofErr w:type="gramStart"/>
                  <w:r w:rsidRPr="00DA38D8">
                    <w:rPr>
                      <w:color w:val="00B050"/>
                      <w:sz w:val="20"/>
                      <w:szCs w:val="20"/>
                      <w:lang w:eastAsia="zh-CN"/>
                    </w:rPr>
                    <w:t>burst</w:t>
                  </w:r>
                  <w:proofErr w:type="gramEnd"/>
                  <w:r w:rsidRPr="00DA38D8">
                    <w:rPr>
                      <w:color w:val="00B050"/>
                      <w:sz w:val="20"/>
                      <w:szCs w:val="20"/>
                      <w:lang w:eastAsia="zh-CN"/>
                    </w:rPr>
                    <w:t xml:space="preserve">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roofErr w:type="gramStart"/>
                  <w:r w:rsidRPr="00DA38D8">
                    <w:rPr>
                      <w:rFonts w:hint="eastAsia"/>
                      <w:sz w:val="20"/>
                      <w:szCs w:val="20"/>
                      <w:lang w:val="en-US"/>
                    </w:rPr>
                    <w:t>);</w:t>
                  </w:r>
                  <w:proofErr w:type="gramEnd"/>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roofErr w:type="gramStart"/>
                  <w:r w:rsidRPr="00DA38D8">
                    <w:rPr>
                      <w:rFonts w:hint="eastAsia"/>
                      <w:sz w:val="20"/>
                      <w:szCs w:val="20"/>
                      <w:lang w:val="en-US"/>
                    </w:rPr>
                    <w:t>);</w:t>
                  </w:r>
                  <w:proofErr w:type="gramEnd"/>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roofErr w:type="gramStart"/>
                  <w:r w:rsidRPr="00DA38D8">
                    <w:rPr>
                      <w:rFonts w:hint="eastAsia"/>
                      <w:sz w:val="20"/>
                      <w:szCs w:val="20"/>
                      <w:lang w:val="en-US"/>
                    </w:rPr>
                    <w:t>);</w:t>
                  </w:r>
                  <w:proofErr w:type="gramEnd"/>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w:t>
                  </w:r>
                  <w:proofErr w:type="gramStart"/>
                  <w:r w:rsidRPr="00DA38D8">
                    <w:rPr>
                      <w:sz w:val="20"/>
                      <w:szCs w:val="20"/>
                      <w:lang w:val="en-US"/>
                    </w:rPr>
                    <w:t>sharing;</w:t>
                  </w:r>
                  <w:proofErr w:type="gramEnd"/>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 xml:space="preserve">Observation 4 – Since the energy difference between different receiver types, for DCI-based and sequence-based PEIs detection, has not been included in the energy model, sequence-based PEI </w:t>
            </w:r>
            <w:proofErr w:type="gramStart"/>
            <w:r w:rsidRPr="00DA38D8">
              <w:rPr>
                <w:bCs/>
                <w:i/>
                <w:iCs/>
                <w:sz w:val="20"/>
                <w:szCs w:val="20"/>
              </w:rPr>
              <w:t>in reality has</w:t>
            </w:r>
            <w:proofErr w:type="gramEnd"/>
            <w:r w:rsidRPr="00DA38D8">
              <w:rPr>
                <w:bCs/>
                <w:i/>
                <w:iCs/>
                <w:sz w:val="20"/>
                <w:szCs w:val="20"/>
              </w:rPr>
              <w:t xml:space="preserve">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gNB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xml:space="preserve">: When one PEI indicates multiple POs, no matter behavior-A or behavior-B, the TRS-based PEI could maintain the same </w:t>
            </w:r>
            <w:proofErr w:type="gramStart"/>
            <w:r w:rsidRPr="00DA38D8">
              <w:rPr>
                <w:rFonts w:eastAsia="SimSun"/>
                <w:i/>
                <w:sz w:val="20"/>
                <w:szCs w:val="20"/>
                <w:lang w:val="en-US" w:eastAsia="zh-CN"/>
              </w:rPr>
              <w:t>performance</w:t>
            </w:r>
            <w:proofErr w:type="gramEnd"/>
            <w:r w:rsidRPr="00DA38D8">
              <w:rPr>
                <w:rFonts w:eastAsia="SimSun"/>
                <w:i/>
                <w:sz w:val="20"/>
                <w:szCs w:val="20"/>
                <w:lang w:val="en-US" w:eastAsia="zh-CN"/>
              </w:rPr>
              <w:t xml:space="preserv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w:t>
            </w:r>
            <w:proofErr w:type="gramStart"/>
            <w:r w:rsidRPr="00DA38D8">
              <w:rPr>
                <w:b/>
                <w:sz w:val="20"/>
                <w:szCs w:val="20"/>
              </w:rPr>
              <w:t>is allowed to</w:t>
            </w:r>
            <w:proofErr w:type="gramEnd"/>
            <w:r w:rsidRPr="00DA38D8">
              <w:rPr>
                <w:b/>
                <w:sz w:val="20"/>
                <w:szCs w:val="20"/>
              </w:rPr>
              <w:t xml:space="preserve">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w:t>
            </w:r>
            <w:proofErr w:type="gramStart"/>
            <w:r w:rsidRPr="00DA38D8">
              <w:rPr>
                <w:b/>
                <w:bCs/>
                <w:sz w:val="20"/>
                <w:szCs w:val="20"/>
              </w:rPr>
              <w:t>s</w:t>
            </w:r>
            <w:r w:rsidRPr="00DA38D8">
              <w:rPr>
                <w:b/>
                <w:bCs/>
                <w:sz w:val="20"/>
                <w:szCs w:val="20"/>
                <w:lang w:eastAsia="zh-CN"/>
              </w:rPr>
              <w:t>]*</w:t>
            </w:r>
            <w:proofErr w:type="gramEnd"/>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 xml:space="preserve">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637843"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Behv-A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 xml:space="preserve">There are some restrictions in SSS-based PEI to avoid </w:t>
            </w:r>
            <w:proofErr w:type="gramStart"/>
            <w:r w:rsidRPr="00DA38D8">
              <w:rPr>
                <w:i/>
                <w:color w:val="000000" w:themeColor="text1"/>
                <w:sz w:val="20"/>
                <w:szCs w:val="20"/>
                <w:lang w:eastAsia="zh-CN"/>
              </w:rPr>
              <w:t>to impact</w:t>
            </w:r>
            <w:proofErr w:type="gramEnd"/>
            <w:r w:rsidRPr="00DA38D8">
              <w:rPr>
                <w:i/>
                <w:color w:val="000000" w:themeColor="text1"/>
                <w:sz w:val="20"/>
                <w:szCs w:val="20"/>
                <w:lang w:eastAsia="zh-CN"/>
              </w:rPr>
              <w:t xml:space="preserve">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behavior wrt PEI detection/absence of PEI, </w:t>
            </w:r>
            <w:proofErr w:type="gramStart"/>
            <w:r w:rsidRPr="00DA38D8">
              <w:rPr>
                <w:b/>
                <w:sz w:val="20"/>
                <w:szCs w:val="20"/>
              </w:rPr>
              <w:t>i.e.</w:t>
            </w:r>
            <w:proofErr w:type="gramEnd"/>
            <w:r w:rsidRPr="00DA38D8">
              <w:rPr>
                <w:b/>
                <w:sz w:val="20"/>
                <w:szCs w:val="20"/>
              </w:rPr>
              <w:t xml:space="preserv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 xml:space="preserve">Exact number of impacted Rel-15 PDCCH candidates depends on CSI-RS mapping pattern, relative </w:t>
      </w:r>
      <w:proofErr w:type="gramStart"/>
      <w:r w:rsidRPr="00AD4186">
        <w:rPr>
          <w:rFonts w:hint="eastAsia"/>
          <w:sz w:val="20"/>
          <w:szCs w:val="20"/>
        </w:rPr>
        <w:t>size</w:t>
      </w:r>
      <w:proofErr w:type="gramEnd"/>
      <w:r w:rsidRPr="00AD4186">
        <w:rPr>
          <w:rFonts w:hint="eastAsia"/>
          <w:sz w:val="20"/>
          <w:szCs w:val="20"/>
        </w:rPr>
        <w:t xml:space="preserv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2066" w14:textId="77777777" w:rsidR="00193DBF" w:rsidRDefault="00193DBF">
      <w:r>
        <w:separator/>
      </w:r>
    </w:p>
  </w:endnote>
  <w:endnote w:type="continuationSeparator" w:id="0">
    <w:p w14:paraId="3190279D" w14:textId="77777777" w:rsidR="00193DBF" w:rsidRDefault="0019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15A7" w14:textId="77777777" w:rsidR="00193DBF" w:rsidRDefault="00193DBF">
      <w:r>
        <w:separator/>
      </w:r>
    </w:p>
  </w:footnote>
  <w:footnote w:type="continuationSeparator" w:id="0">
    <w:p w14:paraId="0DC683F9" w14:textId="77777777" w:rsidR="00193DBF" w:rsidRDefault="0019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1"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2"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4"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9"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6"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7"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8"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2"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6"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0"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3"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5"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7"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0"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7"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6"/>
  </w:num>
  <w:num w:numId="2">
    <w:abstractNumId w:val="65"/>
  </w:num>
  <w:num w:numId="3">
    <w:abstractNumId w:val="15"/>
  </w:num>
  <w:num w:numId="4">
    <w:abstractNumId w:val="86"/>
  </w:num>
  <w:num w:numId="5">
    <w:abstractNumId w:val="54"/>
  </w:num>
  <w:num w:numId="6">
    <w:abstractNumId w:val="93"/>
  </w:num>
  <w:num w:numId="7">
    <w:abstractNumId w:val="71"/>
  </w:num>
  <w:num w:numId="8">
    <w:abstractNumId w:val="24"/>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27"/>
  </w:num>
  <w:num w:numId="11">
    <w:abstractNumId w:val="52"/>
  </w:num>
  <w:num w:numId="12">
    <w:abstractNumId w:val="28"/>
  </w:num>
  <w:num w:numId="13">
    <w:abstractNumId w:val="18"/>
  </w:num>
  <w:num w:numId="14">
    <w:abstractNumId w:val="31"/>
  </w:num>
  <w:num w:numId="15">
    <w:abstractNumId w:val="35"/>
  </w:num>
  <w:num w:numId="16">
    <w:abstractNumId w:val="4"/>
  </w:num>
  <w:num w:numId="17">
    <w:abstractNumId w:val="16"/>
  </w:num>
  <w:num w:numId="18">
    <w:abstractNumId w:val="72"/>
  </w:num>
  <w:num w:numId="19">
    <w:abstractNumId w:val="30"/>
  </w:num>
  <w:num w:numId="20">
    <w:abstractNumId w:val="74"/>
  </w:num>
  <w:num w:numId="21">
    <w:abstractNumId w:val="57"/>
  </w:num>
  <w:num w:numId="22">
    <w:abstractNumId w:val="1"/>
  </w:num>
  <w:num w:numId="23">
    <w:abstractNumId w:val="2"/>
  </w:num>
  <w:num w:numId="24">
    <w:abstractNumId w:val="0"/>
  </w:num>
  <w:num w:numId="25">
    <w:abstractNumId w:val="40"/>
  </w:num>
  <w:num w:numId="26">
    <w:abstractNumId w:val="79"/>
  </w:num>
  <w:num w:numId="27">
    <w:abstractNumId w:val="45"/>
  </w:num>
  <w:num w:numId="28">
    <w:abstractNumId w:val="32"/>
  </w:num>
  <w:num w:numId="29">
    <w:abstractNumId w:val="61"/>
  </w:num>
  <w:num w:numId="30">
    <w:abstractNumId w:val="92"/>
  </w:num>
  <w:num w:numId="3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3"/>
  </w:num>
  <w:num w:numId="34">
    <w:abstractNumId w:val="96"/>
  </w:num>
  <w:num w:numId="35">
    <w:abstractNumId w:val="91"/>
  </w:num>
  <w:num w:numId="36">
    <w:abstractNumId w:val="29"/>
  </w:num>
  <w:num w:numId="37">
    <w:abstractNumId w:val="101"/>
  </w:num>
  <w:num w:numId="38">
    <w:abstractNumId w:val="46"/>
  </w:num>
  <w:num w:numId="39">
    <w:abstractNumId w:val="6"/>
  </w:num>
  <w:num w:numId="40">
    <w:abstractNumId w:val="50"/>
  </w:num>
  <w:num w:numId="41">
    <w:abstractNumId w:val="90"/>
  </w:num>
  <w:num w:numId="42">
    <w:abstractNumId w:val="34"/>
  </w:num>
  <w:num w:numId="43">
    <w:abstractNumId w:val="98"/>
  </w:num>
  <w:num w:numId="44">
    <w:abstractNumId w:val="19"/>
  </w:num>
  <w:num w:numId="45">
    <w:abstractNumId w:val="99"/>
  </w:num>
  <w:num w:numId="46">
    <w:abstractNumId w:val="12"/>
  </w:num>
  <w:num w:numId="47">
    <w:abstractNumId w:val="76"/>
  </w:num>
  <w:num w:numId="48">
    <w:abstractNumId w:val="10"/>
  </w:num>
  <w:num w:numId="49">
    <w:abstractNumId w:val="100"/>
  </w:num>
  <w:num w:numId="50">
    <w:abstractNumId w:val="80"/>
  </w:num>
  <w:num w:numId="51">
    <w:abstractNumId w:val="87"/>
  </w:num>
  <w:num w:numId="52">
    <w:abstractNumId w:val="17"/>
  </w:num>
  <w:num w:numId="53">
    <w:abstractNumId w:val="33"/>
  </w:num>
  <w:num w:numId="54">
    <w:abstractNumId w:val="14"/>
  </w:num>
  <w:num w:numId="55">
    <w:abstractNumId w:val="67"/>
  </w:num>
  <w:num w:numId="56">
    <w:abstractNumId w:val="26"/>
  </w:num>
  <w:num w:numId="57">
    <w:abstractNumId w:val="60"/>
  </w:num>
  <w:num w:numId="58">
    <w:abstractNumId w:val="25"/>
  </w:num>
  <w:num w:numId="59">
    <w:abstractNumId w:val="84"/>
  </w:num>
  <w:num w:numId="60">
    <w:abstractNumId w:val="20"/>
  </w:num>
  <w:num w:numId="61">
    <w:abstractNumId w:val="37"/>
  </w:num>
  <w:num w:numId="62">
    <w:abstractNumId w:val="97"/>
  </w:num>
  <w:num w:numId="63">
    <w:abstractNumId w:val="47"/>
  </w:num>
  <w:num w:numId="64">
    <w:abstractNumId w:val="23"/>
  </w:num>
  <w:num w:numId="65">
    <w:abstractNumId w:val="94"/>
  </w:num>
  <w:num w:numId="66">
    <w:abstractNumId w:val="95"/>
  </w:num>
  <w:num w:numId="67">
    <w:abstractNumId w:val="77"/>
  </w:num>
  <w:num w:numId="68">
    <w:abstractNumId w:val="44"/>
  </w:num>
  <w:num w:numId="69">
    <w:abstractNumId w:val="89"/>
  </w:num>
  <w:num w:numId="70">
    <w:abstractNumId w:val="36"/>
  </w:num>
  <w:num w:numId="71">
    <w:abstractNumId w:val="83"/>
  </w:num>
  <w:num w:numId="72">
    <w:abstractNumId w:val="41"/>
  </w:num>
  <w:num w:numId="73">
    <w:abstractNumId w:val="88"/>
  </w:num>
  <w:num w:numId="74">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num>
  <w:num w:numId="76">
    <w:abstractNumId w:val="62"/>
  </w:num>
  <w:num w:numId="77">
    <w:abstractNumId w:val="70"/>
  </w:num>
  <w:num w:numId="78">
    <w:abstractNumId w:val="21"/>
  </w:num>
  <w:num w:numId="79">
    <w:abstractNumId w:val="13"/>
  </w:num>
  <w:num w:numId="80">
    <w:abstractNumId w:val="7"/>
  </w:num>
  <w:num w:numId="81">
    <w:abstractNumId w:val="56"/>
  </w:num>
  <w:num w:numId="82">
    <w:abstractNumId w:val="8"/>
  </w:num>
  <w:num w:numId="83">
    <w:abstractNumId w:val="81"/>
  </w:num>
  <w:num w:numId="84">
    <w:abstractNumId w:val="42"/>
  </w:num>
  <w:num w:numId="85">
    <w:abstractNumId w:val="85"/>
  </w:num>
  <w:num w:numId="86">
    <w:abstractNumId w:val="48"/>
  </w:num>
  <w:num w:numId="87">
    <w:abstractNumId w:val="59"/>
  </w:num>
  <w:num w:numId="88">
    <w:abstractNumId w:val="39"/>
  </w:num>
  <w:num w:numId="89">
    <w:abstractNumId w:val="11"/>
  </w:num>
  <w:num w:numId="90">
    <w:abstractNumId w:val="22"/>
  </w:num>
  <w:num w:numId="91">
    <w:abstractNumId w:val="75"/>
  </w:num>
  <w:num w:numId="92">
    <w:abstractNumId w:val="55"/>
  </w:num>
  <w:num w:numId="93">
    <w:abstractNumId w:val="78"/>
  </w:num>
  <w:num w:numId="94">
    <w:abstractNumId w:val="51"/>
  </w:num>
  <w:num w:numId="95">
    <w:abstractNumId w:val="3"/>
  </w:num>
  <w:num w:numId="96">
    <w:abstractNumId w:val="68"/>
  </w:num>
  <w:num w:numId="97">
    <w:abstractNumId w:val="69"/>
  </w:num>
  <w:num w:numId="98">
    <w:abstractNumId w:val="58"/>
  </w:num>
  <w:num w:numId="99">
    <w:abstractNumId w:val="43"/>
  </w:num>
  <w:num w:numId="100">
    <w:abstractNumId w:val="63"/>
  </w:num>
  <w:num w:numId="101">
    <w:abstractNumId w:val="53"/>
  </w:num>
  <w:num w:numId="102">
    <w:abstractNumId w:val="9"/>
  </w:num>
  <w:num w:numId="103">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列出段落,列表段落,リスト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32667</Words>
  <Characters>173139</Characters>
  <Application>Microsoft Office Word</Application>
  <DocSecurity>0</DocSecurity>
  <Lines>1442</Lines>
  <Paragraphs>410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205396</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2021-08-17T08:36:00Z</dcterms:created>
  <dcterms:modified xsi:type="dcterms:W3CDTF">2021-08-17T08:41:00Z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