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proofErr w:type="spellStart"/>
            <w:r w:rsidRPr="00704620">
              <w:rPr>
                <w:rFonts w:eastAsia="MS Mincho" w:cs="Times"/>
                <w:lang w:eastAsia="zh-CN"/>
              </w:rPr>
              <w:t>RedCap</w:t>
            </w:r>
            <w:proofErr w:type="spellEnd"/>
            <w:r w:rsidRPr="00704620">
              <w:rPr>
                <w:rFonts w:eastAsia="MS Mincho" w:cs="Times"/>
                <w:lang w:eastAsia="zh-CN"/>
              </w:rPr>
              <w:t xml:space="preserve">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w:t>
            </w:r>
            <w:proofErr w:type="spellStart"/>
            <w:r w:rsidRPr="00704620">
              <w:rPr>
                <w:rFonts w:eastAsia="MS Mincho" w:cs="Times"/>
                <w:lang w:eastAsia="zh-CN"/>
              </w:rPr>
              <w:t>RedCap</w:t>
            </w:r>
            <w:proofErr w:type="spellEnd"/>
            <w:r w:rsidRPr="00704620">
              <w:rPr>
                <w:rFonts w:eastAsia="MS Mincho" w:cs="Times"/>
                <w:lang w:eastAsia="zh-CN"/>
              </w:rPr>
              <w:t xml:space="preserve">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 xml:space="preserve">what a </w:t>
      </w:r>
      <w:proofErr w:type="spellStart"/>
      <w:r w:rsidR="00C92BFB">
        <w:rPr>
          <w:rFonts w:hint="eastAsia"/>
        </w:rPr>
        <w:t>RedCap</w:t>
      </w:r>
      <w:proofErr w:type="spellEnd"/>
      <w:r w:rsidR="00C92BFB">
        <w:rPr>
          <w:rFonts w:hint="eastAsia"/>
        </w:rPr>
        <w:t xml:space="preserve">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w:t>
      </w:r>
      <w:proofErr w:type="spellStart"/>
      <w:r w:rsidR="006D7C0C">
        <w:rPr>
          <w:rFonts w:eastAsia="等线"/>
        </w:rPr>
        <w:t>RedCap</w:t>
      </w:r>
      <w:proofErr w:type="spellEnd"/>
      <w:r w:rsidR="006D7C0C">
        <w:rPr>
          <w:rFonts w:eastAsia="等线"/>
        </w:rPr>
        <w:t xml:space="preserve">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xml:space="preserve">] suggest that UE declaration of </w:t>
      </w:r>
      <w:proofErr w:type="spellStart"/>
      <w:r w:rsidR="00246C13" w:rsidRPr="00E36773">
        <w:rPr>
          <w:rFonts w:eastAsia="Yu Mincho"/>
          <w:lang w:eastAsia="ja-JP"/>
        </w:rPr>
        <w:t>RedCap</w:t>
      </w:r>
      <w:proofErr w:type="spellEnd"/>
      <w:r w:rsidR="00246C13" w:rsidRPr="00E36773">
        <w:rPr>
          <w:rFonts w:eastAsia="Yu Mincho"/>
          <w:lang w:eastAsia="ja-JP"/>
        </w:rPr>
        <w:t>/non-</w:t>
      </w:r>
      <w:proofErr w:type="spellStart"/>
      <w:r w:rsidR="00246C13" w:rsidRPr="00E36773">
        <w:rPr>
          <w:rFonts w:eastAsia="Yu Mincho"/>
          <w:lang w:eastAsia="ja-JP"/>
        </w:rPr>
        <w:t>RedCap</w:t>
      </w:r>
      <w:proofErr w:type="spellEnd"/>
      <w:r w:rsidR="00246C13" w:rsidRPr="00E36773">
        <w:rPr>
          <w:rFonts w:eastAsia="Yu Mincho"/>
          <w:lang w:eastAsia="ja-JP"/>
        </w:rPr>
        <w:t xml:space="preserve">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proofErr w:type="spellStart"/>
      <w:r w:rsidRPr="00853A90">
        <w:rPr>
          <w:bCs/>
          <w:sz w:val="20"/>
          <w:szCs w:val="22"/>
          <w:lang w:val="en-GB" w:eastAsia="zh-CN"/>
        </w:rPr>
        <w:t>RedCap</w:t>
      </w:r>
      <w:proofErr w:type="spellEnd"/>
      <w:r w:rsidRPr="00853A90">
        <w:rPr>
          <w:bCs/>
          <w:sz w:val="20"/>
          <w:szCs w:val="22"/>
          <w:lang w:val="en-GB" w:eastAsia="zh-CN"/>
        </w:rPr>
        <w:t xml:space="preserve">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 xml:space="preserve">Option 4: The corresponding minimum set of the reduced capabilities that one </w:t>
      </w:r>
      <w:proofErr w:type="spellStart"/>
      <w:r w:rsidRPr="00853A90">
        <w:rPr>
          <w:bCs/>
          <w:sz w:val="20"/>
          <w:szCs w:val="22"/>
          <w:lang w:val="en-GB" w:eastAsia="zh-CN"/>
        </w:rPr>
        <w:t>RedCap</w:t>
      </w:r>
      <w:proofErr w:type="spellEnd"/>
      <w:r w:rsidRPr="00853A90">
        <w:rPr>
          <w:bCs/>
          <w:sz w:val="20"/>
          <w:szCs w:val="22"/>
          <w:lang w:val="en-GB" w:eastAsia="zh-CN"/>
        </w:rPr>
        <w:t xml:space="preserve">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 xml:space="preserve">minimum set of the reduced capabilities that one </w:t>
            </w:r>
            <w:proofErr w:type="spellStart"/>
            <w:r w:rsidRPr="00853A90">
              <w:rPr>
                <w:bCs/>
                <w:szCs w:val="22"/>
                <w:lang w:eastAsia="zh-CN"/>
              </w:rPr>
              <w:t>RedCap</w:t>
            </w:r>
            <w:proofErr w:type="spellEnd"/>
            <w:r w:rsidRPr="00853A90">
              <w:rPr>
                <w:bCs/>
                <w:szCs w:val="22"/>
                <w:lang w:eastAsia="zh-CN"/>
              </w:rPr>
              <w:t xml:space="preserve"> UE type shall mandatorily support</w:t>
            </w:r>
            <w:r>
              <w:rPr>
                <w:bCs/>
                <w:szCs w:val="22"/>
                <w:lang w:eastAsia="zh-CN"/>
              </w:rPr>
              <w:t xml:space="preserve"> is FFS in Q2-2. </w:t>
            </w:r>
          </w:p>
        </w:tc>
      </w:tr>
      <w:tr w:rsidR="009A467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9A4674" w:rsidRDefault="009A4674" w:rsidP="009A467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9A4674" w:rsidRDefault="009A4674" w:rsidP="009A467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9A4674" w:rsidRDefault="009A4674" w:rsidP="009A4674">
            <w:pPr>
              <w:rPr>
                <w:lang w:val="en-US"/>
              </w:rPr>
            </w:pP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 xml:space="preserve">should be included in the definition of </w:t>
      </w:r>
      <w:proofErr w:type="spellStart"/>
      <w:r w:rsidRPr="002846F9">
        <w:rPr>
          <w:bCs/>
          <w:sz w:val="20"/>
          <w:szCs w:val="22"/>
          <w:lang w:val="en-GB" w:eastAsia="zh-CN"/>
        </w:rPr>
        <w:t>RedCap</w:t>
      </w:r>
      <w:proofErr w:type="spellEnd"/>
      <w:r w:rsidRPr="002846F9">
        <w:rPr>
          <w:bCs/>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6F35AE4" w:rsidR="009A4674" w:rsidRPr="004F25D6" w:rsidRDefault="009A4674" w:rsidP="009A4674">
            <w:pPr>
              <w:rPr>
                <w:rFonts w:eastAsia="等线" w:hint="eastAsia"/>
                <w:lang w:val="en-US" w:eastAsia="zh-CN"/>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9A4674" w:rsidRDefault="009A4674" w:rsidP="009A4674">
            <w:pPr>
              <w:rPr>
                <w:lang w:val="en-US"/>
              </w:rPr>
            </w:pPr>
          </w:p>
        </w:tc>
      </w:tr>
      <w:tr w:rsidR="009A4674"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9A4674" w:rsidRDefault="009A4674" w:rsidP="009A4674">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9A4674" w:rsidRDefault="009A4674" w:rsidP="009A4674">
            <w:pPr>
              <w:rPr>
                <w:lang w:val="en-US"/>
              </w:rPr>
            </w:pP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lastRenderedPageBreak/>
              <w:t xml:space="preserve">For 4-step RACH, support the early indication of </w:t>
            </w:r>
            <w:proofErr w:type="spellStart"/>
            <w:r w:rsidRPr="00704620">
              <w:rPr>
                <w:rFonts w:eastAsia="Times New Roman"/>
                <w:lang w:eastAsia="zh-CN"/>
              </w:rPr>
              <w:t>RedCap</w:t>
            </w:r>
            <w:proofErr w:type="spellEnd"/>
            <w:r w:rsidRPr="00704620">
              <w:rPr>
                <w:rFonts w:eastAsia="Times New Roman"/>
                <w:lang w:eastAsia="zh-CN"/>
              </w:rPr>
              <w:t xml:space="preserve">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w:t>
            </w:r>
            <w:proofErr w:type="spellStart"/>
            <w:r w:rsidRPr="00704620">
              <w:rPr>
                <w:rFonts w:eastAsia="Times New Roman" w:cs="Times"/>
                <w:lang w:eastAsia="zh-CN"/>
              </w:rPr>
              <w:t>RedCap</w:t>
            </w:r>
            <w:proofErr w:type="spellEnd"/>
            <w:r w:rsidRPr="00704620">
              <w:rPr>
                <w:rFonts w:eastAsia="Times New Roman" w:cs="Times"/>
                <w:lang w:eastAsia="zh-CN"/>
              </w:rPr>
              <w:t xml:space="preserve">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 xml:space="preserve">Support 2-step RACH for </w:t>
            </w:r>
            <w:proofErr w:type="spellStart"/>
            <w:r w:rsidRPr="00704620">
              <w:rPr>
                <w:rFonts w:ascii="Times" w:eastAsia="MS Mincho" w:hAnsi="Times" w:cs="Times"/>
                <w:lang w:eastAsia="zh-CN"/>
              </w:rPr>
              <w:t>RedCap</w:t>
            </w:r>
            <w:proofErr w:type="spellEnd"/>
            <w:r w:rsidRPr="00704620">
              <w:rPr>
                <w:rFonts w:ascii="Times" w:eastAsia="MS Mincho" w:hAnsi="Times" w:cs="Times"/>
                <w:lang w:eastAsia="zh-CN"/>
              </w:rPr>
              <w:t xml:space="preserve">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 xml:space="preserve">FFS details of early indication in </w:t>
            </w:r>
            <w:proofErr w:type="spellStart"/>
            <w:r w:rsidRPr="00704620">
              <w:rPr>
                <w:rFonts w:ascii="Times" w:eastAsia="MS Mincho" w:hAnsi="Times" w:cs="Times"/>
                <w:lang w:eastAsia="zh-CN"/>
              </w:rPr>
              <w:t>MsgA</w:t>
            </w:r>
            <w:proofErr w:type="spellEnd"/>
            <w:r w:rsidRPr="00704620">
              <w:rPr>
                <w:rFonts w:ascii="Times" w:eastAsia="MS Mincho" w:hAnsi="Times" w:cs="Times"/>
                <w:lang w:eastAsia="zh-CN"/>
              </w:rPr>
              <w:t>,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 xml:space="preserve">Separation of 2-step RACH resources or </w:t>
            </w:r>
            <w:proofErr w:type="spellStart"/>
            <w:r w:rsidRPr="00704620">
              <w:rPr>
                <w:rFonts w:ascii="Times" w:eastAsia="MS Mincho" w:hAnsi="Times" w:cs="Times"/>
              </w:rPr>
              <w:t>MsgA</w:t>
            </w:r>
            <w:proofErr w:type="spellEnd"/>
            <w:r w:rsidRPr="00704620">
              <w:rPr>
                <w:rFonts w:ascii="Times" w:eastAsia="MS Mincho" w:hAnsi="Times" w:cs="Times"/>
              </w:rPr>
              <w:t xml:space="preserve">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Using a new indication in </w:t>
            </w:r>
            <w:proofErr w:type="spellStart"/>
            <w:r w:rsidRPr="00704620">
              <w:rPr>
                <w:rFonts w:ascii="Times" w:eastAsia="MS Mincho" w:hAnsi="Times" w:cs="Times"/>
              </w:rPr>
              <w:t>MsgA</w:t>
            </w:r>
            <w:proofErr w:type="spellEnd"/>
            <w:r w:rsidRPr="00704620">
              <w:rPr>
                <w:rFonts w:ascii="Times" w:eastAsia="MS Mincho" w:hAnsi="Times" w:cs="Times"/>
              </w:rPr>
              <w:t xml:space="preserve">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w:t>
      </w:r>
      <w:proofErr w:type="spellStart"/>
      <w:r w:rsidR="00B70A0E">
        <w:rPr>
          <w:rFonts w:eastAsia="Yu Mincho"/>
          <w:lang w:eastAsia="ja-JP"/>
        </w:rPr>
        <w:t>RedCap</w:t>
      </w:r>
      <w:proofErr w:type="spellEnd"/>
      <w:r w:rsidR="00B70A0E">
        <w:rPr>
          <w:rFonts w:eastAsia="Yu Mincho"/>
          <w:lang w:eastAsia="ja-JP"/>
        </w:rPr>
        <w:t xml:space="preserve">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 xml:space="preserve">early indication of </w:t>
      </w:r>
      <w:proofErr w:type="spellStart"/>
      <w:r w:rsidR="003568EF">
        <w:rPr>
          <w:rFonts w:cs="Arial"/>
          <w:szCs w:val="18"/>
          <w:lang w:eastAsia="ja-JP"/>
        </w:rPr>
        <w:t>RedCap</w:t>
      </w:r>
      <w:proofErr w:type="spellEnd"/>
      <w:r w:rsidR="003568EF">
        <w:rPr>
          <w:rFonts w:cs="Arial"/>
          <w:szCs w:val="18"/>
          <w:lang w:eastAsia="ja-JP"/>
        </w:rPr>
        <w:t xml:space="preserve">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w:t>
      </w:r>
      <w:proofErr w:type="spellStart"/>
      <w:r w:rsidR="00B70A0E">
        <w:rPr>
          <w:rFonts w:cs="Arial"/>
          <w:szCs w:val="18"/>
          <w:lang w:eastAsia="ja-JP"/>
        </w:rPr>
        <w:t>RedCap</w:t>
      </w:r>
      <w:proofErr w:type="spellEnd"/>
      <w:r w:rsidR="00B70A0E">
        <w:rPr>
          <w:rFonts w:cs="Arial"/>
          <w:szCs w:val="18"/>
          <w:lang w:eastAsia="ja-JP"/>
        </w:rPr>
        <w:t xml:space="preserve"> or not if PRACH resource </w:t>
      </w:r>
      <w:r w:rsidR="000E7F04">
        <w:rPr>
          <w:rFonts w:cs="Arial"/>
          <w:szCs w:val="18"/>
          <w:lang w:eastAsia="ja-JP"/>
        </w:rPr>
        <w:t>is shared by initial UL BWP for non-</w:t>
      </w:r>
      <w:proofErr w:type="spellStart"/>
      <w:r w:rsidR="000E7F04">
        <w:rPr>
          <w:rFonts w:cs="Arial"/>
          <w:szCs w:val="18"/>
          <w:lang w:eastAsia="ja-JP"/>
        </w:rPr>
        <w:t>RedCap</w:t>
      </w:r>
      <w:proofErr w:type="spellEnd"/>
      <w:r w:rsidR="000E7F04">
        <w:rPr>
          <w:rFonts w:cs="Arial"/>
          <w:szCs w:val="18"/>
          <w:lang w:eastAsia="ja-JP"/>
        </w:rPr>
        <w:t xml:space="preserve"> UEs and separate initial UL BWP for </w:t>
      </w:r>
      <w:proofErr w:type="spellStart"/>
      <w:r w:rsidR="000E7F04">
        <w:rPr>
          <w:rFonts w:cs="Arial"/>
          <w:szCs w:val="18"/>
          <w:lang w:eastAsia="ja-JP"/>
        </w:rPr>
        <w:t>RedCap</w:t>
      </w:r>
      <w:proofErr w:type="spellEnd"/>
      <w:r w:rsidR="000E7F04">
        <w:rPr>
          <w:rFonts w:cs="Arial"/>
          <w:szCs w:val="18"/>
          <w:lang w:eastAsia="ja-JP"/>
        </w:rPr>
        <w:t xml:space="preserve">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 xml:space="preserve">common for multiple WIs such as SDT, </w:t>
      </w:r>
      <w:proofErr w:type="spellStart"/>
      <w:r w:rsidR="00880188">
        <w:rPr>
          <w:rFonts w:cs="Arial"/>
          <w:szCs w:val="18"/>
          <w:lang w:eastAsia="ja-JP"/>
        </w:rPr>
        <w:t>CovEnh</w:t>
      </w:r>
      <w:proofErr w:type="spellEnd"/>
      <w:r w:rsidR="00880188">
        <w:rPr>
          <w:rFonts w:cs="Arial"/>
          <w:szCs w:val="18"/>
          <w:lang w:eastAsia="ja-JP"/>
        </w:rPr>
        <w:t xml:space="preserve">, </w:t>
      </w:r>
      <w:proofErr w:type="spellStart"/>
      <w:r w:rsidR="00880188">
        <w:rPr>
          <w:rFonts w:cs="Arial"/>
          <w:szCs w:val="18"/>
          <w:lang w:eastAsia="ja-JP"/>
        </w:rPr>
        <w:t>RedCap</w:t>
      </w:r>
      <w:proofErr w:type="spellEnd"/>
      <w:r w:rsidR="00880188">
        <w:rPr>
          <w:rFonts w:cs="Arial"/>
          <w:szCs w:val="18"/>
          <w:lang w:eastAsia="ja-JP"/>
        </w:rPr>
        <w:t>, and RAN slicing in this RAN2 meeting.</w:t>
      </w:r>
      <w:r w:rsidR="00063B97">
        <w:rPr>
          <w:rFonts w:cs="Arial"/>
          <w:szCs w:val="18"/>
          <w:lang w:eastAsia="ja-JP"/>
        </w:rPr>
        <w:t xml:space="preserve"> Therefore, moderator expects the relationship of early indication during initial access between </w:t>
      </w:r>
      <w:proofErr w:type="spellStart"/>
      <w:r w:rsidR="00063B97">
        <w:rPr>
          <w:rFonts w:cs="Arial"/>
          <w:szCs w:val="18"/>
          <w:lang w:eastAsia="ja-JP"/>
        </w:rPr>
        <w:t>RedCap</w:t>
      </w:r>
      <w:proofErr w:type="spellEnd"/>
      <w:r w:rsidR="00063B97">
        <w:rPr>
          <w:rFonts w:cs="Arial"/>
          <w:szCs w:val="18"/>
          <w:lang w:eastAsia="ja-JP"/>
        </w:rPr>
        <w:t xml:space="preserve">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w:t>
      </w:r>
      <w:proofErr w:type="spellStart"/>
      <w:r w:rsidRPr="00704620">
        <w:rPr>
          <w:rFonts w:eastAsia="Times New Roman"/>
          <w:lang w:eastAsia="zh-CN"/>
        </w:rPr>
        <w:t>RedCap</w:t>
      </w:r>
      <w:proofErr w:type="spellEnd"/>
      <w:r w:rsidRPr="00704620">
        <w:rPr>
          <w:rFonts w:eastAsia="Times New Roman"/>
          <w:lang w:eastAsia="zh-CN"/>
        </w:rPr>
        <w:t xml:space="preserve">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421E4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421E48">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study as there are multiple other use cases requiring PRACH resource partitioning currently under RAN2 discussion, a unified solution would be desirable</w:t>
            </w:r>
            <w:r w:rsidR="002660ED">
              <w:rPr>
                <w:rFonts w:eastAsia="等线"/>
                <w:lang w:val="en-US" w:eastAsia="zh-CN"/>
              </w:rPr>
              <w:t xml:space="preserve">, if justified. </w:t>
            </w:r>
          </w:p>
        </w:tc>
      </w:tr>
      <w:tr w:rsidR="009A4674" w14:paraId="251807C7" w14:textId="77777777" w:rsidTr="00421E48">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w:t>
            </w:r>
            <w:proofErr w:type="spellStart"/>
            <w:r w:rsidRPr="0004675B">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421E48">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等线" w:hint="eastAsia"/>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w:t>
            </w:r>
            <w:r w:rsidR="00904EC7">
              <w:rPr>
                <w:rFonts w:eastAsia="等线"/>
                <w:lang w:val="en-US" w:eastAsia="zh-CN"/>
              </w:rPr>
              <w:t>formation. We are fine with the revised working assumptions.</w:t>
            </w:r>
          </w:p>
        </w:tc>
      </w:tr>
    </w:tbl>
    <w:p w14:paraId="2A1F1DC7" w14:textId="77777777" w:rsidR="00691CE1"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w:t>
      </w:r>
      <w:proofErr w:type="spellStart"/>
      <w:r w:rsidR="006E1C94">
        <w:rPr>
          <w:rFonts w:cs="Arial"/>
          <w:szCs w:val="18"/>
          <w:lang w:eastAsia="ja-JP"/>
        </w:rPr>
        <w:t>RedCap</w:t>
      </w:r>
      <w:proofErr w:type="spellEnd"/>
      <w:r w:rsidR="006E1C94">
        <w:rPr>
          <w:rFonts w:cs="Arial"/>
          <w:szCs w:val="18"/>
          <w:lang w:eastAsia="ja-JP"/>
        </w:rPr>
        <w:t>-specific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w:t>
      </w:r>
      <w:proofErr w:type="spellStart"/>
      <w:r w:rsidR="00FE197A">
        <w:rPr>
          <w:rFonts w:eastAsia="Yu Mincho"/>
        </w:rPr>
        <w:t>Msg</w:t>
      </w:r>
      <w:proofErr w:type="spellEnd"/>
      <w:r w:rsidR="00FE197A">
        <w:rPr>
          <w:rFonts w:eastAsia="Yu Mincho"/>
        </w:rPr>
        <w:t xml:space="preserve">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 xml:space="preserve">the early indication of </w:t>
      </w:r>
      <w:proofErr w:type="spellStart"/>
      <w:r w:rsidRPr="0035395D">
        <w:rPr>
          <w:bCs/>
          <w:sz w:val="20"/>
          <w:szCs w:val="22"/>
          <w:lang w:val="en-GB" w:eastAsia="zh-CN"/>
        </w:rPr>
        <w:t>RedCap</w:t>
      </w:r>
      <w:proofErr w:type="spellEnd"/>
      <w:r w:rsidRPr="0035395D">
        <w:rPr>
          <w:bCs/>
          <w:sz w:val="20"/>
          <w:szCs w:val="22"/>
          <w:lang w:val="en-GB" w:eastAsia="zh-CN"/>
        </w:rPr>
        <w:t xml:space="preserve">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AE5DBF">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AE5DBF">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UEs in Msg3 is applicable </w:t>
            </w:r>
            <w:r w:rsidRPr="002660ED">
              <w:rPr>
                <w:rFonts w:eastAsia="Yu Mincho"/>
                <w:bCs/>
                <w:color w:val="FF0000"/>
                <w:szCs w:val="22"/>
                <w:u w:val="single"/>
              </w:rPr>
              <w:t xml:space="preserve">in addition to </w:t>
            </w:r>
            <w:proofErr w:type="spellStart"/>
            <w:r w:rsidRPr="002660ED">
              <w:rPr>
                <w:rFonts w:eastAsia="Yu Mincho"/>
                <w:bCs/>
                <w:color w:val="FF0000"/>
                <w:szCs w:val="22"/>
                <w:u w:val="single"/>
              </w:rPr>
              <w:t>M</w:t>
            </w:r>
            <w:r w:rsidR="000E294F">
              <w:rPr>
                <w:rFonts w:eastAsia="Yu Mincho"/>
                <w:bCs/>
                <w:color w:val="FF0000"/>
                <w:szCs w:val="22"/>
                <w:u w:val="single"/>
              </w:rPr>
              <w:t>sg</w:t>
            </w:r>
            <w:proofErr w:type="spellEnd"/>
            <w:r w:rsidRPr="002660ED">
              <w:rPr>
                <w:rFonts w:eastAsia="Yu Mincho"/>
                <w:bCs/>
                <w:color w:val="FF0000"/>
                <w:szCs w:val="22"/>
                <w:u w:val="single"/>
              </w:rPr>
              <w:t xml:space="preserve"> 1</w:t>
            </w:r>
            <w:r>
              <w:rPr>
                <w:rFonts w:eastAsia="等线"/>
                <w:lang w:val="en-US" w:eastAsia="zh-CN"/>
              </w:rPr>
              <w:t>….</w:t>
            </w:r>
          </w:p>
        </w:tc>
      </w:tr>
      <w:tr w:rsidR="009A4674" w14:paraId="1D5D4EEC" w14:textId="77777777" w:rsidTr="00AE5DBF">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AE5DBF">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等线" w:hint="eastAsia"/>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等线" w:hint="eastAsia"/>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w:t>
            </w:r>
            <w:r w:rsidRPr="00704620">
              <w:rPr>
                <w:rFonts w:eastAsia="Times New Roman"/>
              </w:rPr>
              <w:t>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bookmarkStart w:id="9" w:name="_GoBack"/>
            <w:bookmarkEnd w:id="9"/>
            <w:r>
              <w:rPr>
                <w:rFonts w:eastAsia="Times New Roman"/>
              </w:rPr>
              <w:t xml:space="preserve"> </w:t>
            </w:r>
            <w:r>
              <w:rPr>
                <w:lang w:val="en-US"/>
              </w:rPr>
              <w:t xml:space="preserve">Msg3 </w:t>
            </w:r>
            <w:r>
              <w:rPr>
                <w:lang w:val="en-US"/>
              </w:rPr>
              <w:t xml:space="preserve">can be configured to support </w:t>
            </w:r>
            <w:r w:rsidRPr="00704620">
              <w:rPr>
                <w:rFonts w:eastAsia="Times New Roman"/>
              </w:rPr>
              <w:t>early indication</w:t>
            </w:r>
            <w:r>
              <w:rPr>
                <w:rFonts w:eastAsia="Times New Roman"/>
              </w:rPr>
              <w:t xml:space="preserve"> during initial access</w:t>
            </w:r>
            <w:r>
              <w:rPr>
                <w:lang w:val="en-US"/>
              </w:rPr>
              <w:t>.</w:t>
            </w:r>
            <w:r>
              <w:rPr>
                <w:lang w:val="en-US"/>
              </w:rPr>
              <w:t xml:space="preserve"> </w:t>
            </w:r>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w:t>
      </w:r>
      <w:proofErr w:type="spellStart"/>
      <w:r w:rsidR="00C70145">
        <w:rPr>
          <w:rFonts w:eastAsia="Yu Mincho"/>
          <w:lang w:eastAsia="ja-JP"/>
        </w:rPr>
        <w:t>MsgA</w:t>
      </w:r>
      <w:proofErr w:type="spellEnd"/>
      <w:r w:rsidR="00C70145">
        <w:rPr>
          <w:rFonts w:eastAsia="Yu Mincho"/>
          <w:lang w:eastAsia="ja-JP"/>
        </w:rPr>
        <w:t xml:space="preserve">.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 xml:space="preserve">Separate 2-step RACH resources, </w:t>
      </w:r>
      <w:proofErr w:type="spellStart"/>
      <w:r w:rsidR="00FD5D5B" w:rsidRPr="00FD5D5B">
        <w:rPr>
          <w:rFonts w:eastAsia="Yu Mincho"/>
          <w:lang w:eastAsia="ja-JP"/>
        </w:rPr>
        <w:t>MsgA</w:t>
      </w:r>
      <w:proofErr w:type="spellEnd"/>
      <w:r w:rsidR="00FD5D5B" w:rsidRPr="00FD5D5B">
        <w:rPr>
          <w:rFonts w:eastAsia="Yu Mincho"/>
          <w:lang w:eastAsia="ja-JP"/>
        </w:rPr>
        <w:t xml:space="preserve"> preambles or initial UL BWP</w:t>
      </w:r>
      <w:r w:rsidR="00AC2444">
        <w:rPr>
          <w:rFonts w:eastAsia="Yu Mincho"/>
          <w:lang w:eastAsia="ja-JP"/>
        </w:rPr>
        <w:t xml:space="preserve">. Some contributions [8, 13] support the indication in </w:t>
      </w:r>
      <w:proofErr w:type="spellStart"/>
      <w:r w:rsidR="00AC2444">
        <w:rPr>
          <w:rFonts w:eastAsia="Yu Mincho"/>
          <w:lang w:eastAsia="ja-JP"/>
        </w:rPr>
        <w:t>Msg</w:t>
      </w:r>
      <w:proofErr w:type="spellEnd"/>
      <w:r w:rsidR="00AC2444">
        <w:rPr>
          <w:rFonts w:eastAsia="Yu Mincho"/>
          <w:lang w:eastAsia="ja-JP"/>
        </w:rPr>
        <w:t xml:space="preserve"> A PUSCH part while one contribution [18] does not support it because it is </w:t>
      </w:r>
      <w:r w:rsidR="00AC2444" w:rsidRPr="00AC2444">
        <w:rPr>
          <w:rFonts w:eastAsia="Yu Mincho"/>
          <w:lang w:eastAsia="ja-JP"/>
        </w:rPr>
        <w:t xml:space="preserve">infeasible when </w:t>
      </w:r>
      <w:proofErr w:type="spellStart"/>
      <w:r w:rsidR="00AC2444" w:rsidRPr="00AC2444">
        <w:rPr>
          <w:rFonts w:eastAsia="Yu Mincho"/>
          <w:lang w:eastAsia="ja-JP"/>
        </w:rPr>
        <w:t>MsgA</w:t>
      </w:r>
      <w:proofErr w:type="spellEnd"/>
      <w:r w:rsidR="00AC2444" w:rsidRPr="00AC2444">
        <w:rPr>
          <w:rFonts w:eastAsia="Yu Mincho"/>
          <w:lang w:eastAsia="ja-JP"/>
        </w:rPr>
        <w:t xml:space="preserve"> PUSCH may not be transmitted by the UE under certain conditions (e.g., when the </w:t>
      </w:r>
      <w:proofErr w:type="spellStart"/>
      <w:r w:rsidR="00AC2444" w:rsidRPr="00AC2444">
        <w:rPr>
          <w:rFonts w:eastAsia="Yu Mincho"/>
          <w:lang w:eastAsia="ja-JP"/>
        </w:rPr>
        <w:t>MsgA</w:t>
      </w:r>
      <w:proofErr w:type="spellEnd"/>
      <w:r w:rsidR="00AC2444" w:rsidRPr="00AC2444">
        <w:rPr>
          <w:rFonts w:eastAsia="Yu Mincho"/>
          <w:lang w:eastAsia="ja-JP"/>
        </w:rPr>
        <w:t xml:space="preserve">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lastRenderedPageBreak/>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 xml:space="preserve">ccess control specific to </w:t>
      </w:r>
      <w:proofErr w:type="spellStart"/>
      <w:r w:rsidR="000407C0" w:rsidRPr="000407C0">
        <w:rPr>
          <w:rFonts w:eastAsia="Yu Mincho"/>
          <w:lang w:eastAsia="ja-JP"/>
        </w:rPr>
        <w:t>RedCap</w:t>
      </w:r>
      <w:proofErr w:type="spellEnd"/>
      <w:r w:rsidR="000407C0" w:rsidRPr="000407C0">
        <w:rPr>
          <w:rFonts w:eastAsia="Yu Mincho"/>
          <w:lang w:eastAsia="ja-JP"/>
        </w:rPr>
        <w:t xml:space="preserve">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 xml:space="preserve">would require separate treatment from all other features for </w:t>
      </w:r>
      <w:proofErr w:type="spellStart"/>
      <w:r w:rsidR="00461EE2" w:rsidRPr="00461EE2">
        <w:rPr>
          <w:rFonts w:eastAsia="Yu Mincho"/>
          <w:lang w:eastAsia="ja-JP"/>
        </w:rPr>
        <w:t>RedCap</w:t>
      </w:r>
      <w:proofErr w:type="spellEnd"/>
      <w:r w:rsidR="00461EE2" w:rsidRPr="00461EE2">
        <w:rPr>
          <w:rFonts w:eastAsia="Yu Mincho"/>
          <w:lang w:eastAsia="ja-JP"/>
        </w:rPr>
        <w:t xml:space="preserve">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 xml:space="preserve">SIB1 (not MIB) indicates cell barring for 1 Rx branch and 2 Rx branches separately for </w:t>
      </w:r>
      <w:proofErr w:type="spellStart"/>
      <w:r w:rsidRPr="00444860">
        <w:rPr>
          <w:szCs w:val="20"/>
        </w:rPr>
        <w:t>RedCap</w:t>
      </w:r>
      <w:proofErr w:type="spellEnd"/>
      <w:r w:rsidRPr="00444860">
        <w:rPr>
          <w:szCs w:val="20"/>
        </w:rPr>
        <w:t xml:space="preserve">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B27F29">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B27F29">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等线" w:hint="eastAsia"/>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UEs</w:t>
            </w:r>
            <w:r>
              <w:rPr>
                <w:bCs/>
                <w:lang w:val="en-US" w:eastAsia="zh-CN"/>
              </w:rPr>
              <w:t>, RAN1 can discuss and make some decision on it.</w:t>
            </w:r>
          </w:p>
        </w:tc>
      </w:tr>
      <w:tr w:rsidR="009A4674" w14:paraId="2A4FE9D6" w14:textId="77777777" w:rsidTr="00B27F29">
        <w:tc>
          <w:tcPr>
            <w:tcW w:w="1479" w:type="dxa"/>
            <w:tcBorders>
              <w:top w:val="single" w:sz="4" w:space="0" w:color="auto"/>
              <w:left w:val="single" w:sz="4" w:space="0" w:color="auto"/>
              <w:bottom w:val="single" w:sz="4" w:space="0" w:color="auto"/>
              <w:right w:val="single" w:sz="4" w:space="0" w:color="auto"/>
            </w:tcBorders>
          </w:tcPr>
          <w:p w14:paraId="039AB18A" w14:textId="77777777" w:rsidR="009A4674" w:rsidRDefault="009A4674" w:rsidP="009A467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099A1F2" w14:textId="77777777" w:rsidR="009A4674" w:rsidRDefault="009A4674" w:rsidP="009A467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0E69E34" w14:textId="77777777" w:rsidR="009A4674" w:rsidRDefault="009A4674" w:rsidP="009A4674">
            <w:pPr>
              <w:rPr>
                <w:lang w:val="en-US"/>
              </w:rPr>
            </w:pPr>
          </w:p>
        </w:tc>
      </w:tr>
    </w:tbl>
    <w:p w14:paraId="28DD9698" w14:textId="57E70C2D" w:rsidR="00D85B31" w:rsidRDefault="00D85B31" w:rsidP="002B0A07">
      <w:pPr>
        <w:spacing w:after="100" w:afterAutospacing="1"/>
        <w:jc w:val="both"/>
        <w:rPr>
          <w:rFonts w:eastAsia="Yu Mincho"/>
          <w:lang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t xml:space="preserve"> is necessary</w:t>
      </w:r>
      <w:r w:rsidR="00ED4C6C">
        <w:t>, and d</w:t>
      </w:r>
      <w:r w:rsidR="00ED4C6C" w:rsidRPr="00ED4C6C">
        <w:t xml:space="preserve">ifferent cell selection/reselection time for 1Rx or 2Rx can be configured by </w:t>
      </w:r>
      <w:proofErr w:type="spellStart"/>
      <w:r w:rsidR="00ED4C6C" w:rsidRPr="00ED4C6C">
        <w:t>gNB</w:t>
      </w:r>
      <w:proofErr w:type="spellEnd"/>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xml:space="preserve">. </w:t>
      </w:r>
      <w:r w:rsidR="004B3483">
        <w:t>Another contribution [</w:t>
      </w:r>
      <w:r w:rsidR="004C5C4D">
        <w:t>31</w:t>
      </w:r>
      <w:r w:rsidR="004B3483">
        <w:t xml:space="preserve">]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sidRPr="003B1821">
        <w:rPr>
          <w:rFonts w:eastAsia="Yu Mincho"/>
        </w:rPr>
        <w:t xml:space="preserve">the email discussion on the UE features for </w:t>
      </w:r>
      <w:proofErr w:type="spellStart"/>
      <w:r w:rsidRPr="003B1821">
        <w:rPr>
          <w:rFonts w:eastAsia="Yu Mincho"/>
        </w:rPr>
        <w:t>RedCap</w:t>
      </w:r>
      <w:proofErr w:type="spellEnd"/>
      <w:r w:rsidRPr="003B1821">
        <w:rPr>
          <w:rFonts w:eastAsia="Yu Mincho"/>
        </w:rPr>
        <w:t xml:space="preserve">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xml:space="preserve">, while some others [18, 29, 30] suggest further discussion on what features are applicable to </w:t>
      </w:r>
      <w:proofErr w:type="spellStart"/>
      <w:r w:rsidR="00D06806">
        <w:rPr>
          <w:rFonts w:eastAsia="Yu Mincho"/>
          <w:lang w:eastAsia="ja-JP"/>
        </w:rPr>
        <w:t>RedCap</w:t>
      </w:r>
      <w:proofErr w:type="spellEnd"/>
      <w:r w:rsidR="00D06806">
        <w:rPr>
          <w:rFonts w:eastAsia="Yu Mincho"/>
          <w:lang w:eastAsia="ja-JP"/>
        </w:rPr>
        <w:t xml:space="preserve">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 xml:space="preserve">ll UE capabilities other than those related to carrier aggregation, dual connectivity and wider bandwidths can be supported by </w:t>
      </w:r>
      <w:proofErr w:type="spellStart"/>
      <w:r w:rsidR="00D06806" w:rsidRPr="00D06806">
        <w:rPr>
          <w:rFonts w:eastAsia="Yu Mincho"/>
          <w:lang w:eastAsia="ja-JP"/>
        </w:rPr>
        <w:t>RedCap</w:t>
      </w:r>
      <w:proofErr w:type="spellEnd"/>
      <w:r w:rsidR="00D06806" w:rsidRPr="00D06806">
        <w:rPr>
          <w:rFonts w:eastAsia="Yu Mincho"/>
          <w:lang w:eastAsia="ja-JP"/>
        </w:rPr>
        <w:t xml:space="preserve"> UE either as mandatory or as optional unless precluded by a specific </w:t>
      </w:r>
      <w:proofErr w:type="spellStart"/>
      <w:r w:rsidR="00D06806" w:rsidRPr="00D06806">
        <w:rPr>
          <w:rFonts w:eastAsia="Yu Mincho"/>
          <w:lang w:eastAsia="ja-JP"/>
        </w:rPr>
        <w:t>RedCap</w:t>
      </w:r>
      <w:proofErr w:type="spellEnd"/>
      <w:r w:rsidR="00D06806" w:rsidRPr="00D06806">
        <w:rPr>
          <w:rFonts w:eastAsia="Yu Mincho"/>
          <w:lang w:eastAsia="ja-JP"/>
        </w:rPr>
        <w:t xml:space="preserve"> feature</w:t>
      </w:r>
      <w:r w:rsidR="00D06806">
        <w:rPr>
          <w:rFonts w:eastAsia="Yu Mincho"/>
          <w:lang w:eastAsia="ja-JP"/>
        </w:rPr>
        <w:t>.</w:t>
      </w:r>
      <w:r w:rsidR="007C3A65">
        <w:rPr>
          <w:rFonts w:eastAsia="Yu Mincho"/>
          <w:lang w:eastAsia="ja-JP"/>
        </w:rPr>
        <w:t xml:space="preserve"> Some contributions [27, 29] also suggest </w:t>
      </w:r>
      <w:proofErr w:type="spellStart"/>
      <w:r w:rsidR="007C3A65" w:rsidRPr="007C3A65">
        <w:rPr>
          <w:rFonts w:eastAsia="Yu Mincho"/>
          <w:lang w:eastAsia="ja-JP"/>
        </w:rPr>
        <w:t>RedCap</w:t>
      </w:r>
      <w:proofErr w:type="spellEnd"/>
      <w:r w:rsidR="007C3A65" w:rsidRPr="007C3A65">
        <w:rPr>
          <w:rFonts w:eastAsia="Yu Mincho"/>
          <w:lang w:eastAsia="ja-JP"/>
        </w:rPr>
        <w:t xml:space="preserve"> UEs do not support the capabilities related to the carrier aggregation, dual connectivity, and wider bandwidth</w:t>
      </w:r>
      <w:r w:rsidR="007C3A65">
        <w:rPr>
          <w:rFonts w:eastAsia="Yu Mincho"/>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a7"/>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proofErr w:type="spellStart"/>
            <w:r w:rsidRPr="00550FDF">
              <w:rPr>
                <w:rFonts w:eastAsia="Yu Mincho"/>
                <w:bCs/>
                <w:sz w:val="20"/>
                <w:szCs w:val="21"/>
                <w:lang w:val="en-US"/>
              </w:rPr>
              <w:t>urrent</w:t>
            </w:r>
            <w:proofErr w:type="spellEnd"/>
            <w:r w:rsidRPr="00550FDF">
              <w:rPr>
                <w:rFonts w:eastAsia="Yu Mincho"/>
                <w:bCs/>
                <w:sz w:val="20"/>
                <w:szCs w:val="21"/>
                <w:lang w:val="en-US"/>
              </w:rPr>
              <w:t xml:space="preserve"> definition of mandatory/optional support of L1 UE capabilities in TS38.306 is reused for </w:t>
            </w:r>
            <w:proofErr w:type="spellStart"/>
            <w:r w:rsidRPr="00550FDF">
              <w:rPr>
                <w:rFonts w:eastAsia="Yu Mincho"/>
                <w:bCs/>
                <w:sz w:val="20"/>
                <w:szCs w:val="21"/>
                <w:lang w:val="en-US"/>
              </w:rPr>
              <w:t>RedCap</w:t>
            </w:r>
            <w:proofErr w:type="spellEnd"/>
            <w:r w:rsidRPr="00550FDF">
              <w:rPr>
                <w:rFonts w:eastAsia="Yu Mincho"/>
                <w:bCs/>
                <w:sz w:val="20"/>
                <w:szCs w:val="21"/>
                <w:lang w:val="en-US"/>
              </w:rPr>
              <w:t xml:space="preserve"> UEs by default unless any update is identified</w:t>
            </w:r>
          </w:p>
          <w:p w14:paraId="50394943" w14:textId="35AD78B0"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w:t>
            </w:r>
            <w:proofErr w:type="spellStart"/>
            <w:r w:rsidRPr="00550FDF">
              <w:rPr>
                <w:sz w:val="20"/>
                <w:szCs w:val="18"/>
                <w:lang w:val="en-US"/>
              </w:rPr>
              <w:t>RedCap</w:t>
            </w:r>
            <w:proofErr w:type="spellEnd"/>
            <w:r w:rsidRPr="00550FDF">
              <w:rPr>
                <w:sz w:val="20"/>
                <w:szCs w:val="18"/>
                <w:lang w:val="en-US"/>
              </w:rPr>
              <w:t xml:space="preserve">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w:t>
      </w:r>
      <w:proofErr w:type="spellStart"/>
      <w:r w:rsidRPr="007C3A65">
        <w:rPr>
          <w:rFonts w:eastAsia="Yu Mincho"/>
          <w:lang w:eastAsia="ja-JP"/>
        </w:rPr>
        <w:t>RedCap</w:t>
      </w:r>
      <w:proofErr w:type="spellEnd"/>
      <w:r w:rsidRPr="007C3A65">
        <w:rPr>
          <w:rFonts w:eastAsia="Yu Mincho"/>
          <w:lang w:eastAsia="ja-JP"/>
        </w:rPr>
        <w:t xml:space="preserve"> UEs, the </w:t>
      </w:r>
      <w:proofErr w:type="spellStart"/>
      <w:r w:rsidRPr="007C3A65">
        <w:rPr>
          <w:rFonts w:eastAsia="Yu Mincho"/>
          <w:lang w:eastAsia="ja-JP"/>
        </w:rPr>
        <w:t>RedCap</w:t>
      </w:r>
      <w:proofErr w:type="spellEnd"/>
      <w:r w:rsidRPr="007C3A65">
        <w:rPr>
          <w:rFonts w:eastAsia="Yu Mincho"/>
          <w:lang w:eastAsia="ja-JP"/>
        </w:rPr>
        <w:t xml:space="preserve">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7"/>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a7"/>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proofErr w:type="spellStart"/>
      <w:r w:rsidR="00DC6160" w:rsidRPr="004B3E6D">
        <w:rPr>
          <w:rFonts w:eastAsia="Yu Mincho"/>
          <w:bCs/>
          <w:sz w:val="20"/>
          <w:szCs w:val="21"/>
          <w:lang w:val="en-US"/>
        </w:rPr>
        <w:t>urre</w:t>
      </w:r>
      <w:r w:rsidR="00DC6160">
        <w:rPr>
          <w:rFonts w:eastAsia="Yu Mincho"/>
          <w:bCs/>
          <w:sz w:val="20"/>
          <w:szCs w:val="21"/>
          <w:lang w:val="en-US"/>
        </w:rPr>
        <w:t>nt</w:t>
      </w:r>
      <w:proofErr w:type="spellEnd"/>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 xml:space="preserve">TS38.306 is reused for </w:t>
      </w:r>
      <w:proofErr w:type="spellStart"/>
      <w:r w:rsidRPr="004B3E6D">
        <w:rPr>
          <w:rFonts w:eastAsia="Yu Mincho"/>
          <w:bCs/>
          <w:sz w:val="20"/>
          <w:szCs w:val="21"/>
          <w:lang w:val="en-US"/>
        </w:rPr>
        <w:t>RedCap</w:t>
      </w:r>
      <w:proofErr w:type="spellEnd"/>
      <w:r w:rsidRPr="004B3E6D">
        <w:rPr>
          <w:rFonts w:eastAsia="Yu Mincho"/>
          <w:bCs/>
          <w:sz w:val="20"/>
          <w:szCs w:val="21"/>
          <w:lang w:val="en-US"/>
        </w:rPr>
        <w:t xml:space="preserve"> UEs by default unless any update is identified</w:t>
      </w:r>
    </w:p>
    <w:p w14:paraId="0A106368" w14:textId="6F38435D"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w:t>
      </w:r>
      <w:proofErr w:type="spellStart"/>
      <w:r w:rsidRPr="004B3E6D">
        <w:rPr>
          <w:sz w:val="20"/>
          <w:szCs w:val="18"/>
          <w:lang w:val="en-US"/>
        </w:rPr>
        <w:t>RedCap</w:t>
      </w:r>
      <w:proofErr w:type="spellEnd"/>
      <w:r w:rsidRPr="004B3E6D">
        <w:rPr>
          <w:sz w:val="20"/>
          <w:szCs w:val="18"/>
          <w:lang w:val="en-US"/>
        </w:rPr>
        <w:t xml:space="preserve"> UEs</w:t>
      </w:r>
    </w:p>
    <w:p w14:paraId="5C7D3228" w14:textId="351371DB" w:rsidR="00DC6160" w:rsidRPr="009D6134" w:rsidRDefault="00DC6160" w:rsidP="004B3E6D">
      <w:pPr>
        <w:pStyle w:val="a7"/>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w:t>
      </w:r>
      <w:proofErr w:type="spellStart"/>
      <w:r w:rsidR="00BB6217">
        <w:rPr>
          <w:rFonts w:eastAsia="Yu Mincho"/>
          <w:color w:val="FF0000"/>
          <w:sz w:val="20"/>
          <w:szCs w:val="18"/>
          <w:lang w:val="en-US"/>
        </w:rPr>
        <w:t>RedCap</w:t>
      </w:r>
      <w:proofErr w:type="spellEnd"/>
      <w:r w:rsidR="00BB6217">
        <w:rPr>
          <w:rFonts w:eastAsia="Yu Mincho"/>
          <w:color w:val="FF0000"/>
          <w:sz w:val="20"/>
          <w:szCs w:val="18"/>
          <w:lang w:val="en-US"/>
        </w:rPr>
        <w:t xml:space="preserve"> UEs</w:t>
      </w:r>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4B3E6D"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77777777" w:rsidR="004B3E6D" w:rsidRDefault="004B3E6D" w:rsidP="00B27F29">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7C8BCC7E" w14:textId="77777777" w:rsidR="004B3E6D" w:rsidRDefault="004B3E6D" w:rsidP="00B27F2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A30F955" w14:textId="77777777" w:rsidR="004B3E6D" w:rsidRDefault="004B3E6D"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E667ECD"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77777777" w:rsidR="004B3E6D" w:rsidRDefault="004B3E6D" w:rsidP="00B27F29">
            <w:pPr>
              <w:rPr>
                <w:lang w:val="en-US"/>
              </w:rPr>
            </w:pPr>
          </w:p>
        </w:tc>
      </w:tr>
    </w:tbl>
    <w:p w14:paraId="46DDF1DE" w14:textId="4B94BF45" w:rsidR="0042723B" w:rsidRDefault="0042723B" w:rsidP="003B1821">
      <w:pPr>
        <w:spacing w:after="100" w:afterAutospacing="1"/>
        <w:jc w:val="both"/>
        <w:rPr>
          <w:rFonts w:eastAsia="Yu Mincho"/>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7F00EC65" w:rsidR="007C6C57" w:rsidRPr="00F33779" w:rsidRDefault="007C6C57"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a7"/>
        <w:numPr>
          <w:ilvl w:val="0"/>
          <w:numId w:val="10"/>
        </w:numPr>
        <w:spacing w:after="100" w:afterAutospacing="1"/>
        <w:jc w:val="both"/>
        <w:rPr>
          <w:rFonts w:ascii="Times New Roman" w:eastAsia="Yu Mincho" w:hAnsi="Times New Roman" w:cs="Times New Roman"/>
          <w:sz w:val="20"/>
          <w:szCs w:val="20"/>
        </w:rPr>
      </w:pPr>
      <w:proofErr w:type="spellStart"/>
      <w:r w:rsidRPr="00F33779">
        <w:rPr>
          <w:rFonts w:ascii="Times New Roman" w:hAnsi="Times New Roman" w:cs="Times New Roman"/>
          <w:sz w:val="20"/>
          <w:szCs w:val="20"/>
          <w:lang w:val="en-GB"/>
        </w:rPr>
        <w:t>gNB</w:t>
      </w:r>
      <w:proofErr w:type="spellEnd"/>
      <w:r w:rsidRPr="00F33779">
        <w:rPr>
          <w:rFonts w:ascii="Times New Roman" w:hAnsi="Times New Roman" w:cs="Times New Roman"/>
          <w:sz w:val="20"/>
          <w:szCs w:val="20"/>
          <w:lang w:val="en-GB"/>
        </w:rPr>
        <w:t xml:space="preserve">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 xml:space="preserve">REDCAP specific RACH resources can be configured for </w:t>
      </w:r>
      <w:proofErr w:type="spellStart"/>
      <w:r w:rsidRPr="00F33779">
        <w:rPr>
          <w:rFonts w:ascii="Times New Roman" w:hAnsi="Times New Roman" w:cs="Times New Roman"/>
          <w:sz w:val="20"/>
          <w:szCs w:val="20"/>
          <w:lang w:val="en-GB"/>
        </w:rPr>
        <w:t>gNB</w:t>
      </w:r>
      <w:proofErr w:type="spellEnd"/>
      <w:r w:rsidRPr="00F33779">
        <w:rPr>
          <w:rFonts w:ascii="Times New Roman" w:hAnsi="Times New Roman" w:cs="Times New Roman"/>
          <w:sz w:val="20"/>
          <w:szCs w:val="20"/>
          <w:lang w:val="en-GB"/>
        </w:rPr>
        <w:t xml:space="preserve">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lang w:eastAsia="zh-CN"/>
              </w:rPr>
            </w:pPr>
            <w:proofErr w:type="spellStart"/>
            <w:r>
              <w:rPr>
                <w:rFonts w:eastAsia="等线" w:hint="eastAsia"/>
                <w:lang w:eastAsia="zh-CN"/>
              </w:rPr>
              <w:t>X</w:t>
            </w:r>
            <w:r>
              <w:rPr>
                <w:rFonts w:eastAsia="等线"/>
                <w:lang w:eastAsia="zh-CN"/>
              </w:rPr>
              <w:t>ueming</w:t>
            </w:r>
            <w:proofErr w:type="spellEnd"/>
            <w:r>
              <w:rPr>
                <w:rFonts w:eastAsia="等线"/>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lang w:eastAsia="zh-CN"/>
              </w:rPr>
            </w:pPr>
            <w:r>
              <w:rPr>
                <w:rFonts w:eastAsia="等线" w:hint="eastAsia"/>
                <w:lang w:eastAsia="zh-CN"/>
              </w:rPr>
              <w:t>p</w:t>
            </w:r>
            <w:r>
              <w:rPr>
                <w:rFonts w:eastAsia="等线"/>
                <w:lang w:eastAsia="zh-CN"/>
              </w:rPr>
              <w:t>anxueming@vivo.com</w:t>
            </w:r>
          </w:p>
        </w:tc>
      </w:tr>
      <w:tr w:rsidR="007350DC"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9C4C1DC" w:rsidR="007350DC" w:rsidRDefault="007350DC">
            <w:pPr>
              <w:spacing w:after="0"/>
              <w:rPr>
                <w:rFonts w:eastAsiaTheme="minorEastAsia"/>
                <w:lang w:eastAsia="zh-CN"/>
              </w:rPr>
            </w:pPr>
          </w:p>
        </w:tc>
        <w:tc>
          <w:tcPr>
            <w:tcW w:w="2410" w:type="dxa"/>
            <w:tcBorders>
              <w:top w:val="single" w:sz="4" w:space="0" w:color="auto"/>
              <w:left w:val="single" w:sz="4" w:space="0" w:color="auto"/>
              <w:bottom w:val="single" w:sz="4" w:space="0" w:color="auto"/>
              <w:right w:val="single" w:sz="4" w:space="0" w:color="auto"/>
            </w:tcBorders>
          </w:tcPr>
          <w:p w14:paraId="1B5902AD" w14:textId="7E5EE6AF" w:rsidR="007350DC" w:rsidRDefault="007350DC">
            <w:pPr>
              <w:spacing w:after="0"/>
              <w:rPr>
                <w:rFonts w:eastAsiaTheme="minorEastAsia"/>
                <w:lang w:eastAsia="zh-CN"/>
              </w:rPr>
            </w:pPr>
          </w:p>
        </w:tc>
        <w:tc>
          <w:tcPr>
            <w:tcW w:w="4110" w:type="dxa"/>
            <w:tcBorders>
              <w:top w:val="single" w:sz="4" w:space="0" w:color="auto"/>
              <w:left w:val="single" w:sz="4" w:space="0" w:color="auto"/>
              <w:bottom w:val="single" w:sz="4" w:space="0" w:color="auto"/>
              <w:right w:val="single" w:sz="4" w:space="0" w:color="auto"/>
            </w:tcBorders>
          </w:tcPr>
          <w:p w14:paraId="40C856A7" w14:textId="2740DCAF" w:rsidR="007350DC" w:rsidRDefault="007350DC">
            <w:pPr>
              <w:spacing w:after="0"/>
              <w:rPr>
                <w:rFonts w:eastAsiaTheme="minorEastAsia"/>
                <w:lang w:eastAsia="zh-CN"/>
              </w:rPr>
            </w:pP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0B90DA79" w:rsidR="007350DC" w:rsidRDefault="007350DC">
            <w:pPr>
              <w:spacing w:after="0"/>
              <w:rPr>
                <w:rFonts w:eastAsia="Yu Mincho"/>
                <w:lang w:eastAsia="ja-JP"/>
              </w:rPr>
            </w:pPr>
          </w:p>
        </w:tc>
        <w:tc>
          <w:tcPr>
            <w:tcW w:w="2410" w:type="dxa"/>
            <w:tcBorders>
              <w:top w:val="single" w:sz="4" w:space="0" w:color="auto"/>
              <w:left w:val="single" w:sz="4" w:space="0" w:color="auto"/>
              <w:bottom w:val="single" w:sz="4" w:space="0" w:color="auto"/>
              <w:right w:val="single" w:sz="4" w:space="0" w:color="auto"/>
            </w:tcBorders>
          </w:tcPr>
          <w:p w14:paraId="55757D49" w14:textId="4191A5C2" w:rsidR="007350DC" w:rsidRDefault="007350DC">
            <w:pPr>
              <w:spacing w:after="0"/>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tcPr>
          <w:p w14:paraId="17543862" w14:textId="2C4DD92F" w:rsidR="007350DC" w:rsidRDefault="007350DC">
            <w:pPr>
              <w:spacing w:after="0"/>
            </w:pP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E45770"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 xml:space="preserve">RAN1 aspects of </w:t>
            </w:r>
            <w:proofErr w:type="spellStart"/>
            <w:r w:rsidRPr="006D5267">
              <w:t>RedCap</w:t>
            </w:r>
            <w:proofErr w:type="spellEnd"/>
            <w:r w:rsidRPr="006D5267">
              <w:t xml:space="preserve">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 xml:space="preserve">Huawei, </w:t>
            </w:r>
            <w:proofErr w:type="spellStart"/>
            <w:r w:rsidRPr="006D5267">
              <w:t>HiSilicon</w:t>
            </w:r>
            <w:proofErr w:type="spellEnd"/>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E45770"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E45770"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 xml:space="preserve">Higher layer support for </w:t>
            </w:r>
            <w:proofErr w:type="spellStart"/>
            <w:r w:rsidRPr="006D5267">
              <w:t>RedCap</w:t>
            </w:r>
            <w:proofErr w:type="spellEnd"/>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E45770"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E45770"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 xml:space="preserve">Discussion on early indication for </w:t>
            </w:r>
            <w:proofErr w:type="spellStart"/>
            <w:r w:rsidRPr="006D5267">
              <w:t>RedCap</w:t>
            </w:r>
            <w:proofErr w:type="spellEnd"/>
          </w:p>
        </w:tc>
        <w:tc>
          <w:tcPr>
            <w:tcW w:w="2551" w:type="dxa"/>
            <w:tcMar>
              <w:top w:w="0" w:type="dxa"/>
              <w:left w:w="70" w:type="dxa"/>
              <w:bottom w:w="0" w:type="dxa"/>
              <w:right w:w="70" w:type="dxa"/>
            </w:tcMar>
          </w:tcPr>
          <w:p w14:paraId="7971F8BF" w14:textId="77F8FCC3" w:rsidR="006D5267" w:rsidRPr="006D5267" w:rsidRDefault="006D5267" w:rsidP="006D5267">
            <w:proofErr w:type="spellStart"/>
            <w:r w:rsidRPr="006D5267">
              <w:t>Spreadtrum</w:t>
            </w:r>
            <w:proofErr w:type="spellEnd"/>
            <w:r w:rsidRPr="006D5267">
              <w:t xml:space="preserve">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E45770"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 xml:space="preserve">ZTE, </w:t>
            </w:r>
            <w:proofErr w:type="spellStart"/>
            <w:r w:rsidRPr="006D5267">
              <w:t>Sanechips</w:t>
            </w:r>
            <w:proofErr w:type="spellEnd"/>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E45770"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E45770"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 xml:space="preserve">Discussion on higher layer support of </w:t>
            </w:r>
            <w:proofErr w:type="spellStart"/>
            <w:r w:rsidRPr="006D5267">
              <w:t>RedCap</w:t>
            </w:r>
            <w:proofErr w:type="spellEnd"/>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E45770"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 xml:space="preserve">On </w:t>
            </w:r>
            <w:proofErr w:type="spellStart"/>
            <w:r w:rsidRPr="006D5267">
              <w:t>RedCap</w:t>
            </w:r>
            <w:proofErr w:type="spellEnd"/>
            <w:r w:rsidRPr="006D5267">
              <w:t xml:space="preserve">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E45770"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 xml:space="preserve">Design consideration for Higher layer support of </w:t>
            </w:r>
            <w:proofErr w:type="spellStart"/>
            <w:r w:rsidRPr="006D5267">
              <w:t>RedCap</w:t>
            </w:r>
            <w:proofErr w:type="spellEnd"/>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E45770"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 xml:space="preserve">Discussion on the Identification of </w:t>
            </w:r>
            <w:proofErr w:type="spellStart"/>
            <w:r w:rsidRPr="006D5267">
              <w:t>RedCap</w:t>
            </w:r>
            <w:proofErr w:type="spellEnd"/>
            <w:r w:rsidRPr="006D5267">
              <w:t xml:space="preserve">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lastRenderedPageBreak/>
              <w:t>[12]</w:t>
            </w:r>
          </w:p>
        </w:tc>
        <w:tc>
          <w:tcPr>
            <w:tcW w:w="1456" w:type="dxa"/>
            <w:tcMar>
              <w:top w:w="0" w:type="dxa"/>
              <w:left w:w="70" w:type="dxa"/>
              <w:bottom w:w="0" w:type="dxa"/>
              <w:right w:w="70" w:type="dxa"/>
            </w:tcMar>
          </w:tcPr>
          <w:p w14:paraId="19148C44" w14:textId="0269075C" w:rsidR="006D5267" w:rsidRPr="006D5267" w:rsidRDefault="00E45770"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 xml:space="preserve">Discussion on RAN1 aspects for RAN2-led features for </w:t>
            </w:r>
            <w:proofErr w:type="spellStart"/>
            <w:r w:rsidRPr="006D5267">
              <w:t>RedCap</w:t>
            </w:r>
            <w:proofErr w:type="spellEnd"/>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E45770"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 xml:space="preserve">Mechanism in </w:t>
            </w:r>
            <w:proofErr w:type="spellStart"/>
            <w:r w:rsidRPr="006D5267">
              <w:t>higher&amp;PHY</w:t>
            </w:r>
            <w:proofErr w:type="spellEnd"/>
            <w:r w:rsidRPr="006D5267">
              <w:t xml:space="preserve">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E45770"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E45770"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 xml:space="preserve">Cross Layer Design Considerations for </w:t>
            </w:r>
            <w:proofErr w:type="spellStart"/>
            <w:r w:rsidRPr="006D5267">
              <w:t>RedCap</w:t>
            </w:r>
            <w:proofErr w:type="spellEnd"/>
            <w:r w:rsidRPr="006D5267">
              <w:t xml:space="preserve">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E45770"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 xml:space="preserve">Discussion on higher layer support of </w:t>
            </w:r>
            <w:proofErr w:type="spellStart"/>
            <w:r w:rsidRPr="006D5267">
              <w:t>RedCap</w:t>
            </w:r>
            <w:proofErr w:type="spellEnd"/>
            <w:r w:rsidRPr="006D5267">
              <w:t xml:space="preserve">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E45770"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E45770"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 xml:space="preserve">On RAN1 aspects for RAN2-led objectives for </w:t>
            </w:r>
            <w:proofErr w:type="spellStart"/>
            <w:r w:rsidRPr="006D5267">
              <w:t>RedCap</w:t>
            </w:r>
            <w:proofErr w:type="spellEnd"/>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E45770"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E45770"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E45770"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 xml:space="preserve">Identification and restriction of </w:t>
            </w:r>
            <w:proofErr w:type="spellStart"/>
            <w:r w:rsidRPr="006D5267">
              <w:t>RedCap</w:t>
            </w:r>
            <w:proofErr w:type="spellEnd"/>
            <w:r w:rsidRPr="006D5267">
              <w:t xml:space="preserve"> UEs</w:t>
            </w:r>
          </w:p>
        </w:tc>
        <w:tc>
          <w:tcPr>
            <w:tcW w:w="2551" w:type="dxa"/>
            <w:tcMar>
              <w:top w:w="0" w:type="dxa"/>
              <w:left w:w="70" w:type="dxa"/>
              <w:bottom w:w="0" w:type="dxa"/>
              <w:right w:w="70" w:type="dxa"/>
            </w:tcMar>
          </w:tcPr>
          <w:p w14:paraId="564C2987" w14:textId="506382CD" w:rsidR="006D5267" w:rsidRPr="006D5267" w:rsidRDefault="006D5267" w:rsidP="006D5267">
            <w:proofErr w:type="spellStart"/>
            <w:r w:rsidRPr="006D5267">
              <w:t>InterDigital</w:t>
            </w:r>
            <w:proofErr w:type="spellEnd"/>
            <w:r w:rsidRPr="006D5267">
              <w:t>,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E45770"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 xml:space="preserve">Discussion on RAN1 aspects for RAN2-led features for </w:t>
            </w:r>
            <w:proofErr w:type="spellStart"/>
            <w:r w:rsidRPr="006D5267">
              <w:t>RedCap</w:t>
            </w:r>
            <w:proofErr w:type="spellEnd"/>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E45770"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 xml:space="preserve">Discussion on the remaining issues of the higher layer related topics for </w:t>
            </w:r>
            <w:proofErr w:type="spellStart"/>
            <w:r w:rsidRPr="006D5267">
              <w:t>RedCap</w:t>
            </w:r>
            <w:proofErr w:type="spellEnd"/>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E45770"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E45770"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E45770"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E45770"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 xml:space="preserve">Discussion on L1 reduced capability </w:t>
            </w:r>
            <w:proofErr w:type="spellStart"/>
            <w:r w:rsidRPr="0020068D">
              <w:rPr>
                <w:lang w:eastAsia="sv-SE"/>
              </w:rPr>
              <w:t>signaling</w:t>
            </w:r>
            <w:proofErr w:type="spellEnd"/>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E45770"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 xml:space="preserve">Discussion on </w:t>
            </w:r>
            <w:proofErr w:type="spellStart"/>
            <w:r w:rsidRPr="0020068D">
              <w:rPr>
                <w:lang w:eastAsia="sv-SE"/>
              </w:rPr>
              <w:t>RedCap</w:t>
            </w:r>
            <w:proofErr w:type="spellEnd"/>
            <w:r w:rsidRPr="0020068D">
              <w:rPr>
                <w:lang w:eastAsia="sv-SE"/>
              </w:rPr>
              <w:t xml:space="preserve">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E45770"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 xml:space="preserve">NR UE features for </w:t>
            </w:r>
            <w:proofErr w:type="spellStart"/>
            <w:r w:rsidRPr="0020068D">
              <w:rPr>
                <w:lang w:eastAsia="sv-SE"/>
              </w:rPr>
              <w:t>RedCap</w:t>
            </w:r>
            <w:proofErr w:type="spellEnd"/>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 xml:space="preserve">ZTE, </w:t>
            </w:r>
            <w:proofErr w:type="spellStart"/>
            <w:r w:rsidRPr="0020068D">
              <w:rPr>
                <w:lang w:eastAsia="sv-SE"/>
              </w:rPr>
              <w:t>Sanechips</w:t>
            </w:r>
            <w:proofErr w:type="spellEnd"/>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E45770"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 xml:space="preserve">Views on remaining issues of </w:t>
            </w:r>
            <w:proofErr w:type="spellStart"/>
            <w:r w:rsidRPr="0020068D">
              <w:rPr>
                <w:lang w:eastAsia="sv-SE"/>
              </w:rPr>
              <w:t>RedCap</w:t>
            </w:r>
            <w:proofErr w:type="spellEnd"/>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E45770"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 xml:space="preserve">Discussion on other aspects of </w:t>
            </w:r>
            <w:proofErr w:type="spellStart"/>
            <w:r w:rsidRPr="0020068D">
              <w:rPr>
                <w:lang w:eastAsia="sv-SE"/>
              </w:rPr>
              <w:t>RedCap</w:t>
            </w:r>
            <w:proofErr w:type="spellEnd"/>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E45770"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 xml:space="preserve">On </w:t>
            </w:r>
            <w:proofErr w:type="spellStart"/>
            <w:r w:rsidRPr="0020068D">
              <w:rPr>
                <w:lang w:eastAsia="sv-SE"/>
              </w:rPr>
              <w:t>RedCap</w:t>
            </w:r>
            <w:proofErr w:type="spellEnd"/>
            <w:r w:rsidRPr="0020068D">
              <w:rPr>
                <w:lang w:eastAsia="sv-SE"/>
              </w:rPr>
              <w:t xml:space="preserve">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 xml:space="preserve">Huawei, </w:t>
            </w:r>
            <w:proofErr w:type="spellStart"/>
            <w:r w:rsidRPr="0020068D">
              <w:rPr>
                <w:lang w:eastAsia="sv-SE"/>
              </w:rPr>
              <w:t>HiSilicon</w:t>
            </w:r>
            <w:proofErr w:type="spellEnd"/>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E45770"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 xml:space="preserve">Discussion on the transmission of system information for </w:t>
            </w:r>
            <w:proofErr w:type="spellStart"/>
            <w:r w:rsidRPr="0020068D">
              <w:rPr>
                <w:lang w:eastAsia="sv-SE"/>
              </w:rPr>
              <w:t>RedCap</w:t>
            </w:r>
            <w:proofErr w:type="spellEnd"/>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E45770"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 xml:space="preserve">Considerations on 2-step RACH for </w:t>
            </w:r>
            <w:proofErr w:type="spellStart"/>
            <w:r w:rsidRPr="0020068D">
              <w:rPr>
                <w:lang w:eastAsia="sv-SE"/>
              </w:rPr>
              <w:t>RedCap</w:t>
            </w:r>
            <w:proofErr w:type="spellEnd"/>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A2086" w14:textId="77777777" w:rsidR="00E45770" w:rsidRDefault="00E45770" w:rsidP="00581A60">
      <w:pPr>
        <w:spacing w:after="0"/>
      </w:pPr>
      <w:r>
        <w:separator/>
      </w:r>
    </w:p>
  </w:endnote>
  <w:endnote w:type="continuationSeparator" w:id="0">
    <w:p w14:paraId="4DD213A9" w14:textId="77777777" w:rsidR="00E45770" w:rsidRDefault="00E45770" w:rsidP="00581A60">
      <w:pPr>
        <w:spacing w:after="0"/>
      </w:pPr>
      <w:r>
        <w:continuationSeparator/>
      </w:r>
    </w:p>
  </w:endnote>
  <w:endnote w:type="continuationNotice" w:id="1">
    <w:p w14:paraId="01EA8FDA" w14:textId="77777777" w:rsidR="00E45770" w:rsidRDefault="00E45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A3014" w14:textId="77777777" w:rsidR="00E45770" w:rsidRDefault="00E45770" w:rsidP="00581A60">
      <w:pPr>
        <w:spacing w:after="0"/>
      </w:pPr>
      <w:r>
        <w:separator/>
      </w:r>
    </w:p>
  </w:footnote>
  <w:footnote w:type="continuationSeparator" w:id="0">
    <w:p w14:paraId="0ECD2F9E" w14:textId="77777777" w:rsidR="00E45770" w:rsidRDefault="00E45770" w:rsidP="00581A60">
      <w:pPr>
        <w:spacing w:after="0"/>
      </w:pPr>
      <w:r>
        <w:continuationSeparator/>
      </w:r>
    </w:p>
  </w:footnote>
  <w:footnote w:type="continuationNotice" w:id="1">
    <w:p w14:paraId="0C326A5E" w14:textId="77777777" w:rsidR="00E45770" w:rsidRDefault="00E457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hybridMultilevel"/>
    <w:tmpl w:val="353C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7"/>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29"/>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28"/>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38CF"/>
    <w:rsid w:val="000638F0"/>
    <w:rsid w:val="00063B1C"/>
    <w:rsid w:val="00063B97"/>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5D"/>
    <w:rsid w:val="00E469D0"/>
    <w:rsid w:val="00E46E37"/>
    <w:rsid w:val="00E5008E"/>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CA2A2-EDB5-4BF8-BB30-E8912682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4555</Words>
  <Characters>25970</Characters>
  <Application>Microsoft Office Word</Application>
  <DocSecurity>0</DocSecurity>
  <Lines>216</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30465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贺传峰(Chuanfeng)</cp:lastModifiedBy>
  <cp:revision>4</cp:revision>
  <dcterms:created xsi:type="dcterms:W3CDTF">2021-08-16T13:12:00Z</dcterms:created>
  <dcterms:modified xsi:type="dcterms:W3CDTF">2021-08-16T13:15:00Z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