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ListParagraph"/>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ListParagraph"/>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ListParagraph"/>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ListParagraph"/>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1 Question</w:t>
      </w:r>
      <w:r w:rsidR="00BC57C9">
        <w:rPr>
          <w:rFonts w:eastAsia="Malgun Gothic"/>
          <w:b/>
          <w:bCs/>
          <w:u w:val="single"/>
          <w:lang w:eastAsia="ko-KR"/>
        </w:rPr>
        <w:t>”</w:t>
      </w:r>
      <w:r w:rsidR="00D84E39">
        <w:rPr>
          <w:rFonts w:eastAsia="Malgun Gothic"/>
          <w:b/>
          <w:bCs/>
          <w:u w:val="single"/>
          <w:lang w:eastAsia="ko-KR"/>
        </w:rPr>
        <w:t>s</w:t>
      </w:r>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TableGrid"/>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5F4562"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5F4562"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ListBullet"/>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TableGrid"/>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Heading2"/>
      </w:pPr>
      <w:r>
        <w:t xml:space="preserve">FL1 </w:t>
      </w:r>
      <w:r w:rsidR="00CC0A96">
        <w:t>Question</w:t>
      </w:r>
      <w:r w:rsidR="00524EE4" w:rsidRPr="007438DC">
        <w:t xml:space="preserve"> </w:t>
      </w:r>
      <w:r w:rsidR="00CC0A96">
        <w:t>1</w:t>
      </w:r>
    </w:p>
    <w:p w14:paraId="4E009B9F" w14:textId="04200CFA" w:rsidR="00CA4E24" w:rsidRDefault="00CA4E24" w:rsidP="00CA4E24">
      <w:pPr>
        <w:pStyle w:val="ListParagraph"/>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ListParagraph"/>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ListParagraph"/>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ListParagraph"/>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ListParagraph"/>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ListParagraph"/>
        <w:numPr>
          <w:ilvl w:val="1"/>
          <w:numId w:val="4"/>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TableGrid"/>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w:t>
            </w:r>
            <w:r w:rsidRPr="00DC2034">
              <w:rPr>
                <w:lang w:eastAsia="ja-JP"/>
              </w:rPr>
              <w:lastRenderedPageBreak/>
              <w:t>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unfortunately we don’t have it. </w:t>
            </w:r>
            <w:r w:rsidR="00D82155">
              <w:rPr>
                <w:rFonts w:eastAsia="Malgun Gothic"/>
                <w:bCs/>
                <w:lang w:eastAsia="ko-KR"/>
              </w:rPr>
              <w:t>If there is a strong needs,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the formula is used to calculate peak data rate, which is not always needed</w:t>
            </w:r>
            <w:r w:rsidR="003C0685">
              <w:rPr>
                <w:rFonts w:eastAsia="Malgun Gothic"/>
                <w:lang w:eastAsia="ko-KR"/>
              </w:rPr>
              <w:t xml:space="preserve"> for data transmission</w:t>
            </w:r>
            <w:r w:rsidRPr="0043566D">
              <w:rPr>
                <w:rFonts w:eastAsia="Malgun Gothic"/>
                <w:lang w:eastAsia="ko-KR"/>
              </w:rPr>
              <w:t>. gNB can scheduling small</w:t>
            </w:r>
            <w:r w:rsidR="003C0685">
              <w:rPr>
                <w:rFonts w:eastAsia="Malgun Gothic"/>
                <w:lang w:eastAsia="ko-KR"/>
              </w:rPr>
              <w:t xml:space="preserve"> amount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requirement. If RAN2 agrees to introduce it, option 3 can be considered.</w:t>
            </w:r>
          </w:p>
        </w:tc>
      </w:tr>
      <w:tr w:rsidR="007041D6" w:rsidRPr="001D46EE" w14:paraId="6633DDCB" w14:textId="77777777" w:rsidTr="00981D15">
        <w:trPr>
          <w:jc w:val="center"/>
        </w:trPr>
        <w:tc>
          <w:tcPr>
            <w:tcW w:w="1388" w:type="dxa"/>
            <w:shd w:val="clear" w:color="auto" w:fill="auto"/>
          </w:tcPr>
          <w:p w14:paraId="376D6D95" w14:textId="32F27B62" w:rsidR="007041D6" w:rsidRPr="0043566D" w:rsidRDefault="007041D6" w:rsidP="0021295A">
            <w:pPr>
              <w:rPr>
                <w:rFonts w:eastAsia="Malgun Gothic"/>
                <w:lang w:eastAsia="ko-KR"/>
              </w:rPr>
            </w:pPr>
            <w:r>
              <w:rPr>
                <w:rFonts w:eastAsia="Malgun Gothic"/>
                <w:lang w:eastAsia="ko-KR"/>
              </w:rPr>
              <w:t>Nordic</w:t>
            </w:r>
          </w:p>
        </w:tc>
        <w:tc>
          <w:tcPr>
            <w:tcW w:w="1272" w:type="dxa"/>
            <w:shd w:val="clear" w:color="auto" w:fill="auto"/>
          </w:tcPr>
          <w:p w14:paraId="7C11B67B" w14:textId="2E9B79DA" w:rsidR="007041D6" w:rsidRPr="0043566D" w:rsidRDefault="007041D6" w:rsidP="00C50087">
            <w:pPr>
              <w:rPr>
                <w:rFonts w:eastAsia="Malgun Gothic"/>
                <w:lang w:eastAsia="ko-KR"/>
              </w:rPr>
            </w:pPr>
            <w:r>
              <w:rPr>
                <w:rFonts w:eastAsia="Malgun Gothic"/>
                <w:lang w:eastAsia="ko-KR"/>
              </w:rPr>
              <w:t xml:space="preserve">Option </w:t>
            </w:r>
            <w:r w:rsidR="00566EA7">
              <w:rPr>
                <w:rFonts w:eastAsia="Malgun Gothic"/>
                <w:lang w:eastAsia="ko-KR"/>
              </w:rPr>
              <w:t>4</w:t>
            </w:r>
          </w:p>
        </w:tc>
        <w:tc>
          <w:tcPr>
            <w:tcW w:w="6971" w:type="dxa"/>
            <w:shd w:val="clear" w:color="auto" w:fill="auto"/>
          </w:tcPr>
          <w:p w14:paraId="4E928637" w14:textId="2B3AD2B3" w:rsidR="007041D6" w:rsidRPr="0043566D" w:rsidRDefault="007041D6" w:rsidP="003C0685">
            <w:pPr>
              <w:rPr>
                <w:rFonts w:eastAsia="Malgun Gothic"/>
                <w:lang w:eastAsia="ko-KR"/>
              </w:rPr>
            </w:pPr>
          </w:p>
        </w:tc>
      </w:tr>
      <w:tr w:rsidR="00791D22" w:rsidRPr="001D46EE" w14:paraId="47DCC013" w14:textId="77777777" w:rsidTr="00981D15">
        <w:trPr>
          <w:jc w:val="center"/>
        </w:trPr>
        <w:tc>
          <w:tcPr>
            <w:tcW w:w="1388" w:type="dxa"/>
            <w:shd w:val="clear" w:color="auto" w:fill="auto"/>
          </w:tcPr>
          <w:p w14:paraId="11A62C31" w14:textId="1664046D" w:rsidR="00791D22" w:rsidRDefault="00791D22" w:rsidP="0021295A">
            <w:pPr>
              <w:rPr>
                <w:rFonts w:eastAsia="Malgun Gothic"/>
                <w:lang w:eastAsia="ko-KR"/>
              </w:rPr>
            </w:pPr>
            <w:r>
              <w:rPr>
                <w:rFonts w:eastAsia="Malgun Gothic"/>
                <w:lang w:eastAsia="ko-KR"/>
              </w:rPr>
              <w:t>DOCOMO</w:t>
            </w:r>
          </w:p>
        </w:tc>
        <w:tc>
          <w:tcPr>
            <w:tcW w:w="1272" w:type="dxa"/>
            <w:shd w:val="clear" w:color="auto" w:fill="auto"/>
          </w:tcPr>
          <w:p w14:paraId="17510B34" w14:textId="77777777" w:rsidR="00791D22" w:rsidRDefault="00791D22" w:rsidP="00C50087">
            <w:pPr>
              <w:rPr>
                <w:rFonts w:eastAsia="MS Mincho"/>
                <w:lang w:eastAsia="ja-JP"/>
              </w:rPr>
            </w:pPr>
            <w:r>
              <w:rPr>
                <w:rFonts w:eastAsia="MS Mincho" w:hint="eastAsia"/>
                <w:lang w:eastAsia="ja-JP"/>
              </w:rPr>
              <w:t>O</w:t>
            </w:r>
            <w:r>
              <w:rPr>
                <w:rFonts w:eastAsia="MS Mincho"/>
                <w:lang w:eastAsia="ja-JP"/>
              </w:rPr>
              <w:t>pt. 1 (1st)</w:t>
            </w:r>
          </w:p>
          <w:p w14:paraId="2EFA07A7" w14:textId="4DAB9360" w:rsidR="00791D22" w:rsidRPr="00791D22" w:rsidRDefault="00791D22" w:rsidP="00C50087">
            <w:pPr>
              <w:rPr>
                <w:rFonts w:eastAsia="MS Mincho"/>
                <w:lang w:eastAsia="ja-JP"/>
              </w:rPr>
            </w:pPr>
            <w:r>
              <w:rPr>
                <w:rFonts w:eastAsia="MS Mincho"/>
                <w:lang w:eastAsia="ja-JP"/>
              </w:rPr>
              <w:t>Opt. 2 (2nd)</w:t>
            </w:r>
          </w:p>
        </w:tc>
        <w:tc>
          <w:tcPr>
            <w:tcW w:w="6971" w:type="dxa"/>
            <w:shd w:val="clear" w:color="auto" w:fill="auto"/>
          </w:tcPr>
          <w:p w14:paraId="49045FD1" w14:textId="77782EEF" w:rsidR="00791D22" w:rsidRPr="00791D22" w:rsidRDefault="00791D22" w:rsidP="003C0685">
            <w:pPr>
              <w:rPr>
                <w:rFonts w:eastAsia="MS Mincho"/>
                <w:lang w:eastAsia="ja-JP"/>
              </w:rPr>
            </w:pPr>
            <w:r>
              <w:rPr>
                <w:rFonts w:eastAsia="MS Mincho" w:hint="eastAsia"/>
                <w:lang w:eastAsia="ja-JP"/>
              </w:rPr>
              <w:t>W</w:t>
            </w:r>
            <w:r>
              <w:rPr>
                <w:rFonts w:eastAsia="MS Mincho"/>
                <w:lang w:eastAsia="ja-JP"/>
              </w:rPr>
              <w:t xml:space="preserve">e think existing framework can be reused unless it is excluded </w:t>
            </w:r>
            <w:r w:rsidR="00CE0EE5">
              <w:rPr>
                <w:rFonts w:eastAsia="MS Mincho"/>
                <w:lang w:eastAsia="ja-JP"/>
              </w:rPr>
              <w:t>by WID (such as CA/DC). In that sense, we are OK to support Opt.1 as 1</w:t>
            </w:r>
            <w:r w:rsidR="00CE0EE5" w:rsidRPr="00CE0EE5">
              <w:rPr>
                <w:rFonts w:eastAsia="MS Mincho"/>
                <w:vertAlign w:val="superscript"/>
                <w:lang w:eastAsia="ja-JP"/>
              </w:rPr>
              <w:t>st</w:t>
            </w:r>
            <w:r w:rsidR="00CE0EE5">
              <w:rPr>
                <w:rFonts w:eastAsia="MS Mincho"/>
                <w:lang w:eastAsia="ja-JP"/>
              </w:rPr>
              <w:t xml:space="preserve"> preference. Opt. 2 can be considered if there is a strong need from companies.</w:t>
            </w:r>
          </w:p>
        </w:tc>
      </w:tr>
      <w:tr w:rsidR="001F217C" w:rsidRPr="001D46EE" w14:paraId="57EF31D2" w14:textId="77777777" w:rsidTr="00981D15">
        <w:trPr>
          <w:jc w:val="center"/>
        </w:trPr>
        <w:tc>
          <w:tcPr>
            <w:tcW w:w="1388" w:type="dxa"/>
            <w:shd w:val="clear" w:color="auto" w:fill="auto"/>
          </w:tcPr>
          <w:p w14:paraId="1A8E0926" w14:textId="04A9C23D" w:rsidR="001F217C" w:rsidRDefault="001F217C" w:rsidP="0021295A">
            <w:pPr>
              <w:rPr>
                <w:rFonts w:eastAsia="Malgun Gothic"/>
                <w:lang w:eastAsia="ko-KR"/>
              </w:rPr>
            </w:pPr>
            <w:r>
              <w:rPr>
                <w:rFonts w:eastAsia="Malgun Gothic"/>
                <w:lang w:eastAsia="ko-KR"/>
              </w:rPr>
              <w:t>Huawei, HiSilicon</w:t>
            </w:r>
          </w:p>
        </w:tc>
        <w:tc>
          <w:tcPr>
            <w:tcW w:w="1272" w:type="dxa"/>
            <w:shd w:val="clear" w:color="auto" w:fill="auto"/>
          </w:tcPr>
          <w:p w14:paraId="5601BBD0" w14:textId="7C30F405" w:rsidR="001F217C" w:rsidRDefault="001F217C" w:rsidP="00C50087">
            <w:pPr>
              <w:rPr>
                <w:rFonts w:eastAsia="MS Mincho"/>
                <w:lang w:eastAsia="ja-JP"/>
              </w:rPr>
            </w:pPr>
            <w:r>
              <w:rPr>
                <w:rFonts w:eastAsia="MS Mincho"/>
                <w:lang w:eastAsia="ja-JP"/>
              </w:rPr>
              <w:t>Option 4</w:t>
            </w:r>
          </w:p>
        </w:tc>
        <w:tc>
          <w:tcPr>
            <w:tcW w:w="6971" w:type="dxa"/>
            <w:shd w:val="clear" w:color="auto" w:fill="auto"/>
          </w:tcPr>
          <w:p w14:paraId="1B8EFF92" w14:textId="51165812" w:rsidR="001F217C" w:rsidRDefault="001F217C" w:rsidP="003C0685">
            <w:pPr>
              <w:rPr>
                <w:rFonts w:eastAsia="MS Mincho"/>
                <w:lang w:eastAsia="ja-JP"/>
              </w:rPr>
            </w:pPr>
            <w:r>
              <w:rPr>
                <w:rFonts w:eastAsia="MS Mincho"/>
                <w:lang w:eastAsia="ja-JP"/>
              </w:rPr>
              <w:t xml:space="preserve">The motivation for scaling factor is due to support of CA and UE needs to share the resource inside. This does not apply to RedCap UEs. </w:t>
            </w:r>
          </w:p>
        </w:tc>
      </w:tr>
      <w:tr w:rsidR="00432C29" w:rsidRPr="001D46EE" w14:paraId="0D64E847" w14:textId="77777777" w:rsidTr="00981D15">
        <w:trPr>
          <w:jc w:val="center"/>
        </w:trPr>
        <w:tc>
          <w:tcPr>
            <w:tcW w:w="1388" w:type="dxa"/>
            <w:shd w:val="clear" w:color="auto" w:fill="auto"/>
          </w:tcPr>
          <w:p w14:paraId="21FCB45D" w14:textId="1D77CE51" w:rsidR="00432C29" w:rsidRDefault="00432C29" w:rsidP="0021295A">
            <w:pPr>
              <w:rPr>
                <w:rFonts w:eastAsia="Malgun Gothic"/>
                <w:lang w:eastAsia="ko-KR"/>
              </w:rPr>
            </w:pPr>
            <w:r>
              <w:rPr>
                <w:rFonts w:eastAsia="Malgun Gothic"/>
                <w:lang w:eastAsia="ko-KR"/>
              </w:rPr>
              <w:t>Lenovo, Motorola Mobility</w:t>
            </w:r>
          </w:p>
        </w:tc>
        <w:tc>
          <w:tcPr>
            <w:tcW w:w="1272" w:type="dxa"/>
            <w:shd w:val="clear" w:color="auto" w:fill="auto"/>
          </w:tcPr>
          <w:p w14:paraId="76A01F63" w14:textId="004CAC71" w:rsidR="00432C29" w:rsidRDefault="00432C29" w:rsidP="00C50087">
            <w:pPr>
              <w:rPr>
                <w:rFonts w:eastAsia="MS Mincho"/>
                <w:lang w:eastAsia="ja-JP"/>
              </w:rPr>
            </w:pPr>
          </w:p>
        </w:tc>
        <w:tc>
          <w:tcPr>
            <w:tcW w:w="6971" w:type="dxa"/>
            <w:shd w:val="clear" w:color="auto" w:fill="auto"/>
          </w:tcPr>
          <w:p w14:paraId="77E0FD5E" w14:textId="4F65FE07" w:rsidR="00432C29" w:rsidRDefault="00432C29" w:rsidP="003C0685">
            <w:pPr>
              <w:rPr>
                <w:rFonts w:eastAsia="MS Mincho"/>
                <w:lang w:eastAsia="ja-JP"/>
              </w:rPr>
            </w:pPr>
            <w:r>
              <w:rPr>
                <w:rFonts w:eastAsia="MS Mincho"/>
                <w:lang w:eastAsia="ja-JP"/>
              </w:rPr>
              <w:t>Up to RAN2 decision.</w:t>
            </w:r>
          </w:p>
        </w:tc>
      </w:tr>
    </w:tbl>
    <w:p w14:paraId="57488280" w14:textId="7867DDBB" w:rsidR="00077CC0" w:rsidRDefault="0092312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Heading2"/>
      </w:pPr>
      <w:r>
        <w:lastRenderedPageBreak/>
        <w:t xml:space="preserve">FL1 </w:t>
      </w:r>
      <w:r w:rsidR="00C269CE">
        <w:t xml:space="preserve">Question </w:t>
      </w:r>
      <w:r>
        <w:t>2</w:t>
      </w:r>
    </w:p>
    <w:p w14:paraId="61063911" w14:textId="3BC317D5" w:rsidR="009E635A" w:rsidRDefault="00917A72" w:rsidP="00917A72">
      <w:pPr>
        <w:pStyle w:val="ListParagraph"/>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ListParagraph"/>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726E08B" w:rsidR="006A00B9" w:rsidRDefault="000F2754" w:rsidP="006A00B9">
            <w:pPr>
              <w:jc w:val="left"/>
              <w:rPr>
                <w:rFonts w:eastAsiaTheme="minorEastAsia"/>
              </w:rPr>
            </w:pPr>
            <w:r>
              <w:rPr>
                <w:rFonts w:eastAsiaTheme="minorEastAsia"/>
              </w:rPr>
              <w:t>Nordic</w:t>
            </w:r>
          </w:p>
        </w:tc>
        <w:tc>
          <w:tcPr>
            <w:tcW w:w="6971" w:type="dxa"/>
            <w:shd w:val="clear" w:color="auto" w:fill="auto"/>
          </w:tcPr>
          <w:p w14:paraId="1B54314F" w14:textId="5F10B696" w:rsidR="006A00B9" w:rsidRPr="000F2754" w:rsidRDefault="000F2754" w:rsidP="006A00B9">
            <w:pPr>
              <w:jc w:val="left"/>
              <w:rPr>
                <w:rFonts w:eastAsia="Malgun Gothic"/>
                <w:lang w:eastAsia="ko-KR"/>
              </w:rPr>
            </w:pPr>
            <w:r w:rsidRPr="000F2754">
              <w:rPr>
                <w:rFonts w:eastAsia="Malgun Gothic"/>
                <w:lang w:eastAsia="ko-KR"/>
              </w:rPr>
              <w:t>RAN2 discussion</w:t>
            </w:r>
            <w:r w:rsidR="00384C50">
              <w:rPr>
                <w:rFonts w:eastAsia="Malgun Gothic"/>
                <w:lang w:eastAsia="ko-KR"/>
              </w:rPr>
              <w:t>, no need to discuss here</w:t>
            </w:r>
          </w:p>
        </w:tc>
      </w:tr>
      <w:tr w:rsidR="006A00B9" w:rsidRPr="00C904D3" w14:paraId="73C0A705" w14:textId="77777777" w:rsidTr="006A00B9">
        <w:trPr>
          <w:jc w:val="center"/>
        </w:trPr>
        <w:tc>
          <w:tcPr>
            <w:tcW w:w="1388" w:type="dxa"/>
            <w:shd w:val="clear" w:color="auto" w:fill="auto"/>
          </w:tcPr>
          <w:p w14:paraId="472543F7" w14:textId="41EE0036" w:rsidR="006A00B9" w:rsidRPr="00C904D3" w:rsidRDefault="001F217C" w:rsidP="006A00B9">
            <w:pPr>
              <w:jc w:val="left"/>
              <w:rPr>
                <w:rFonts w:eastAsia="Malgun Gothic"/>
                <w:lang w:eastAsia="ko-KR"/>
              </w:rPr>
            </w:pPr>
            <w:r>
              <w:rPr>
                <w:rFonts w:eastAsia="Malgun Gothic"/>
                <w:lang w:eastAsia="ko-KR"/>
              </w:rPr>
              <w:t>Huawei, HiSilicon</w:t>
            </w:r>
          </w:p>
        </w:tc>
        <w:tc>
          <w:tcPr>
            <w:tcW w:w="6971" w:type="dxa"/>
            <w:shd w:val="clear" w:color="auto" w:fill="auto"/>
          </w:tcPr>
          <w:p w14:paraId="3C2BB4B7" w14:textId="6B7C0706" w:rsidR="006A00B9" w:rsidRPr="00C904D3" w:rsidRDefault="001F217C" w:rsidP="006A00B9">
            <w:pPr>
              <w:jc w:val="left"/>
              <w:rPr>
                <w:rFonts w:eastAsiaTheme="minorEastAsia"/>
              </w:rPr>
            </w:pPr>
            <w:r>
              <w:rPr>
                <w:rFonts w:eastAsiaTheme="minorEastAsia"/>
              </w:rPr>
              <w:t>RAN1 can decide candidate values to be 1 or 2 for MIMO layers</w:t>
            </w: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Heading2"/>
      </w:pPr>
      <w:r>
        <w:lastRenderedPageBreak/>
        <w:t xml:space="preserve">FL1 </w:t>
      </w:r>
      <w:r w:rsidR="00DC40F6">
        <w:t xml:space="preserve">Question </w:t>
      </w:r>
      <w:r w:rsidR="00BC57C9">
        <w:t>3</w:t>
      </w:r>
    </w:p>
    <w:p w14:paraId="4D3FB8DF" w14:textId="4972C704" w:rsidR="00D128E9" w:rsidRDefault="00D128E9" w:rsidP="00D128E9">
      <w:pPr>
        <w:pStyle w:val="ListParagraph"/>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ListParagraph"/>
        <w:numPr>
          <w:ilvl w:val="1"/>
          <w:numId w:val="4"/>
        </w:numPr>
        <w:rPr>
          <w:i/>
          <w:iCs/>
        </w:rPr>
      </w:pPr>
      <w:r>
        <w:rPr>
          <w:i/>
          <w:iCs/>
        </w:rPr>
        <w:t>256-QAM in the UL</w:t>
      </w:r>
    </w:p>
    <w:p w14:paraId="691E50B3" w14:textId="41F6775D" w:rsidR="0049030A" w:rsidRDefault="0049030A" w:rsidP="0049030A">
      <w:pPr>
        <w:pStyle w:val="ListParagraph"/>
        <w:numPr>
          <w:ilvl w:val="1"/>
          <w:numId w:val="4"/>
        </w:numPr>
        <w:rPr>
          <w:i/>
          <w:iCs/>
        </w:rPr>
      </w:pPr>
      <w:r>
        <w:rPr>
          <w:i/>
          <w:iCs/>
        </w:rPr>
        <w:t>1024-QAM in the DL</w:t>
      </w:r>
    </w:p>
    <w:p w14:paraId="274E0467" w14:textId="4F1FD098" w:rsidR="0049030A" w:rsidRDefault="0049030A" w:rsidP="0049030A">
      <w:pPr>
        <w:pStyle w:val="ListParagraph"/>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ListParagraph"/>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RedCap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rPr>
            </w:pPr>
            <w:r>
              <w:rPr>
                <w:rFonts w:eastAsiaTheme="minorEastAsia"/>
              </w:rPr>
              <w:t>OK with FL’s handling.</w:t>
            </w:r>
          </w:p>
        </w:tc>
      </w:tr>
      <w:tr w:rsidR="0018149E" w:rsidRPr="001D46EE" w14:paraId="50DC0176" w14:textId="77777777" w:rsidTr="007F1C33">
        <w:trPr>
          <w:jc w:val="center"/>
        </w:trPr>
        <w:tc>
          <w:tcPr>
            <w:tcW w:w="1388" w:type="dxa"/>
            <w:shd w:val="clear" w:color="auto" w:fill="auto"/>
          </w:tcPr>
          <w:p w14:paraId="07575D10" w14:textId="4FC239DB" w:rsidR="0018149E" w:rsidRDefault="0018149E" w:rsidP="007F1C33">
            <w:pPr>
              <w:jc w:val="left"/>
              <w:rPr>
                <w:rFonts w:eastAsiaTheme="minorEastAsia"/>
              </w:rPr>
            </w:pPr>
            <w:r>
              <w:rPr>
                <w:rFonts w:eastAsiaTheme="minorEastAsia"/>
              </w:rPr>
              <w:t>Nordic</w:t>
            </w:r>
          </w:p>
        </w:tc>
        <w:tc>
          <w:tcPr>
            <w:tcW w:w="6971" w:type="dxa"/>
            <w:shd w:val="clear" w:color="auto" w:fill="auto"/>
          </w:tcPr>
          <w:p w14:paraId="3D99D061" w14:textId="0F0C5E65" w:rsidR="0018149E" w:rsidRPr="004F0E6B" w:rsidRDefault="00B26D6F" w:rsidP="00AD0183">
            <w:pPr>
              <w:jc w:val="left"/>
              <w:rPr>
                <w:rFonts w:eastAsiaTheme="minorEastAsia"/>
              </w:rPr>
            </w:pPr>
            <w:r>
              <w:rPr>
                <w:rFonts w:eastAsiaTheme="minorEastAsia"/>
              </w:rPr>
              <w:t>Agree with FL direction</w:t>
            </w:r>
          </w:p>
        </w:tc>
      </w:tr>
      <w:tr w:rsidR="00A13B9B" w:rsidRPr="001D46EE" w14:paraId="5048B704" w14:textId="77777777" w:rsidTr="007F1C33">
        <w:trPr>
          <w:jc w:val="center"/>
        </w:trPr>
        <w:tc>
          <w:tcPr>
            <w:tcW w:w="1388" w:type="dxa"/>
            <w:shd w:val="clear" w:color="auto" w:fill="auto"/>
          </w:tcPr>
          <w:p w14:paraId="5FE921DB" w14:textId="4EBBC7DB" w:rsidR="00A13B9B" w:rsidRPr="00A13B9B" w:rsidRDefault="00A13B9B" w:rsidP="007F1C33">
            <w:pPr>
              <w:jc w:val="left"/>
              <w:rPr>
                <w:rFonts w:eastAsia="MS Mincho"/>
                <w:lang w:eastAsia="ja-JP"/>
              </w:rPr>
            </w:pPr>
            <w:r>
              <w:rPr>
                <w:rFonts w:eastAsia="MS Mincho" w:hint="eastAsia"/>
                <w:lang w:eastAsia="ja-JP"/>
              </w:rPr>
              <w:t>D</w:t>
            </w:r>
            <w:r>
              <w:rPr>
                <w:rFonts w:eastAsia="MS Mincho"/>
                <w:lang w:eastAsia="ja-JP"/>
              </w:rPr>
              <w:t>OCOMO</w:t>
            </w:r>
          </w:p>
        </w:tc>
        <w:tc>
          <w:tcPr>
            <w:tcW w:w="6971" w:type="dxa"/>
            <w:shd w:val="clear" w:color="auto" w:fill="auto"/>
          </w:tcPr>
          <w:p w14:paraId="0DC4C1BA" w14:textId="3EA406C6" w:rsidR="00A13B9B" w:rsidRPr="00A13B9B" w:rsidRDefault="00A13B9B" w:rsidP="00AD0183">
            <w:pPr>
              <w:jc w:val="left"/>
              <w:rPr>
                <w:rFonts w:eastAsia="MS Mincho"/>
                <w:lang w:eastAsia="ja-JP"/>
              </w:rPr>
            </w:pPr>
            <w:r>
              <w:rPr>
                <w:rFonts w:eastAsia="MS Mincho" w:hint="eastAsia"/>
                <w:lang w:eastAsia="ja-JP"/>
              </w:rPr>
              <w:t>A</w:t>
            </w:r>
            <w:r>
              <w:rPr>
                <w:rFonts w:eastAsia="MS Mincho"/>
                <w:lang w:eastAsia="ja-JP"/>
              </w:rPr>
              <w:t>gree with FL</w:t>
            </w:r>
          </w:p>
        </w:tc>
      </w:tr>
      <w:tr w:rsidR="00432C29" w:rsidRPr="001D46EE" w14:paraId="34CA6F1B" w14:textId="77777777" w:rsidTr="007F1C33">
        <w:trPr>
          <w:jc w:val="center"/>
        </w:trPr>
        <w:tc>
          <w:tcPr>
            <w:tcW w:w="1388" w:type="dxa"/>
            <w:shd w:val="clear" w:color="auto" w:fill="auto"/>
          </w:tcPr>
          <w:p w14:paraId="646F7C4B" w14:textId="7B088AF5" w:rsidR="00432C29" w:rsidRDefault="00432C29" w:rsidP="007F1C33">
            <w:pPr>
              <w:jc w:val="left"/>
              <w:rPr>
                <w:rFonts w:eastAsia="MS Mincho" w:hint="eastAsia"/>
                <w:lang w:eastAsia="ja-JP"/>
              </w:rPr>
            </w:pPr>
            <w:r>
              <w:rPr>
                <w:rFonts w:eastAsia="MS Mincho"/>
                <w:lang w:eastAsia="ja-JP"/>
              </w:rPr>
              <w:t>Lenovo, Motorola Mobility</w:t>
            </w:r>
          </w:p>
        </w:tc>
        <w:tc>
          <w:tcPr>
            <w:tcW w:w="6971" w:type="dxa"/>
            <w:shd w:val="clear" w:color="auto" w:fill="auto"/>
          </w:tcPr>
          <w:p w14:paraId="2400264F" w14:textId="03778924" w:rsidR="00432C29" w:rsidRDefault="00432C29" w:rsidP="00AD0183">
            <w:pPr>
              <w:jc w:val="left"/>
              <w:rPr>
                <w:rFonts w:eastAsia="MS Mincho" w:hint="eastAsia"/>
                <w:lang w:eastAsia="ja-JP"/>
              </w:rPr>
            </w:pPr>
            <w:r>
              <w:rPr>
                <w:rFonts w:eastAsia="MS Mincho"/>
                <w:lang w:eastAsia="ja-JP"/>
              </w:rPr>
              <w:t>Agree with the proposal.</w:t>
            </w:r>
          </w:p>
        </w:tc>
      </w:tr>
    </w:tbl>
    <w:p w14:paraId="18BC0DAE" w14:textId="596F3823" w:rsidR="00820B5B" w:rsidRDefault="00442C91"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lastRenderedPageBreak/>
        <w:t>References</w:t>
      </w:r>
    </w:p>
    <w:bookmarkStart w:id="4" w:name="_Ref80031274"/>
    <w:p w14:paraId="7B8B6F94" w14:textId="12E3CE9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5F4562" w:rsidP="003A7115">
      <w:pPr>
        <w:pStyle w:val="ListParagraph"/>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6" w:name="_Ref80028859"/>
    <w:p w14:paraId="4A06889F" w14:textId="0CBA70C0"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5F4562" w:rsidP="003A7115">
      <w:pPr>
        <w:pStyle w:val="ListParagraph"/>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9"/>
    </w:p>
    <w:bookmarkStart w:id="10" w:name="_Ref80030653"/>
    <w:p w14:paraId="09946DD7" w14:textId="0A137801"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r w:rsidRPr="00FD4E31">
        <w:t>Spreadtrum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4231B74F" w:rsidR="00CE2859" w:rsidRPr="00A13B9B" w:rsidRDefault="00A13B9B" w:rsidP="00243CB2">
            <w:pPr>
              <w:spacing w:after="0"/>
              <w:rPr>
                <w:rFonts w:eastAsia="MS Mincho"/>
                <w:lang w:eastAsia="ja-JP"/>
              </w:rPr>
            </w:pPr>
            <w:r>
              <w:rPr>
                <w:rFonts w:eastAsia="MS Mincho" w:hint="eastAsia"/>
                <w:lang w:eastAsia="ja-JP"/>
              </w:rPr>
              <w:t>D</w:t>
            </w:r>
            <w:r>
              <w:rPr>
                <w:rFonts w:eastAsia="MS Mincho"/>
                <w:lang w:eastAsia="ja-JP"/>
              </w:rPr>
              <w:t>OCOMO</w:t>
            </w:r>
          </w:p>
        </w:tc>
        <w:tc>
          <w:tcPr>
            <w:tcW w:w="2410" w:type="dxa"/>
          </w:tcPr>
          <w:p w14:paraId="4E6DBF13" w14:textId="49F89132" w:rsidR="00CE2859" w:rsidRPr="00A13B9B" w:rsidRDefault="00A13B9B" w:rsidP="00243CB2">
            <w:pPr>
              <w:spacing w:after="0"/>
              <w:rPr>
                <w:rFonts w:eastAsia="MS Mincho"/>
                <w:lang w:eastAsia="ja-JP"/>
              </w:rPr>
            </w:pPr>
            <w:r>
              <w:rPr>
                <w:rFonts w:eastAsia="MS Mincho" w:hint="eastAsia"/>
                <w:lang w:eastAsia="ja-JP"/>
              </w:rPr>
              <w:t>S</w:t>
            </w:r>
            <w:r>
              <w:rPr>
                <w:rFonts w:eastAsia="MS Mincho"/>
                <w:lang w:eastAsia="ja-JP"/>
              </w:rPr>
              <w:t>hinya Kumagai</w:t>
            </w:r>
          </w:p>
        </w:tc>
        <w:tc>
          <w:tcPr>
            <w:tcW w:w="4110" w:type="dxa"/>
          </w:tcPr>
          <w:p w14:paraId="63481763" w14:textId="602CDBC3" w:rsidR="00CE2859" w:rsidRDefault="00A13B9B" w:rsidP="00243CB2">
            <w:pPr>
              <w:spacing w:after="0"/>
            </w:pPr>
            <w:r w:rsidRPr="00A13B9B">
              <w:t>shinya.kumagai@docomo-lab.com</w:t>
            </w: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E4EC" w14:textId="77777777" w:rsidR="005F4562" w:rsidRDefault="005F4562" w:rsidP="004C0876">
      <w:pPr>
        <w:spacing w:after="0"/>
      </w:pPr>
      <w:r>
        <w:separator/>
      </w:r>
    </w:p>
  </w:endnote>
  <w:endnote w:type="continuationSeparator" w:id="0">
    <w:p w14:paraId="2D8C5449" w14:textId="77777777" w:rsidR="005F4562" w:rsidRDefault="005F4562"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A3A98DB" w:rsidR="00931076" w:rsidRDefault="00931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17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17C">
              <w:rPr>
                <w:b/>
                <w:bCs/>
                <w:noProof/>
              </w:rPr>
              <w:t>7</w:t>
            </w:r>
            <w:r>
              <w:rPr>
                <w:b/>
                <w:bCs/>
                <w:sz w:val="24"/>
                <w:szCs w:val="24"/>
              </w:rPr>
              <w:fldChar w:fldCharType="end"/>
            </w:r>
          </w:p>
        </w:sdtContent>
      </w:sdt>
    </w:sdtContent>
  </w:sdt>
  <w:p w14:paraId="7586F307" w14:textId="77777777" w:rsidR="00931076" w:rsidRDefault="0093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1C69" w14:textId="77777777" w:rsidR="005F4562" w:rsidRDefault="005F4562" w:rsidP="004C0876">
      <w:pPr>
        <w:spacing w:after="0"/>
      </w:pPr>
      <w:r>
        <w:separator/>
      </w:r>
    </w:p>
  </w:footnote>
  <w:footnote w:type="continuationSeparator" w:id="0">
    <w:p w14:paraId="6ADC7415" w14:textId="77777777" w:rsidR="005F4562" w:rsidRDefault="005F4562"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064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宋体" w:hAnsi="Times New Roman" w:cs="Times New Roman"/>
      <w:sz w:val="20"/>
      <w:szCs w:val="20"/>
    </w:rPr>
  </w:style>
  <w:style w:type="table" w:styleId="TableGrid">
    <w:name w:val="Table Grid"/>
    <w:basedOn w:val="TableNormal"/>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宋体"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宋体"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宋体"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宋体"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宋体"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宋体"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宋体"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next w:val="TableGrid"/>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
    <w:name w:val="网格表 1 浅色1"/>
    <w:basedOn w:val="TableNormal"/>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2">
    <w:name w:val="未处理的提及1"/>
    <w:basedOn w:val="DefaultParagraphFont"/>
    <w:uiPriority w:val="99"/>
    <w:semiHidden/>
    <w:unhideWhenUsed/>
    <w:rsid w:val="005C6D5E"/>
    <w:rPr>
      <w:color w:val="605E5C"/>
      <w:shd w:val="clear" w:color="auto" w:fill="E1DFDD"/>
    </w:rPr>
  </w:style>
  <w:style w:type="character" w:styleId="PlaceholderText">
    <w:name w:val="Placeholder Text"/>
    <w:basedOn w:val="DefaultParagraphFont"/>
    <w:uiPriority w:val="99"/>
    <w:semiHidden/>
    <w:rsid w:val="00F85712"/>
    <w:rPr>
      <w:color w:val="808080"/>
    </w:rPr>
  </w:style>
  <w:style w:type="paragraph" w:styleId="ListBullet">
    <w:name w:val="List Bullet"/>
    <w:basedOn w:val="Normal"/>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Normal"/>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Normal"/>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B3973-ECAD-4C7F-A502-000D80C3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2892</Words>
  <Characters>16488</Characters>
  <Application>Microsoft Office Word</Application>
  <DocSecurity>0</DocSecurity>
  <Lines>137</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Yuantao YT18 Zhang</cp:lastModifiedBy>
  <cp:revision>3</cp:revision>
  <dcterms:created xsi:type="dcterms:W3CDTF">2021-08-17T13:48:00Z</dcterms:created>
  <dcterms:modified xsi:type="dcterms:W3CDTF">2021-08-17T14:21:00Z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